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14:textFill>
            <w14:solidFill>
              <w14:schemeClr w14:val="tx1"/>
            </w14:solidFill>
          </w14:textFill>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ind w:firstLine="6746" w:firstLineChars="2100"/>
        <w:rPr>
          <w:rFonts w:hint="default" w:eastAsia="宋体"/>
          <w:b/>
          <w:bCs/>
          <w:color w:val="000000" w:themeColor="text1"/>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bCs w:val="0"/>
          <w:color w:val="000000" w:themeColor="text1"/>
          <w:sz w:val="52"/>
          <w:szCs w:val="52"/>
          <w:highlight w:val="none"/>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_GB2312" w:hAnsi="仿宋_GB2312" w:eastAsia="仿宋_GB2312" w:cs="仿宋_GB2312"/>
          <w:b/>
          <w:color w:val="000000" w:themeColor="text1"/>
          <w:sz w:val="52"/>
          <w:szCs w:val="52"/>
          <w:highlight w:val="none"/>
          <w:lang w:val="en-US"/>
          <w14:textFill>
            <w14:solidFill>
              <w14:schemeClr w14:val="tx1"/>
            </w14:solidFill>
          </w14:textFill>
        </w:rPr>
      </w:pPr>
      <w:r>
        <w:rPr>
          <w:rFonts w:hint="eastAsia" w:ascii="仿宋_GB2312" w:hAnsi="仿宋_GB2312" w:eastAsia="仿宋_GB2312" w:cs="仿宋_GB2312"/>
          <w:b/>
          <w:bCs w:val="0"/>
          <w:color w:val="000000" w:themeColor="text1"/>
          <w:sz w:val="52"/>
          <w:szCs w:val="52"/>
          <w:highlight w:val="none"/>
          <w:u w:val="single"/>
          <w:lang w:val="en-US" w:eastAsia="zh-CN"/>
          <w14:textFill>
            <w14:solidFill>
              <w14:schemeClr w14:val="tx1"/>
            </w14:solidFill>
          </w14:textFill>
        </w:rPr>
        <w:t>东莞</w:t>
      </w:r>
      <w:r>
        <w:rPr>
          <w:rFonts w:hint="eastAsia" w:ascii="仿宋_GB2312" w:hAnsi="仿宋_GB2312" w:eastAsia="仿宋_GB2312" w:cs="仿宋_GB2312"/>
          <w:b/>
          <w:color w:val="000000" w:themeColor="text1"/>
          <w:sz w:val="52"/>
          <w:szCs w:val="52"/>
          <w:highlight w:val="none"/>
          <w:u w:val="single"/>
          <w:lang w:val="en-US" w:eastAsia="zh-CN"/>
          <w14:textFill>
            <w14:solidFill>
              <w14:schemeClr w14:val="tx1"/>
            </w14:solidFill>
          </w14:textFill>
        </w:rPr>
        <w:t>项目2023</w:t>
      </w:r>
      <w:r>
        <w:rPr>
          <w:rFonts w:hint="eastAsia" w:ascii="宋体" w:hAnsi="宋体" w:eastAsia="宋体" w:cs="宋体"/>
          <w:b/>
          <w:color w:val="000000" w:themeColor="text1"/>
          <w:sz w:val="52"/>
          <w:szCs w:val="52"/>
          <w:highlight w:val="none"/>
          <w:u w:val="single"/>
          <w:lang w:val="en-US" w:eastAsia="zh-CN"/>
          <w14:textFill>
            <w14:solidFill>
              <w14:schemeClr w14:val="tx1"/>
            </w14:solidFill>
          </w14:textFill>
        </w:rPr>
        <w:t>～</w:t>
      </w:r>
      <w:r>
        <w:rPr>
          <w:rFonts w:hint="eastAsia" w:ascii="仿宋_GB2312" w:hAnsi="仿宋_GB2312" w:eastAsia="仿宋_GB2312" w:cs="仿宋_GB2312"/>
          <w:b/>
          <w:color w:val="000000" w:themeColor="text1"/>
          <w:sz w:val="52"/>
          <w:szCs w:val="52"/>
          <w:highlight w:val="none"/>
          <w:u w:val="single"/>
          <w:lang w:val="en-US" w:eastAsia="zh-CN"/>
          <w14:textFill>
            <w14:solidFill>
              <w14:schemeClr w14:val="tx1"/>
            </w14:solidFill>
          </w14:textFill>
        </w:rPr>
        <w:t>2024年度</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零星防水补漏</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同</w:t>
      </w: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default"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 xml:space="preserve">合同编号：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发包</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签订日期：202</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3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年</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8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月</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bCs/>
          <w:color w:val="000000" w:themeColor="text1"/>
          <w:kern w:val="2"/>
          <w:sz w:val="32"/>
          <w:szCs w:val="32"/>
          <w:highlight w:val="none"/>
          <w:u w:val="none"/>
          <w:lang w:val="en-US" w:eastAsia="zh-CN" w:bidi="ar-SA"/>
          <w14:textFill>
            <w14:solidFill>
              <w14:schemeClr w14:val="tx1"/>
            </w14:solidFill>
          </w14:textFill>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签订地点：广东东莞南城。</w:t>
      </w:r>
    </w:p>
    <w:sdt>
      <w:sdtPr>
        <w:rPr>
          <w:rFonts w:hint="eastAsia" w:ascii="仿宋_GB2312" w:hAnsi="仿宋_GB2312" w:eastAsia="仿宋_GB2312" w:cs="仿宋_GB2312"/>
          <w:b/>
          <w:bCs/>
          <w:i w:val="0"/>
          <w:iCs w:val="0"/>
          <w:color w:val="000000" w:themeColor="text1"/>
          <w:kern w:val="2"/>
          <w:sz w:val="21"/>
          <w:szCs w:val="22"/>
          <w:highlight w:val="none"/>
          <w:lang w:val="en-US" w:eastAsia="zh-CN" w:bidi="ar-SA"/>
          <w14:textFill>
            <w14:solidFill>
              <w14:schemeClr w14:val="tx1"/>
            </w14:solidFill>
          </w14:textFill>
        </w:rPr>
        <w:id w:val="147469943"/>
        <w15:color w:val="DBDBDB"/>
        <w:docPartObj>
          <w:docPartGallery w:val="Table of Contents"/>
          <w:docPartUnique/>
        </w:docPartObj>
      </w:sdtPr>
      <w:sdtEndPr>
        <w:rPr>
          <w:rFonts w:hint="eastAsia" w:ascii="仿宋_GB2312" w:hAnsi="仿宋_GB2312" w:eastAsia="仿宋_GB2312" w:cs="仿宋_GB2312"/>
          <w:b/>
          <w:bCs w:val="0"/>
          <w:i w:val="0"/>
          <w:iCs w:val="0"/>
          <w:color w:val="000000" w:themeColor="text1"/>
          <w:kern w:val="0"/>
          <w:sz w:val="24"/>
          <w:szCs w:val="24"/>
          <w:highlight w:val="none"/>
          <w:lang w:val="en-US" w:eastAsia="zh-CN" w:bidi="ar-SA"/>
          <w14:textFill>
            <w14:solidFill>
              <w14:schemeClr w14:val="tx1"/>
            </w14:solidFill>
          </w14:textFill>
        </w:rPr>
      </w:sdtEndPr>
      <w:sdtContent>
        <w:p>
          <w:pPr>
            <w:spacing w:before="0" w:beforeLines="0" w:after="0" w:afterLines="0" w:line="240" w:lineRule="auto"/>
            <w:ind w:left="-619" w:leftChars="-295" w:right="-735" w:rightChars="-350" w:firstLine="0" w:firstLineChars="0"/>
            <w:jc w:val="center"/>
            <w:rPr>
              <w:rFonts w:hint="eastAsia" w:ascii="仿宋_GB2312" w:hAnsi="仿宋_GB2312" w:eastAsia="仿宋_GB2312" w:cs="仿宋_GB2312"/>
              <w:b/>
              <w:bCs/>
              <w:i w:val="0"/>
              <w:iCs w:val="0"/>
              <w:color w:val="000000" w:themeColor="text1"/>
              <w:kern w:val="2"/>
              <w:sz w:val="21"/>
              <w:szCs w:val="22"/>
              <w:highlight w:val="none"/>
              <w:lang w:val="en-US" w:eastAsia="zh-CN" w:bidi="ar-SA"/>
              <w14:textFill>
                <w14:solidFill>
                  <w14:schemeClr w14:val="tx1"/>
                </w14:solidFill>
              </w14:textFill>
            </w:rPr>
          </w:pPr>
        </w:p>
        <w:p>
          <w:pPr>
            <w:spacing w:before="0" w:beforeLines="0" w:after="0" w:afterLines="0" w:line="240" w:lineRule="auto"/>
            <w:ind w:left="-619" w:leftChars="-295" w:right="-735" w:rightChars="-350" w:firstLine="0" w:firstLineChars="0"/>
            <w:jc w:val="center"/>
            <w:rPr>
              <w:rFonts w:hint="eastAsia" w:ascii="仿宋_GB2312" w:hAnsi="仿宋_GB2312" w:eastAsia="仿宋_GB2312" w:cs="仿宋_GB2312"/>
              <w:b/>
              <w:bCs/>
              <w:i w:val="0"/>
              <w:iCs w:val="0"/>
              <w:color w:val="000000" w:themeColor="text1"/>
              <w:sz w:val="36"/>
              <w:szCs w:val="36"/>
              <w:highlight w:val="none"/>
              <w14:textFill>
                <w14:solidFill>
                  <w14:schemeClr w14:val="tx1"/>
                </w14:solidFill>
              </w14:textFill>
            </w:rPr>
          </w:pPr>
          <w:r>
            <w:rPr>
              <w:rFonts w:hint="eastAsia" w:ascii="仿宋_GB2312" w:hAnsi="仿宋_GB2312" w:eastAsia="仿宋_GB2312" w:cs="仿宋_GB2312"/>
              <w:b/>
              <w:bCs/>
              <w:i w:val="0"/>
              <w:iCs w:val="0"/>
              <w:color w:val="000000" w:themeColor="text1"/>
              <w:sz w:val="36"/>
              <w:szCs w:val="36"/>
              <w:highlight w:val="none"/>
              <w14:textFill>
                <w14:solidFill>
                  <w14:schemeClr w14:val="tx1"/>
                </w14:solidFill>
              </w14:textFill>
            </w:rPr>
            <w:t>目录</w:t>
          </w:r>
        </w:p>
        <w:p>
          <w:pPr>
            <w:pStyle w:val="8"/>
            <w:tabs>
              <w:tab w:val="right" w:leader="dot" w:pos="8504"/>
            </w:tabs>
            <w:rPr>
              <w:sz w:val="24"/>
              <w:szCs w:val="24"/>
            </w:rPr>
          </w:pP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instrText xml:space="preserve">TOC \o "1-1" \h \u </w:instrText>
          </w: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_Toc22508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highlight w:val="none"/>
              <w:shd w:val="clear" w:color="auto" w:fill="auto"/>
              <w:lang w:val="en-US" w:eastAsia="zh-CN"/>
            </w:rPr>
            <w:t>第一章</w:t>
          </w:r>
          <w:r>
            <w:rPr>
              <w:rFonts w:hint="eastAsia" w:ascii="仿宋_GB2312" w:hAnsi="仿宋_GB2312" w:eastAsia="仿宋_GB2312" w:cs="仿宋_GB2312"/>
              <w:bCs/>
              <w:i w:val="0"/>
              <w:iCs w:val="0"/>
              <w:sz w:val="24"/>
              <w:szCs w:val="24"/>
              <w:highlight w:val="none"/>
              <w:shd w:val="clear" w:color="auto" w:fill="auto"/>
            </w:rPr>
            <w:t>、项目概况</w:t>
          </w:r>
          <w:r>
            <w:rPr>
              <w:sz w:val="24"/>
              <w:szCs w:val="24"/>
            </w:rPr>
            <w:tab/>
          </w:r>
          <w:r>
            <w:rPr>
              <w:sz w:val="24"/>
              <w:szCs w:val="24"/>
            </w:rPr>
            <w:fldChar w:fldCharType="begin"/>
          </w:r>
          <w:r>
            <w:rPr>
              <w:sz w:val="24"/>
              <w:szCs w:val="24"/>
            </w:rPr>
            <w:instrText xml:space="preserve"> PAGEREF _Toc22508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_Toc8911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第二章、 </w:t>
          </w:r>
          <w:r>
            <w:rPr>
              <w:rFonts w:hint="eastAsia" w:ascii="仿宋_GB2312" w:hAnsi="仿宋_GB2312" w:eastAsia="仿宋_GB2312" w:cs="仿宋_GB2312"/>
              <w:bCs/>
              <w:i w:val="0"/>
              <w:iCs w:val="0"/>
              <w:sz w:val="24"/>
              <w:szCs w:val="24"/>
              <w:highlight w:val="none"/>
              <w:shd w:val="clear" w:color="auto" w:fill="auto"/>
              <w:lang w:val="en-US" w:eastAsia="zh-CN"/>
            </w:rPr>
            <w:t>承包方式</w:t>
          </w:r>
          <w:r>
            <w:rPr>
              <w:sz w:val="24"/>
              <w:szCs w:val="24"/>
            </w:rPr>
            <w:tab/>
          </w:r>
          <w:r>
            <w:rPr>
              <w:sz w:val="24"/>
              <w:szCs w:val="24"/>
            </w:rPr>
            <w:fldChar w:fldCharType="begin"/>
          </w:r>
          <w:r>
            <w:rPr>
              <w:sz w:val="24"/>
              <w:szCs w:val="24"/>
            </w:rPr>
            <w:instrText xml:space="preserve"> PAGEREF _Toc8911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_Toc2307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第三章、 </w:t>
          </w:r>
          <w:r>
            <w:rPr>
              <w:rFonts w:hint="eastAsia" w:ascii="仿宋_GB2312" w:hAnsi="仿宋_GB2312" w:eastAsia="仿宋_GB2312" w:cs="仿宋_GB2312"/>
              <w:bCs/>
              <w:i w:val="0"/>
              <w:iCs w:val="0"/>
              <w:sz w:val="24"/>
              <w:szCs w:val="24"/>
              <w:highlight w:val="none"/>
              <w:shd w:val="clear" w:color="auto" w:fill="auto"/>
              <w:lang w:val="en-US" w:eastAsia="zh-CN"/>
            </w:rPr>
            <w:t>乙方承包范围及主要工程内容</w:t>
          </w:r>
          <w:r>
            <w:rPr>
              <w:sz w:val="24"/>
              <w:szCs w:val="24"/>
            </w:rPr>
            <w:tab/>
          </w:r>
          <w:r>
            <w:rPr>
              <w:sz w:val="24"/>
              <w:szCs w:val="24"/>
            </w:rPr>
            <w:fldChar w:fldCharType="begin"/>
          </w:r>
          <w:r>
            <w:rPr>
              <w:sz w:val="24"/>
              <w:szCs w:val="24"/>
            </w:rPr>
            <w:instrText xml:space="preserve"> PAGEREF _Toc2307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_Toc9088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第四章、 </w:t>
          </w:r>
          <w:r>
            <w:rPr>
              <w:rFonts w:hint="eastAsia" w:ascii="仿宋_GB2312" w:hAnsi="仿宋_GB2312" w:eastAsia="仿宋_GB2312" w:cs="仿宋_GB2312"/>
              <w:bCs/>
              <w:i w:val="0"/>
              <w:iCs w:val="0"/>
              <w:sz w:val="24"/>
              <w:szCs w:val="24"/>
              <w:highlight w:val="none"/>
              <w:shd w:val="clear" w:color="auto" w:fill="auto"/>
              <w:lang w:val="en-US" w:eastAsia="zh-CN"/>
            </w:rPr>
            <w:t>工期</w:t>
          </w:r>
          <w:r>
            <w:rPr>
              <w:sz w:val="24"/>
              <w:szCs w:val="24"/>
            </w:rPr>
            <w:tab/>
          </w:r>
          <w:r>
            <w:rPr>
              <w:sz w:val="24"/>
              <w:szCs w:val="24"/>
            </w:rPr>
            <w:fldChar w:fldCharType="begin"/>
          </w:r>
          <w:r>
            <w:rPr>
              <w:sz w:val="24"/>
              <w:szCs w:val="24"/>
            </w:rPr>
            <w:instrText xml:space="preserve"> PAGEREF _Toc9088 \h </w:instrText>
          </w:r>
          <w:r>
            <w:rPr>
              <w:sz w:val="24"/>
              <w:szCs w:val="24"/>
            </w:rPr>
            <w:fldChar w:fldCharType="separate"/>
          </w:r>
          <w:r>
            <w:rPr>
              <w:sz w:val="24"/>
              <w:szCs w:val="24"/>
            </w:rPr>
            <w:t>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_Toc18346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第五章、 </w:t>
          </w:r>
          <w:r>
            <w:rPr>
              <w:rFonts w:hint="eastAsia" w:ascii="仿宋_GB2312" w:hAnsi="仿宋_GB2312" w:eastAsia="仿宋_GB2312" w:cs="仿宋_GB2312"/>
              <w:bCs/>
              <w:i w:val="0"/>
              <w:iCs w:val="0"/>
              <w:sz w:val="24"/>
              <w:szCs w:val="24"/>
              <w:highlight w:val="none"/>
              <w:shd w:val="clear" w:color="auto" w:fill="auto"/>
              <w:lang w:val="en-US" w:eastAsia="zh-CN"/>
            </w:rPr>
            <w:t>工程质量标准</w:t>
          </w:r>
          <w:r>
            <w:rPr>
              <w:sz w:val="24"/>
              <w:szCs w:val="24"/>
            </w:rPr>
            <w:tab/>
          </w:r>
          <w:r>
            <w:rPr>
              <w:sz w:val="24"/>
              <w:szCs w:val="24"/>
            </w:rPr>
            <w:fldChar w:fldCharType="begin"/>
          </w:r>
          <w:r>
            <w:rPr>
              <w:sz w:val="24"/>
              <w:szCs w:val="24"/>
            </w:rPr>
            <w:instrText xml:space="preserve"> PAGEREF _Toc18346 \h </w:instrText>
          </w:r>
          <w:r>
            <w:rPr>
              <w:sz w:val="24"/>
              <w:szCs w:val="24"/>
            </w:rPr>
            <w:fldChar w:fldCharType="separate"/>
          </w:r>
          <w:r>
            <w:rPr>
              <w:sz w:val="24"/>
              <w:szCs w:val="24"/>
            </w:rPr>
            <w:t>4</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_Toc12151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第六章、 </w:t>
          </w:r>
          <w:r>
            <w:rPr>
              <w:rFonts w:hint="eastAsia" w:ascii="仿宋_GB2312" w:hAnsi="仿宋_GB2312" w:eastAsia="仿宋_GB2312" w:cs="仿宋_GB2312"/>
              <w:bCs/>
              <w:i w:val="0"/>
              <w:iCs w:val="0"/>
              <w:sz w:val="24"/>
              <w:szCs w:val="24"/>
              <w:highlight w:val="none"/>
              <w:shd w:val="clear" w:color="auto" w:fill="auto"/>
              <w:lang w:val="en-US" w:eastAsia="zh-CN"/>
            </w:rPr>
            <w:t>合同价款</w:t>
          </w:r>
          <w:r>
            <w:rPr>
              <w:sz w:val="24"/>
              <w:szCs w:val="24"/>
            </w:rPr>
            <w:tab/>
          </w:r>
          <w:r>
            <w:rPr>
              <w:sz w:val="24"/>
              <w:szCs w:val="24"/>
            </w:rPr>
            <w:fldChar w:fldCharType="begin"/>
          </w:r>
          <w:r>
            <w:rPr>
              <w:sz w:val="24"/>
              <w:szCs w:val="24"/>
            </w:rPr>
            <w:instrText xml:space="preserve"> PAGEREF _Toc12151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_Toc11681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第七章、 </w:t>
          </w:r>
          <w:r>
            <w:rPr>
              <w:rFonts w:hint="eastAsia" w:ascii="仿宋_GB2312" w:hAnsi="仿宋_GB2312" w:eastAsia="仿宋_GB2312" w:cs="仿宋_GB2312"/>
              <w:bCs/>
              <w:i w:val="0"/>
              <w:iCs w:val="0"/>
              <w:sz w:val="24"/>
              <w:szCs w:val="24"/>
              <w:highlight w:val="none"/>
              <w:shd w:val="clear" w:color="auto" w:fill="auto"/>
              <w:lang w:val="en-US" w:eastAsia="zh-CN"/>
            </w:rPr>
            <w:t>计量计价方式及结算方式</w:t>
          </w:r>
          <w:r>
            <w:rPr>
              <w:sz w:val="24"/>
              <w:szCs w:val="24"/>
            </w:rPr>
            <w:tab/>
          </w:r>
          <w:r>
            <w:rPr>
              <w:sz w:val="24"/>
              <w:szCs w:val="24"/>
            </w:rPr>
            <w:fldChar w:fldCharType="begin"/>
          </w:r>
          <w:r>
            <w:rPr>
              <w:sz w:val="24"/>
              <w:szCs w:val="24"/>
            </w:rPr>
            <w:instrText xml:space="preserve"> PAGEREF _Toc11681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_Toc15133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第八章、 </w:t>
          </w:r>
          <w:r>
            <w:rPr>
              <w:rFonts w:hint="eastAsia" w:ascii="仿宋_GB2312" w:hAnsi="仿宋_GB2312" w:eastAsia="仿宋_GB2312" w:cs="仿宋_GB2312"/>
              <w:bCs/>
              <w:i w:val="0"/>
              <w:iCs w:val="0"/>
              <w:sz w:val="24"/>
              <w:szCs w:val="24"/>
              <w:highlight w:val="none"/>
              <w:shd w:val="clear" w:color="auto" w:fill="auto"/>
              <w:lang w:val="en-US" w:eastAsia="zh-CN"/>
            </w:rPr>
            <w:t>付款方式</w:t>
          </w:r>
          <w:r>
            <w:rPr>
              <w:sz w:val="24"/>
              <w:szCs w:val="24"/>
            </w:rPr>
            <w:tab/>
          </w:r>
          <w:r>
            <w:rPr>
              <w:sz w:val="24"/>
              <w:szCs w:val="24"/>
            </w:rPr>
            <w:fldChar w:fldCharType="begin"/>
          </w:r>
          <w:r>
            <w:rPr>
              <w:sz w:val="24"/>
              <w:szCs w:val="24"/>
            </w:rPr>
            <w:instrText xml:space="preserve"> PAGEREF _Toc15133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_Toc16560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第九章、 </w:t>
          </w:r>
          <w:r>
            <w:rPr>
              <w:rFonts w:hint="eastAsia" w:ascii="仿宋_GB2312" w:hAnsi="仿宋_GB2312" w:eastAsia="仿宋_GB2312" w:cs="仿宋_GB2312"/>
              <w:bCs/>
              <w:i w:val="0"/>
              <w:iCs w:val="0"/>
              <w:sz w:val="24"/>
              <w:szCs w:val="24"/>
              <w:highlight w:val="none"/>
              <w:shd w:val="clear" w:color="auto" w:fill="auto"/>
              <w:lang w:val="en-US" w:eastAsia="zh-CN"/>
            </w:rPr>
            <w:t>双方责任和权利</w:t>
          </w:r>
          <w:r>
            <w:rPr>
              <w:sz w:val="24"/>
              <w:szCs w:val="24"/>
            </w:rPr>
            <w:tab/>
          </w:r>
          <w:r>
            <w:rPr>
              <w:sz w:val="24"/>
              <w:szCs w:val="24"/>
            </w:rPr>
            <w:fldChar w:fldCharType="begin"/>
          </w:r>
          <w:r>
            <w:rPr>
              <w:sz w:val="24"/>
              <w:szCs w:val="24"/>
            </w:rPr>
            <w:instrText xml:space="preserve"> PAGEREF _Toc16560 \h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_Toc5139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第十章、 </w:t>
          </w:r>
          <w:r>
            <w:rPr>
              <w:rFonts w:hint="eastAsia" w:ascii="仿宋_GB2312" w:hAnsi="仿宋_GB2312" w:eastAsia="仿宋_GB2312" w:cs="仿宋_GB2312"/>
              <w:bCs/>
              <w:i w:val="0"/>
              <w:iCs w:val="0"/>
              <w:sz w:val="24"/>
              <w:szCs w:val="24"/>
              <w:highlight w:val="none"/>
              <w:shd w:val="clear" w:color="auto" w:fill="auto"/>
              <w:lang w:val="en-US" w:eastAsia="zh-CN"/>
            </w:rPr>
            <w:t>安全生产、文明施工要求</w:t>
          </w:r>
          <w:r>
            <w:rPr>
              <w:sz w:val="24"/>
              <w:szCs w:val="24"/>
            </w:rPr>
            <w:tab/>
          </w:r>
          <w:r>
            <w:rPr>
              <w:sz w:val="24"/>
              <w:szCs w:val="24"/>
            </w:rPr>
            <w:fldChar w:fldCharType="begin"/>
          </w:r>
          <w:r>
            <w:rPr>
              <w:sz w:val="24"/>
              <w:szCs w:val="24"/>
            </w:rPr>
            <w:instrText xml:space="preserve"> PAGEREF _Toc5139 \h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_Toc25343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第十一章、 </w:t>
          </w:r>
          <w:r>
            <w:rPr>
              <w:rFonts w:hint="eastAsia" w:ascii="仿宋_GB2312" w:hAnsi="仿宋_GB2312" w:eastAsia="仿宋_GB2312" w:cs="仿宋_GB2312"/>
              <w:bCs/>
              <w:i w:val="0"/>
              <w:iCs w:val="0"/>
              <w:sz w:val="24"/>
              <w:szCs w:val="24"/>
              <w:highlight w:val="none"/>
              <w:shd w:val="clear" w:color="auto" w:fill="auto"/>
              <w:lang w:val="en-US" w:eastAsia="zh-CN"/>
            </w:rPr>
            <w:t>验收及保修</w:t>
          </w:r>
          <w:r>
            <w:rPr>
              <w:sz w:val="24"/>
              <w:szCs w:val="24"/>
            </w:rPr>
            <w:tab/>
          </w:r>
          <w:r>
            <w:rPr>
              <w:sz w:val="24"/>
              <w:szCs w:val="24"/>
            </w:rPr>
            <w:fldChar w:fldCharType="begin"/>
          </w:r>
          <w:r>
            <w:rPr>
              <w:sz w:val="24"/>
              <w:szCs w:val="24"/>
            </w:rPr>
            <w:instrText xml:space="preserve"> PAGEREF _Toc25343 \h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_Toc31409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第十二章、 </w:t>
          </w:r>
          <w:r>
            <w:rPr>
              <w:rFonts w:hint="eastAsia" w:ascii="仿宋_GB2312" w:hAnsi="仿宋_GB2312" w:eastAsia="仿宋_GB2312" w:cs="仿宋_GB2312"/>
              <w:bCs/>
              <w:i w:val="0"/>
              <w:iCs w:val="0"/>
              <w:sz w:val="24"/>
              <w:szCs w:val="24"/>
              <w:highlight w:val="none"/>
              <w:shd w:val="clear" w:color="auto" w:fill="auto"/>
              <w:lang w:val="en-US" w:eastAsia="zh-CN"/>
            </w:rPr>
            <w:t>保险</w:t>
          </w:r>
          <w:r>
            <w:rPr>
              <w:sz w:val="24"/>
              <w:szCs w:val="24"/>
            </w:rPr>
            <w:tab/>
          </w:r>
          <w:r>
            <w:rPr>
              <w:sz w:val="24"/>
              <w:szCs w:val="24"/>
            </w:rPr>
            <w:fldChar w:fldCharType="begin"/>
          </w:r>
          <w:r>
            <w:rPr>
              <w:sz w:val="24"/>
              <w:szCs w:val="24"/>
            </w:rPr>
            <w:instrText xml:space="preserve"> PAGEREF _Toc31409 \h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_Toc18224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第十三章、 </w:t>
          </w:r>
          <w:r>
            <w:rPr>
              <w:rFonts w:hint="eastAsia" w:ascii="仿宋_GB2312" w:hAnsi="仿宋_GB2312" w:eastAsia="仿宋_GB2312" w:cs="仿宋_GB2312"/>
              <w:bCs/>
              <w:i w:val="0"/>
              <w:iCs w:val="0"/>
              <w:sz w:val="24"/>
              <w:szCs w:val="24"/>
              <w:highlight w:val="none"/>
              <w:shd w:val="clear" w:color="auto" w:fill="auto"/>
              <w:lang w:val="en-US" w:eastAsia="zh-CN"/>
            </w:rPr>
            <w:t>奖罚条款</w:t>
          </w:r>
          <w:r>
            <w:rPr>
              <w:sz w:val="24"/>
              <w:szCs w:val="24"/>
            </w:rPr>
            <w:tab/>
          </w:r>
          <w:r>
            <w:rPr>
              <w:sz w:val="24"/>
              <w:szCs w:val="24"/>
            </w:rPr>
            <w:fldChar w:fldCharType="begin"/>
          </w:r>
          <w:r>
            <w:rPr>
              <w:sz w:val="24"/>
              <w:szCs w:val="24"/>
            </w:rPr>
            <w:instrText xml:space="preserve"> PAGEREF _Toc18224 \h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_Toc1056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第十四章、 </w:t>
          </w:r>
          <w:r>
            <w:rPr>
              <w:rFonts w:hint="eastAsia" w:ascii="仿宋_GB2312" w:hAnsi="仿宋_GB2312" w:eastAsia="仿宋_GB2312" w:cs="仿宋_GB2312"/>
              <w:bCs/>
              <w:i w:val="0"/>
              <w:iCs w:val="0"/>
              <w:sz w:val="24"/>
              <w:szCs w:val="24"/>
              <w:highlight w:val="none"/>
              <w:shd w:val="clear" w:color="auto" w:fill="auto"/>
              <w:lang w:val="en-US" w:eastAsia="zh-CN"/>
            </w:rPr>
            <w:t>违约条款</w:t>
          </w:r>
          <w:r>
            <w:rPr>
              <w:sz w:val="24"/>
              <w:szCs w:val="24"/>
            </w:rPr>
            <w:tab/>
          </w:r>
          <w:r>
            <w:rPr>
              <w:sz w:val="24"/>
              <w:szCs w:val="24"/>
            </w:rPr>
            <w:fldChar w:fldCharType="begin"/>
          </w:r>
          <w:r>
            <w:rPr>
              <w:sz w:val="24"/>
              <w:szCs w:val="24"/>
            </w:rPr>
            <w:instrText xml:space="preserve"> PAGEREF _Toc1056 \h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_Toc3698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第十五章、 </w:t>
          </w:r>
          <w:r>
            <w:rPr>
              <w:rFonts w:hint="eastAsia" w:ascii="仿宋_GB2312" w:hAnsi="仿宋_GB2312" w:eastAsia="仿宋_GB2312" w:cs="仿宋_GB2312"/>
              <w:bCs/>
              <w:i w:val="0"/>
              <w:iCs w:val="0"/>
              <w:sz w:val="24"/>
              <w:szCs w:val="24"/>
              <w:highlight w:val="none"/>
              <w:shd w:val="clear" w:color="auto" w:fill="auto"/>
              <w:lang w:val="en-US" w:eastAsia="zh-CN"/>
            </w:rPr>
            <w:t>廉洁条款</w:t>
          </w:r>
          <w:r>
            <w:rPr>
              <w:sz w:val="24"/>
              <w:szCs w:val="24"/>
            </w:rPr>
            <w:tab/>
          </w:r>
          <w:r>
            <w:rPr>
              <w:sz w:val="24"/>
              <w:szCs w:val="24"/>
            </w:rPr>
            <w:fldChar w:fldCharType="begin"/>
          </w:r>
          <w:r>
            <w:rPr>
              <w:sz w:val="24"/>
              <w:szCs w:val="24"/>
            </w:rPr>
            <w:instrText xml:space="preserve"> PAGEREF _Toc3698 \h </w:instrText>
          </w:r>
          <w:r>
            <w:rPr>
              <w:sz w:val="24"/>
              <w:szCs w:val="24"/>
            </w:rPr>
            <w:fldChar w:fldCharType="separate"/>
          </w:r>
          <w:r>
            <w:rPr>
              <w:sz w:val="24"/>
              <w:szCs w:val="24"/>
            </w:rPr>
            <w:t>28</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_Toc29384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第十六章、 </w:t>
          </w:r>
          <w:r>
            <w:rPr>
              <w:rFonts w:hint="eastAsia" w:ascii="仿宋_GB2312" w:hAnsi="仿宋_GB2312" w:eastAsia="仿宋_GB2312" w:cs="仿宋_GB2312"/>
              <w:bCs/>
              <w:i w:val="0"/>
              <w:iCs w:val="0"/>
              <w:sz w:val="24"/>
              <w:szCs w:val="24"/>
              <w:highlight w:val="none"/>
              <w:shd w:val="clear" w:color="auto" w:fill="auto"/>
              <w:lang w:val="en-US" w:eastAsia="zh-CN"/>
            </w:rPr>
            <w:t>其他</w:t>
          </w:r>
          <w:r>
            <w:rPr>
              <w:sz w:val="24"/>
              <w:szCs w:val="24"/>
            </w:rPr>
            <w:tab/>
          </w:r>
          <w:r>
            <w:rPr>
              <w:sz w:val="24"/>
              <w:szCs w:val="24"/>
            </w:rPr>
            <w:fldChar w:fldCharType="begin"/>
          </w:r>
          <w:r>
            <w:rPr>
              <w:sz w:val="24"/>
              <w:szCs w:val="24"/>
            </w:rPr>
            <w:instrText xml:space="preserve"> PAGEREF _Toc29384 \h </w:instrText>
          </w:r>
          <w:r>
            <w:rPr>
              <w:sz w:val="24"/>
              <w:szCs w:val="24"/>
            </w:rPr>
            <w:fldChar w:fldCharType="separate"/>
          </w:r>
          <w:r>
            <w:rPr>
              <w:sz w:val="24"/>
              <w:szCs w:val="24"/>
            </w:rPr>
            <w:t>28</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rFonts w:hint="eastAsia" w:ascii="仿宋_GB2312" w:hAnsi="仿宋_GB2312" w:eastAsia="仿宋_GB2312" w:cs="仿宋_GB2312"/>
              <w:color w:val="000000" w:themeColor="text1"/>
              <w:highlight w:val="none"/>
              <w14:textFill>
                <w14:solidFill>
                  <w14:schemeClr w14:val="tx1"/>
                </w14:solidFill>
              </w14:textFill>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sdtContent>
    </w:sdt>
    <w:p>
      <w:pPr>
        <w:tabs>
          <w:tab w:val="left" w:pos="6272"/>
        </w:tabs>
        <w:ind w:left="-197" w:leftChars="-94" w:right="-578" w:rightChars="-275" w:firstLine="312" w:firstLineChars="149"/>
        <w:rPr>
          <w:rFonts w:hint="eastAsia" w:ascii="仿宋_GB2312" w:hAnsi="仿宋_GB2312" w:eastAsia="仿宋_GB2312" w:cs="仿宋_GB2312"/>
          <w:i w:val="0"/>
          <w:iCs w:val="0"/>
          <w:color w:val="000000" w:themeColor="text1"/>
          <w:kern w:val="0"/>
          <w:sz w:val="21"/>
          <w:szCs w:val="21"/>
          <w:highlight w:val="none"/>
          <w14:textFill>
            <w14:solidFill>
              <w14:schemeClr w14:val="tx1"/>
            </w14:solidFill>
          </w14:textFill>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tabs>
          <w:tab w:val="left" w:pos="6272"/>
        </w:tabs>
        <w:kinsoku/>
        <w:wordWrap/>
        <w:overflowPunct/>
        <w:topLinePunct w:val="0"/>
        <w:autoSpaceDE/>
        <w:autoSpaceDN/>
        <w:bidi w:val="0"/>
        <w:adjustRightInd/>
        <w:spacing w:line="520" w:lineRule="exact"/>
        <w:ind w:right="-578" w:rightChars="-275" w:firstLine="560" w:firstLineChars="200"/>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14:textFill>
            <w14:solidFill>
              <w14:schemeClr w14:val="tx1"/>
            </w14:solidFill>
          </w14:textFill>
        </w:rPr>
        <w:t>根据《中华人民共</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和国民法典》《中华人民共和国建筑法》《建设工程质量管理条例》及有关法律、法规，甲乙双方在平等、自愿、公平和诚实信用的基础上，就乙方承包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甲方指定的东莞项目零星</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防水补漏</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（以下简称“</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有关事项协商一致，特签订本合同以共同遵守。</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本合同范围内，对以</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开头的内容，以</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6" w:beforeLines="50" w:line="520" w:lineRule="exact"/>
        <w:ind w:left="-210" w:leftChars="-100" w:right="-945" w:rightChars="-450" w:firstLine="10" w:firstLineChars="0"/>
        <w:jc w:val="both"/>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bookmarkStart w:id="0" w:name="_Toc1208"/>
      <w:bookmarkStart w:id="1" w:name="_Toc2533"/>
      <w:bookmarkStart w:id="2" w:name="_Toc26146"/>
      <w:bookmarkStart w:id="3" w:name="_Toc22508"/>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第一章</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1.1项目名称：</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甲方根据实际情况指定</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val="en-US" w:eastAsia="zh-CN"/>
          <w14:textFill>
            <w14:solidFill>
              <w14:schemeClr w14:val="tx1"/>
            </w14:solidFill>
          </w14:textFill>
        </w:rPr>
        <w:t>以下简称“本项目”</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1.2项目地址：</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东莞辖区内</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1.3本工程的甲供材料：</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无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1.4甲方提供施工基础条件及主要设施：</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以施工工作面的实际现状为准。</w:t>
      </w:r>
    </w:p>
    <w:p>
      <w:pPr>
        <w:spacing w:line="360" w:lineRule="auto"/>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 xml:space="preserve">1.5 </w:t>
      </w:r>
      <w:r>
        <w:rPr>
          <w:rFonts w:hint="eastAsia" w:ascii="仿宋_GB2312" w:hAnsi="仿宋_GB2312" w:eastAsia="仿宋_GB2312" w:cs="仿宋_GB2312"/>
          <w:i w:val="0"/>
          <w:iCs w:val="0"/>
          <w:color w:val="FF0000"/>
          <w:sz w:val="28"/>
          <w:szCs w:val="28"/>
          <w:highlight w:val="none"/>
          <w:shd w:val="clear" w:color="auto" w:fill="auto"/>
          <w:lang w:val="en-US" w:eastAsia="zh-CN"/>
        </w:rPr>
        <w:t>乙方进场施工前，甲方仅提供的施工条件、界面为：</w:t>
      </w:r>
      <w:r>
        <w:rPr>
          <w:rFonts w:hint="eastAsia" w:ascii="仿宋_GB2312" w:hAnsi="仿宋_GB2312" w:eastAsia="仿宋_GB2312" w:cs="仿宋_GB2312"/>
          <w:i w:val="0"/>
          <w:iCs w:val="0"/>
          <w:color w:val="FF0000"/>
          <w:sz w:val="28"/>
          <w:szCs w:val="28"/>
          <w:highlight w:val="none"/>
          <w:u w:val="single"/>
          <w:shd w:val="clear" w:color="auto" w:fill="auto"/>
          <w:lang w:val="en-US" w:eastAsia="zh-CN"/>
        </w:rPr>
        <w:t>（招标、合同评审 时由项目部、工程部根据实际情况填写）</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left="-196" w:leftChars="-95" w:right="-578" w:rightChars="-275" w:hanging="3" w:firstLineChars="0"/>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 w:name="_Toc8911"/>
      <w:bookmarkStart w:id="5" w:name="_Toc15434"/>
      <w:bookmarkStart w:id="6" w:name="_Toc27213"/>
      <w:bookmarkStart w:id="7" w:name="_Toc967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承包方式</w:t>
      </w:r>
      <w:bookmarkEnd w:id="4"/>
      <w:bookmarkEnd w:id="5"/>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8" w:name="_Toc14685"/>
      <w:bookmarkStart w:id="9" w:name="_Toc31503"/>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2.1乙方以</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包工、包料/</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包工、包辅材（主材甲供）</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的形式承包本工程。</w:t>
      </w:r>
      <w:bookmarkEnd w:id="8"/>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2.2乙方对本工程包各类辅材及配件、包产品检验检测合格、包安全文明施工、包成品保护、包场地清理、包工期、包各种情形所要求的赶工措施及产生的费用、包质量、包保险、包风险、包保修、包管理、包利润、包税金、包材料上涨、包其他工种配合可能产生的降效及产生的费用及本工程施工过程中所涉及的一切风险因素及全部内容及费用。</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left="-196" w:leftChars="-95" w:right="-578" w:rightChars="-275" w:hanging="3" w:firstLineChars="0"/>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0" w:name="_Toc2307"/>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乙方承包范围及主要工程内容</w:t>
      </w:r>
      <w:bookmarkEnd w:id="6"/>
      <w:bookmarkEnd w:id="7"/>
      <w:bookmarkEnd w:id="9"/>
      <w:bookmarkEnd w:id="10"/>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 </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甲方指定的东莞项目用地红线范围内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防水补漏工程由乙方负责（</w:t>
      </w:r>
      <w:r>
        <w:rPr>
          <w:rFonts w:hint="eastAsia" w:ascii="仿宋_GB2312" w:hAnsi="仿宋_GB2312" w:eastAsia="仿宋_GB2312" w:cs="仿宋_GB2312"/>
          <w:b w:val="0"/>
          <w:bCs w:val="0"/>
          <w:i w:val="0"/>
          <w:iCs w:val="0"/>
          <w:color w:val="auto"/>
          <w:sz w:val="28"/>
          <w:szCs w:val="28"/>
          <w:highlight w:val="none"/>
          <w:shd w:val="clear" w:color="auto" w:fill="auto"/>
        </w:rPr>
        <w:t>具体范围</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w:t>
      </w:r>
      <w:r>
        <w:rPr>
          <w:rFonts w:hint="eastAsia" w:ascii="仿宋_GB2312" w:hAnsi="仿宋_GB2312" w:eastAsia="仿宋_GB2312" w:cs="仿宋_GB2312"/>
          <w:b w:val="0"/>
          <w:bCs w:val="0"/>
          <w:i w:val="0"/>
          <w:iCs w:val="0"/>
          <w:color w:val="auto"/>
          <w:sz w:val="28"/>
          <w:szCs w:val="28"/>
          <w:highlight w:val="none"/>
          <w:shd w:val="clear" w:color="auto" w:fill="auto"/>
        </w:rPr>
        <w:t>要求</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包括但不限于：清理基层、刷基层处理剂，防水薄弱处刷聚氨酯涂膜及卷材，附加层、加强层等细部处理，裂缝处理（如采用高压注浆等方式封堵等）贴卷材，卷材搭接处及收头嵌油膏，具体施工范围按图纸、规范及甲方要求施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，过程中产生的全部人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报酬、材料、机具、施工管理等由乙方解决</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提供</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图纸</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清单</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所含内容由乙方施工，本合同另有约定的除外</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。甲方有权调整乙方的承包范围及内容，乙方不得以任何理由拒绝</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否则甲方有权单方解除合同。</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3.3</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3.4</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乙方负责施工的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主要</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包括但不限于</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3.4.1严格执行甲方发布的质量通病细则，所产生的费用已包含在合同单价内。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3.4.2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配备本工程所需电工，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电工须持证上岗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甲方电工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仅对乙方电工进行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监督、检查、管理、指导</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3.4.3</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本工程具体作法以甲方与建设单位书面确认的交楼标准及施工图纸为准。</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3.4.4</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其他：        无</w:t>
      </w:r>
      <w:r>
        <w:rPr>
          <w:rFonts w:hint="eastAsia" w:ascii="宋体" w:hAnsi="宋体" w:eastAsia="宋体" w:cs="宋体"/>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3.5 乙方自备的施工材料包括但不限于：</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基层处理剂，聚氨酯涂膜，聚氨酯油性灌浆材料，防腐卷材、防水卷材、嵌油膏</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等</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整改</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或</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返工所用材料</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以及完成本工程所涉材料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both"/>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3.6 乙方自备的机具包括但不限于： 完成本工程所需的手提机具，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配</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置</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一机一闸一漏开关箱等机具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开关箱、漏电保护器参数</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必须</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符</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合</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《国家电气设备安全技术规范标准》GB19517-2009</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等规范的</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3.7 乙方自备机具的维修及养护由乙方自行负责；乙方自备/采购的材料、设备或小型机具必须符合设计规范及施工总包合同的要求。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3.8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乙方自行控制施工管理，自行组织</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施工的有关质量、安全、进度、成本等现场组织管理工作</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具体施工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方案以甲方确定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为准。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bookmarkStart w:id="11" w:name="_Toc15468"/>
      <w:bookmarkStart w:id="12" w:name="_Toc15548"/>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3.9 乙方承担的风险后果：本工程施工过程中如出现赶工、交叉作业、停工及工人工资、材料费、机具费上涨等风险，相关费用增减已由甲方提前根据本合同应支付给乙方的合同价款中一次性考虑，乙方不得就上述原因要求甲方对合同价款作相应调整。</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3.10 </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负责解决其</w:t>
      </w:r>
      <w:r>
        <w:rPr>
          <w:rFonts w:hint="eastAsia" w:ascii="仿宋_GB2312" w:hAnsi="仿宋_GB2312" w:eastAsia="仿宋_GB2312" w:cs="仿宋_GB2312"/>
          <w:b w:val="0"/>
          <w:bCs w:val="0"/>
          <w:i w:val="0"/>
          <w:iCs w:val="0"/>
          <w:color w:val="auto"/>
          <w:sz w:val="28"/>
          <w:szCs w:val="28"/>
          <w:highlight w:val="yellow"/>
          <w:shd w:val="clear" w:color="auto" w:fill="auto"/>
          <w:lang w:val="en-US" w:eastAsia="zh-CN"/>
        </w:rPr>
        <w:t>在本项目工作的所有</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的社会保险、工伤保险、人身意外伤害保险</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事宜，</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质量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按合同约定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承担保修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责任，</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的施工质量、安全生产、文明施工、工期进度和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材限额使用等相关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事项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承担全部责任</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3.11 乙方对本工程的施工质量、安全生产、文明施工、工期进度等相关问题承担全部责任。</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设计变更引起的增加工程，</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无论工程量大小及施工难度系数高低，如甲方要求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施工，乙方须按甲方要求施工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按本合同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约定办理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3.13 乙方已清楚了解甲方提供的基层情况，结算时不因本工程基层清理困难而要求甲方增补费用。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3.14 施工现场内本工程所需材料、机具的运输不另计费。材料进、出场时，派工人上、下车，上下车费用已包含在合同单价内。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3.15 乙方负责</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砂石堆料场、块料堆场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及工作面范围内</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的文明施工工作</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3.16 </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乙方施工过程中，负责本工程工作面上所用材料、机具、垃圾的清理，做到工完场清（工完场清交接单详见</w:t>
      </w:r>
      <w:r>
        <w:rPr>
          <w:rFonts w:hint="eastAsia" w:ascii="仿宋_GB2312" w:hAnsi="仿宋_GB2312" w:eastAsia="仿宋_GB2312" w:cs="仿宋_GB2312"/>
          <w:i w:val="0"/>
          <w:iCs w:val="0"/>
          <w:color w:val="000000" w:themeColor="text1"/>
          <w:sz w:val="28"/>
          <w:szCs w:val="28"/>
          <w:highlight w:val="yellow"/>
          <w:shd w:val="clear" w:color="auto" w:fill="auto"/>
          <w:lang w:val="en-US" w:eastAsia="zh-CN"/>
          <w14:textFill>
            <w14:solidFill>
              <w14:schemeClr w14:val="tx1"/>
            </w14:solidFill>
          </w14:textFill>
        </w:rPr>
        <w:t>附件三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3.17其他：</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yellow"/>
          <w:u w:val="singl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single"/>
          <w:lang w:val="en-US" w:eastAsia="zh-CN"/>
          <w14:textFill>
            <w14:solidFill>
              <w14:schemeClr w14:val="tx1"/>
            </w14:solidFill>
          </w14:textFill>
        </w:rPr>
        <w:t xml:space="preserve">    。</w:t>
      </w:r>
    </w:p>
    <w:bookmarkEnd w:id="11"/>
    <w:bookmarkEnd w:id="12"/>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3" w:name="_Toc27175"/>
      <w:bookmarkStart w:id="14" w:name="_Toc9088"/>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工期</w:t>
      </w:r>
      <w:bookmarkEnd w:id="13"/>
      <w:bookmarkEnd w:id="14"/>
    </w:p>
    <w:p>
      <w:pPr>
        <w:tabs>
          <w:tab w:val="right" w:pos="8306"/>
        </w:tabs>
        <w:snapToGrid w:val="0"/>
        <w:spacing w:line="360" w:lineRule="auto"/>
        <w:ind w:left="-197" w:leftChars="-94" w:right="-578" w:rightChars="-275" w:firstLine="417" w:firstLineChars="149"/>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.1</w:t>
      </w:r>
      <w:r>
        <w:rPr>
          <w:rFonts w:hint="eastAsia" w:ascii="仿宋_GB2312" w:hAnsi="仿宋_GB2312" w:eastAsia="仿宋_GB2312" w:cs="仿宋_GB2312"/>
          <w:i w:val="0"/>
          <w:iCs w:val="0"/>
          <w:color w:val="auto"/>
          <w:sz w:val="28"/>
          <w:szCs w:val="28"/>
          <w:highlight w:val="none"/>
          <w:shd w:val="clear" w:color="auto" w:fill="auto"/>
          <w:lang w:eastAsia="zh-CN"/>
        </w:rPr>
        <w:t>本工程</w:t>
      </w:r>
      <w:r>
        <w:rPr>
          <w:rFonts w:hint="eastAsia" w:ascii="仿宋_GB2312" w:hAnsi="仿宋_GB2312" w:eastAsia="仿宋_GB2312" w:cs="仿宋_GB2312"/>
          <w:i w:val="0"/>
          <w:iCs w:val="0"/>
          <w:color w:val="auto"/>
          <w:sz w:val="28"/>
          <w:szCs w:val="28"/>
          <w:highlight w:val="none"/>
          <w:shd w:val="clear" w:color="auto" w:fill="auto"/>
          <w:lang w:val="en-US" w:eastAsia="zh-CN"/>
        </w:rPr>
        <w:t>合同</w:t>
      </w:r>
      <w:r>
        <w:rPr>
          <w:rFonts w:hint="eastAsia" w:ascii="仿宋_GB2312" w:hAnsi="仿宋_GB2312" w:eastAsia="仿宋_GB2312" w:cs="仿宋_GB2312"/>
          <w:i w:val="0"/>
          <w:iCs w:val="0"/>
          <w:color w:val="auto"/>
          <w:sz w:val="28"/>
          <w:szCs w:val="28"/>
          <w:highlight w:val="none"/>
          <w:shd w:val="clear" w:color="auto" w:fill="auto"/>
        </w:rPr>
        <w:t>工期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必须满足甲方工期要求。</w:t>
      </w:r>
    </w:p>
    <w:p>
      <w:pPr>
        <w:tabs>
          <w:tab w:val="right" w:pos="8306"/>
        </w:tabs>
        <w:snapToGrid w:val="0"/>
        <w:spacing w:line="360" w:lineRule="auto"/>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4.2</w:t>
      </w:r>
      <w:r>
        <w:rPr>
          <w:rFonts w:hint="eastAsia" w:ascii="仿宋_GB2312" w:hAnsi="仿宋_GB2312" w:eastAsia="仿宋_GB2312" w:cs="仿宋_GB2312"/>
          <w:i w:val="0"/>
          <w:iCs w:val="0"/>
          <w:color w:val="auto"/>
          <w:sz w:val="28"/>
          <w:szCs w:val="28"/>
          <w:highlight w:val="none"/>
          <w:shd w:val="clear" w:color="auto" w:fill="auto"/>
          <w:lang w:val="en-US" w:eastAsia="zh-CN"/>
        </w:rPr>
        <w:t>本工程实际开工、竣工时间</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以甲方书面通知为准，甲方书面通知形式包括不限于微信、短信、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ab/>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传真、电子邮件、纸质文件等。乙方无条件按甲方要求调整开工、竣工时间。同时，乙方自行调整其人员、材料物资、资金的安排，随时配合甲方开工、竣工并按本合同约定价款执行。因甲方变更工期导致乙方损失的已经包含在</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tabs>
          <w:tab w:val="right" w:pos="8306"/>
        </w:tabs>
        <w:snapToGrid w:val="0"/>
        <w:spacing w:line="360" w:lineRule="auto"/>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4.3乙方提交的开工资料需满足甲方要求，且乙方需收到甲方项目经理签发并加盖项目章的开工令后，按开工令要求进场。</w:t>
      </w:r>
    </w:p>
    <w:p>
      <w:pPr>
        <w:tabs>
          <w:tab w:val="right" w:pos="8306"/>
        </w:tabs>
        <w:snapToGrid w:val="0"/>
        <w:spacing w:line="360" w:lineRule="auto"/>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4.4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严格遵照甲方制订的施工进度计划</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实施并完成相关工作</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接受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甲方项目部施工任务</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安排，否则甲方可按合同对乙方予以处罚。</w:t>
      </w:r>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4.6</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乙方已充分考虑天气</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及各种因素、除不可抗力（如：地震、海啸、瘟疫、骚乱、戒严、暴动、战争等法定情形）外其他原因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可能对工期</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影响，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乙方同意</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任何</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要求延长工期。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乙方必须满足</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工期要求，</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配合甲方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随时增加或减少</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人员</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以满足本工程施工要求</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4.8乙方确定在本合同签订前，已勘察本项目现场场地，对本工程特性全部清楚，因甲方原因导致施工计划调整的，乙方积极配合。</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乙方认为甲方或其他单位未配合提供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所需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工作面</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机具及材料而影响施工进度</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书面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告甲方并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要求办理相关事宜</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，否则视为不影响乙方施工，乙方不得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因此</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长</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4.10本项目竣工验收移交甲方后、保修期结束前，如甲方在本项目内有新增工程且要求乙方进行报价施工时，乙方须予配合。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4.11</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其他：         无            。</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5" w:name="_Toc9090"/>
      <w:bookmarkStart w:id="16" w:name="_Toc18346"/>
      <w:bookmarkStart w:id="17" w:name="_Toc19252"/>
      <w:bookmarkStart w:id="18" w:name="_Toc206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工程质量标准</w:t>
      </w:r>
      <w:bookmarkEnd w:id="15"/>
      <w:bookmarkEnd w:id="16"/>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1质量标准：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达到国家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行业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标准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否则每次向甲方承担违约金人民币壹万元。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合同单价下浮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%予以结算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3质量要求及要点</w:t>
      </w:r>
      <w:bookmarkStart w:id="19" w:name="_Toc807"/>
      <w:bookmarkStart w:id="20" w:name="_Toc11160"/>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5.3.1高压灌浆：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（1）检查渗漏位置标注后清理表层及附着物，确保需要注浆裂缝干净、清晰。</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（2）根据渗漏点裂向左右交叉布孔，间距300mm，角度为70°，钻孔深度≤结构板的2/3，清理干净裂缝和孔洞内粉尘及松散的砼颗粒。</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（3）灌浆前根据砼强度调试好设备，压力值不得超过砼结构受压范围。单孔逐一连续性进行操作，当相邻的针口开始出浆后，保持压力3-5分钟停止本孔灌浆，改下一针口灌浆。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（4）灌浆完毕后不得立即拆除灌浆针头，必须待试水完毕不再渗漏后方可拆除针头，清理干净溢出浆液。</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5.3.2防水卷材：</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（1）涂刷冷底子油前，清理基层表面的杂物、尘土、砂石等垃圾，确保表面干净且无尖锐物。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（2）在基层满刷一遍冷底油，屋面转角及立面应多遍薄涂，不得有流淌和堆积现象。涂刷要均匀、不透底、遮盖率100%，厚度不得小于3mm。</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（3）屋面女儿墙、排风排烟道出屋面。水沟阴阳角附加层宽度不得小于300mm。落水口周围必须用油膏进行密封处理，并加铺一层附加层深入落水斗内不得小于100mm。</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（4）卷材铺贴搭接宽度不小于100mm，搭接必须按顺水方向搭接，相邻两幅应错开1/3~2/3幅搭接，不得同一部位搭接。</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5.3.3 JS防水涂料：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（1）清理基层凸起物、松动、起砂、油污等影响JS防水涂料的质量隐患。</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（2）所有管道、管线等物品必须安装牢靠，基层不得有开裂、空鼓缺陷存在。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（3）JS防水涂料必须分层涂刷，（打底→下层→中层→面层）各层用量不得小于0.3kg/㎡;0.9kg/㎡；0.9kg/㎡；0.9kg/㎡；总用量不得少于3kg/㎡，厚度不得小于1.2mm。</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5.4乙供材料收货验收流程及标准</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5.4.1主要材料、设备进场时乙方向甲方提供“产品出厂合格证、原材料 检验报告、出厂质量证明书”等有关资料并在当天移交甲方存档。</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 xml:space="preserve">5.4.2 甲方项目施工员在乙供材料、设备进场时对品牌、规格、型号、质 量等进行抽检并拍照留存。 </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5.4.3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五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280" w:firstLineChars="100"/>
        <w:textAlignment w:val="auto"/>
        <w:rPr>
          <w:rFonts w:hint="default" w:ascii="仿宋_GB2312" w:hAnsi="仿宋_GB2312" w:eastAsia="仿宋_GB2312" w:cs="仿宋_GB2312"/>
          <w:i w:val="0"/>
          <w:iCs w:val="0"/>
          <w:color w:val="000000" w:themeColor="text1"/>
          <w:sz w:val="28"/>
          <w:szCs w:val="28"/>
          <w:highlight w:val="yellow"/>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yellow"/>
          <w:u w:val="none"/>
          <w:lang w:val="en-US" w:eastAsia="zh-CN"/>
          <w14:textFill>
            <w14:solidFill>
              <w14:schemeClr w14:val="tx1"/>
            </w14:solidFill>
          </w14:textFill>
        </w:rPr>
        <w:t>5.4.4材料品牌：乙方须采用合格且满足防水补漏功能要求的材料，包括但不限于：科顺、卓越、银宏、东方雨虹、万方、科顺、堵漏灵、快马、上海延能、星洲、禹能、大禹、宏源、堵漏王，不允许用合同外品牌。</w:t>
      </w:r>
    </w:p>
    <w:bookmarkEnd w:id="19"/>
    <w:bookmarkEnd w:id="20"/>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after="147" w:after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21" w:name="_Toc14842"/>
      <w:bookmarkStart w:id="22" w:name="_Toc12151"/>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合同价款</w:t>
      </w:r>
      <w:bookmarkEnd w:id="17"/>
      <w:bookmarkEnd w:id="18"/>
      <w:bookmarkEnd w:id="21"/>
      <w:bookmarkEnd w:id="22"/>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6.1</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乙方完成</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合同第</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三</w:t>
      </w:r>
      <w:r>
        <w:rPr>
          <w:rFonts w:hint="eastAsia" w:ascii="仿宋_GB2312" w:hAnsi="仿宋_GB2312" w:eastAsia="仿宋_GB2312" w:cs="仿宋_GB2312"/>
          <w:i w:val="0"/>
          <w:iCs w:val="0"/>
          <w:color w:val="000000" w:themeColor="text1"/>
          <w:sz w:val="28"/>
          <w:szCs w:val="28"/>
          <w:highlight w:val="none"/>
          <w:lang w:eastAsia="zh-CN"/>
          <w14:textFill>
            <w14:solidFill>
              <w14:schemeClr w14:val="tx1"/>
            </w14:solidFill>
          </w14:textFill>
        </w:rPr>
        <w:t>章</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承包</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范围内所有工作</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实现第四章工期要求及承担合同义务、责任、风险</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的费用</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已</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包括在下列</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合同价</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以打</w:t>
      </w: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为准</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中。</w:t>
      </w:r>
    </w:p>
    <w:p>
      <w:pPr>
        <w:snapToGrid w:val="0"/>
        <w:spacing w:line="360" w:lineRule="auto"/>
        <w:ind w:left="-197" w:leftChars="-94" w:right="-578" w:rightChars="-275" w:firstLine="419" w:firstLineChars="149"/>
        <w:rPr>
          <w:rFonts w:hint="default" w:ascii="仿宋_GB2312" w:hAnsi="仿宋_GB2312" w:eastAsia="仿宋_GB2312" w:cs="仿宋_GB2312"/>
          <w:b/>
          <w:bCs/>
          <w:i w:val="0"/>
          <w:iCs w:val="0"/>
          <w:color w:val="auto"/>
          <w:sz w:val="28"/>
          <w:szCs w:val="28"/>
          <w:highlight w:val="none"/>
          <w:shd w:val="clear" w:color="auto" w:fill="auto"/>
          <w:lang w:val="en-US" w:eastAsia="zh-CN"/>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本合同为固定单价合同，</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工程量按实结算。</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合同单价（详见附件一）为全费用固定综合含税单价，乙方开具税率</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%的增值税专用发票（税率按国家政策执行，如税率调整，合同单价随之调整）</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，除合同另有约定外，合同单价不作任何调整。</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合同单价包含乙方完成本合同及本合同附件所述内容的全部费用。</w:t>
      </w:r>
      <w:r>
        <w:rPr>
          <w:rFonts w:hint="eastAsia" w:ascii="仿宋_GB2312" w:hAnsi="仿宋_GB2312" w:eastAsia="仿宋_GB2312" w:cs="仿宋_GB2312"/>
          <w:b/>
          <w:bCs/>
          <w:i w:val="0"/>
          <w:iCs w:val="0"/>
          <w:color w:val="auto"/>
          <w:sz w:val="28"/>
          <w:szCs w:val="28"/>
          <w:highlight w:val="none"/>
          <w:shd w:val="clear" w:color="auto" w:fill="auto"/>
          <w:lang w:val="en-US" w:eastAsia="zh-CN"/>
        </w:rPr>
        <w:t>合同单价有效期为：本合同生效之日起365个日历天内。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乙方完成下述工作及应对下述情况、风险的费用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已包含在本合同单价中，甲方无需另行付费给乙方：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甲方指定的东莞项目用地红线范围内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补漏工程，包括但不限于：清理基层、刷基层处理剂，防水薄弱处刷聚氨酯涂膜及卷材，附加层、加强层等细部处理，裂缝处理（如采用高压注浆等方式封堵等）贴卷材，卷材搭接处及收头嵌油膏，具体施工范围按图纸、规范及甲方要求，工程上使用的材料，因施工环境和场地限制，汽车不能直接运至现场（不能直接原车远到施工组织设计要求的范围内的堆放地点），必须再次运输所发生的二次装运卸而产生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对相关</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施工机械及</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总分配电</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箱、电缆线</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进</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行维护、保养</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甲方只负责将配电箱接至施工区域附近，乙方自行接至工作面</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开关箱，</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电线、电缆由乙方负责</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本合同为固定总价合同，合同总价为人民币</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（大写）元整（¥      ，详见附件一），</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此价含税，乙方开具税率</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%的增值税专用发票（税率按国家政策执行，如税率调整，合同总价随之调整）</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合同单价适用于本项目用地红线范围内的全部本工程工作内容，已有价格的子目双方无需另行确定单价，均按已确定价格执行。</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合同总价对应的工程量清单和图纸及相关文件详见附件。合同总价包含乙方完成本合同及本合同附件所述内容的全部费用，除合同另有约定外，不作调整。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乙方完成下述工作及应对下述情况、风险的费用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甲方指定的东莞项目用地红线范围内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补漏工程，包括但不限于：清理基层、刷基层处理剂，防水薄弱处刷聚氨酯涂膜及卷材，附加层、加强层等细部处理，裂缝处理（如采用高压注浆等方式封堵等）贴卷材，卷材搭接处及收头嵌油膏，具体施工范围按图纸、规范及甲方要求，工程上使用的材料，因施工环境和场地限制，汽车不能直接运至现场（不能直接原车远到施工组织设计要求的范围内的堆放地点），必须再次运输所发生的二次装运卸而产生的费用。</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对相关</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施工机械及</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总分配电</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箱、电缆线</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进</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行维护、保养</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甲方只负责将配电箱接至施工区域附近，乙方自行接至工作面</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开关箱，</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电线、电缆由乙方负责</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其他：</w:t>
      </w:r>
      <w:r>
        <w:rPr>
          <w:rFonts w:hint="eastAsia" w:ascii="仿宋_GB2312" w:hAnsi="仿宋_GB2312" w:eastAsia="仿宋_GB2312" w:cs="仿宋_GB2312"/>
          <w:i w:val="0"/>
          <w:iCs w:val="0"/>
          <w:color w:val="000000" w:themeColor="text1"/>
          <w:sz w:val="28"/>
          <w:szCs w:val="28"/>
          <w:highlight w:val="none"/>
          <w:u w:val="single"/>
          <w:lang w:eastAsia="zh-CN"/>
          <w14:textFill>
            <w14:solidFill>
              <w14:schemeClr w14:val="tx1"/>
            </w14:solidFill>
          </w14:textFill>
        </w:rPr>
        <w:t>（请</w:t>
      </w:r>
      <w:r>
        <w:rPr>
          <w:rFonts w:hint="eastAsia" w:ascii="仿宋_GB2312" w:hAnsi="仿宋_GB2312" w:eastAsia="仿宋_GB2312" w:cs="仿宋_GB2312"/>
          <w:i w:val="0"/>
          <w:iCs w:val="0"/>
          <w:color w:val="000000" w:themeColor="text1"/>
          <w:sz w:val="28"/>
          <w:szCs w:val="28"/>
          <w:highlight w:val="none"/>
          <w:u w:val="single"/>
          <w:lang w:val="en-US" w:eastAsia="zh-CN"/>
          <w14:textFill>
            <w14:solidFill>
              <w14:schemeClr w14:val="tx1"/>
            </w14:solidFill>
          </w14:textFill>
        </w:rPr>
        <w:t>成本中心、</w:t>
      </w:r>
      <w:r>
        <w:rPr>
          <w:rFonts w:hint="eastAsia" w:ascii="仿宋_GB2312" w:hAnsi="仿宋_GB2312" w:eastAsia="仿宋_GB2312" w:cs="仿宋_GB2312"/>
          <w:i w:val="0"/>
          <w:iCs w:val="0"/>
          <w:color w:val="000000" w:themeColor="text1"/>
          <w:sz w:val="28"/>
          <w:szCs w:val="28"/>
          <w:highlight w:val="none"/>
          <w:u w:val="single"/>
          <w:lang w:eastAsia="zh-CN"/>
          <w14:textFill>
            <w14:solidFill>
              <w14:schemeClr w14:val="tx1"/>
            </w14:solidFill>
          </w14:textFill>
        </w:rPr>
        <w:t xml:space="preserve">项目部、工程部根据具体工程情况填写其他需在本合同里明确补充的内容）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6.2本合同第6.1</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条所述价格已考虑“COVID-19”疫情等流行疾病影响，乙方不以疫情等疾病防控为由要求甲方对该价格、合同结算办法及工期等合同条款进行调整，疾病防疫措施的一切费用已包含在合同价内，不另计费。</w:t>
      </w:r>
      <w:bookmarkStart w:id="23" w:name="_Toc9761"/>
      <w:bookmarkStart w:id="24" w:name="_Toc32757"/>
      <w:bookmarkStart w:id="25" w:name="_Toc5821"/>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甲方不予办理</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付款及结算。</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任何人口头指示、通知不作为结算依据。未经甲方盖章书面签证确认或乙方超出图纸、合同清单范围施工的工程量，不属于增加工程，结算时不纳入结算范围。</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23"/>
    <w:bookmarkEnd w:id="24"/>
    <w:bookmarkEnd w:id="25"/>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26" w:name="_Toc27562"/>
      <w:bookmarkStart w:id="27" w:name="_Toc11681"/>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计量计价方式及结算方式</w:t>
      </w:r>
      <w:bookmarkEnd w:id="26"/>
      <w:bookmarkEnd w:id="27"/>
    </w:p>
    <w:p>
      <w:pPr>
        <w:ind w:left="0" w:leftChars="0" w:firstLine="560" w:firstLineChars="200"/>
        <w:rPr>
          <w:rFonts w:hint="eastAsia" w:ascii="仿宋" w:hAnsi="仿宋" w:eastAsia="仿宋" w:cs="仿宋"/>
          <w:color w:val="auto"/>
          <w:sz w:val="28"/>
          <w:szCs w:val="28"/>
          <w:highlight w:val="none"/>
          <w:lang w:eastAsia="zh-CN"/>
        </w:rPr>
      </w:pPr>
      <w:bookmarkStart w:id="28" w:name="_Toc15133"/>
      <w:bookmarkStart w:id="29" w:name="_Toc16700"/>
      <w:bookmarkStart w:id="30" w:name="_Toc26012"/>
      <w:bookmarkStart w:id="31" w:name="_Toc317"/>
      <w:r>
        <w:rPr>
          <w:rFonts w:hint="eastAsia" w:ascii="仿宋" w:hAnsi="仿宋" w:eastAsia="仿宋" w:cs="仿宋"/>
          <w:color w:val="auto"/>
          <w:sz w:val="28"/>
          <w:szCs w:val="28"/>
          <w:highlight w:val="none"/>
          <w:lang w:val="en-US" w:eastAsia="zh-CN"/>
        </w:rPr>
        <w:t>7.1有图纸部分以</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建设单位、监理共同确认的竣工图</w:t>
      </w:r>
      <w:r>
        <w:rPr>
          <w:rFonts w:hint="eastAsia" w:ascii="仿宋" w:hAnsi="仿宋" w:eastAsia="仿宋" w:cs="仿宋"/>
          <w:color w:val="auto"/>
          <w:sz w:val="28"/>
          <w:szCs w:val="28"/>
          <w:highlight w:val="yellow"/>
          <w:lang w:val="en-US" w:eastAsia="zh-CN"/>
        </w:rPr>
        <w:t>或相应文件</w:t>
      </w:r>
      <w:r>
        <w:rPr>
          <w:rFonts w:hint="eastAsia" w:ascii="仿宋" w:hAnsi="仿宋" w:eastAsia="仿宋" w:cs="仿宋"/>
          <w:color w:val="auto"/>
          <w:sz w:val="28"/>
          <w:szCs w:val="28"/>
          <w:highlight w:val="none"/>
          <w:lang w:val="en-US" w:eastAsia="zh-CN"/>
        </w:rPr>
        <w:t>进行计量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无图纸部分则以建设单位、监理、甲、乙四方共同确认的现场实际收方量进行计算</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经甲方验收合格的工程，按合同约定的计价方式结算</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7.1.1</w:t>
      </w:r>
      <w:r>
        <w:rPr>
          <w:rFonts w:hint="eastAsia" w:ascii="仿宋" w:hAnsi="仿宋" w:eastAsia="仿宋" w:cs="仿宋"/>
          <w:color w:val="auto"/>
          <w:sz w:val="28"/>
          <w:szCs w:val="28"/>
          <w:highlight w:val="none"/>
        </w:rPr>
        <w:t>固定总价合同结算方式：结算总价=固定合同总价-合同内未施工内容+合同外增加内容（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有</w:t>
      </w:r>
      <w:r>
        <w:rPr>
          <w:rFonts w:hint="eastAsia" w:ascii="仿宋" w:hAnsi="仿宋" w:eastAsia="仿宋" w:cs="仿宋"/>
          <w:color w:val="FF0000"/>
          <w:sz w:val="28"/>
          <w:szCs w:val="28"/>
          <w:highlight w:val="none"/>
          <w:lang w:val="en-US" w:eastAsia="zh-CN"/>
        </w:rPr>
        <w:t>建设单位</w:t>
      </w:r>
      <w:r>
        <w:rPr>
          <w:rFonts w:hint="eastAsia" w:ascii="仿宋" w:hAnsi="仿宋" w:eastAsia="仿宋" w:cs="仿宋"/>
          <w:color w:val="auto"/>
          <w:sz w:val="28"/>
          <w:szCs w:val="28"/>
          <w:highlight w:val="none"/>
          <w:lang w:val="en-US" w:eastAsia="zh-CN"/>
        </w:rPr>
        <w:t>与甲方的签证或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确认的“分包签证确认单”和“分项工程/认质认价申报审批表”等定价文件</w:t>
      </w:r>
      <w:r>
        <w:rPr>
          <w:rFonts w:hint="eastAsia" w:ascii="仿宋" w:hAnsi="仿宋" w:eastAsia="仿宋" w:cs="仿宋"/>
          <w:color w:val="auto"/>
          <w:sz w:val="28"/>
          <w:szCs w:val="28"/>
          <w:highlight w:val="none"/>
        </w:rPr>
        <w:t>）-合同约定扣除费用。</w:t>
      </w:r>
    </w:p>
    <w:p>
      <w:pPr>
        <w:spacing w:beforeLines="0" w:afterLines="0"/>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7.1.2</w:t>
      </w:r>
      <w:r>
        <w:rPr>
          <w:rFonts w:hint="eastAsia" w:ascii="仿宋" w:hAnsi="仿宋" w:eastAsia="仿宋" w:cs="仿宋"/>
          <w:color w:val="auto"/>
          <w:sz w:val="28"/>
          <w:szCs w:val="28"/>
          <w:highlight w:val="none"/>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工程量计算原则：</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固定总价</w:t>
      </w:r>
      <w:r>
        <w:rPr>
          <w:rFonts w:hint="eastAsia" w:ascii="仿宋" w:hAnsi="仿宋" w:eastAsia="仿宋" w:cs="仿宋"/>
          <w:color w:val="auto"/>
          <w:sz w:val="28"/>
          <w:szCs w:val="28"/>
          <w:highlight w:val="none"/>
        </w:rPr>
        <w:t>合同:合同范围内的按合同约定的计算原则执行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7.2.2</w:t>
      </w:r>
      <w:r>
        <w:rPr>
          <w:rFonts w:hint="eastAsia" w:ascii="仿宋" w:hAnsi="仿宋" w:eastAsia="仿宋" w:cs="仿宋"/>
          <w:color w:val="auto"/>
          <w:sz w:val="28"/>
          <w:szCs w:val="28"/>
          <w:highlight w:val="none"/>
        </w:rPr>
        <w:t>固定单价合同</w:t>
      </w:r>
      <w:r>
        <w:rPr>
          <w:rFonts w:hint="eastAsia" w:ascii="仿宋" w:hAnsi="仿宋" w:eastAsia="仿宋" w:cs="仿宋"/>
          <w:color w:val="auto"/>
          <w:sz w:val="28"/>
          <w:szCs w:val="28"/>
          <w:highlight w:val="none"/>
          <w:lang w:eastAsia="zh-CN"/>
        </w:rPr>
        <w:t>：合同范围内的按合同约定的计算原则执行，</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7.3</w:t>
      </w:r>
      <w:r>
        <w:rPr>
          <w:rFonts w:hint="eastAsia" w:ascii="仿宋" w:hAnsi="仿宋" w:eastAsia="仿宋" w:cs="仿宋"/>
          <w:color w:val="auto"/>
          <w:sz w:val="28"/>
          <w:szCs w:val="28"/>
          <w:highlight w:val="none"/>
        </w:rPr>
        <w:t>工程量计量规则：</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《广东省房屋建筑与装饰工程综合定额（2018）》工程量计算规则、《广东省通用安装工程综合定额(2018)》工程量计算规则、《建筑工程建筑面积计算规范（GB</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03</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-2013）》进行计算。</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计量依据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施工并验收合格</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方可作为计量依据</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7.4.1</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招标报价版</w:t>
      </w:r>
      <w:r>
        <w:rPr>
          <w:rFonts w:hint="eastAsia" w:ascii="仿宋" w:hAnsi="仿宋" w:eastAsia="仿宋" w:cs="仿宋"/>
          <w:color w:val="auto"/>
          <w:sz w:val="28"/>
          <w:szCs w:val="28"/>
          <w:highlight w:val="none"/>
        </w:rPr>
        <w:t>施工图</w:t>
      </w:r>
      <w:r>
        <w:rPr>
          <w:rFonts w:hint="eastAsia" w:ascii="仿宋" w:hAnsi="仿宋" w:eastAsia="仿宋" w:cs="仿宋"/>
          <w:color w:val="auto"/>
          <w:sz w:val="28"/>
          <w:szCs w:val="28"/>
          <w:highlight w:val="none"/>
          <w:lang w:val="en-US" w:eastAsia="zh-CN"/>
        </w:rPr>
        <w:t>纸或甲方签认下发的施工图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7.4.2</w:t>
      </w:r>
      <w:r>
        <w:rPr>
          <w:rFonts w:hint="eastAsia" w:ascii="仿宋" w:hAnsi="仿宋" w:eastAsia="仿宋" w:cs="仿宋"/>
          <w:color w:val="auto"/>
          <w:sz w:val="28"/>
          <w:szCs w:val="28"/>
          <w:highlight w:val="none"/>
        </w:rPr>
        <w:t>设计变更、甲方与</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签认的交楼标准、联系单及签证单；</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7.4.3甲方、</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、监理签认的竣工图和实操的专项施工方案。施工方案为经公司会审后批准的方案。若因现场客观因素影响而对已审批方案进行调整的，须经监理、甲方总经理和建设单位签认；；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7.4.4</w:t>
      </w:r>
      <w:r>
        <w:rPr>
          <w:rFonts w:hint="eastAsia" w:ascii="仿宋" w:hAnsi="仿宋" w:eastAsia="仿宋" w:cs="仿宋"/>
          <w:color w:val="auto"/>
          <w:sz w:val="28"/>
          <w:szCs w:val="28"/>
          <w:highlight w:val="none"/>
        </w:rPr>
        <w:t>图纸会审纪要；</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7.4.5甲</w:t>
      </w:r>
      <w:r>
        <w:rPr>
          <w:rFonts w:hint="eastAsia" w:ascii="仿宋" w:hAnsi="仿宋" w:eastAsia="仿宋" w:cs="仿宋"/>
          <w:color w:val="auto"/>
          <w:sz w:val="28"/>
          <w:szCs w:val="28"/>
          <w:highlight w:val="none"/>
        </w:rPr>
        <w:t>方</w:t>
      </w:r>
      <w:r>
        <w:rPr>
          <w:rFonts w:hint="eastAsia" w:ascii="仿宋" w:hAnsi="仿宋" w:eastAsia="仿宋" w:cs="仿宋"/>
          <w:color w:val="auto"/>
          <w:sz w:val="28"/>
          <w:szCs w:val="28"/>
          <w:highlight w:val="none"/>
          <w:lang w:val="en-US" w:eastAsia="zh-CN"/>
        </w:rPr>
        <w:t>书面另行安排要求</w:t>
      </w:r>
      <w:r>
        <w:rPr>
          <w:rFonts w:hint="eastAsia" w:ascii="仿宋" w:hAnsi="仿宋" w:eastAsia="仿宋" w:cs="仿宋"/>
          <w:color w:val="auto"/>
          <w:sz w:val="28"/>
          <w:szCs w:val="28"/>
          <w:highlight w:val="none"/>
        </w:rPr>
        <w:t>施工的内容</w:t>
      </w:r>
      <w:r>
        <w:rPr>
          <w:rFonts w:hint="eastAsia" w:ascii="仿宋" w:hAnsi="仿宋" w:eastAsia="仿宋" w:cs="仿宋"/>
          <w:color w:val="auto"/>
          <w:sz w:val="28"/>
          <w:szCs w:val="28"/>
          <w:highlight w:val="none"/>
          <w:lang w:eastAsia="zh-CN"/>
        </w:rPr>
        <w:t>。</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7.5签证工程管理及相关要求</w:t>
      </w:r>
    </w:p>
    <w:p>
      <w:pPr>
        <w:ind w:left="0" w:leftChars="0" w:firstLine="560" w:firstLineChars="200"/>
        <w:rPr>
          <w:rFonts w:hint="eastAsia" w:ascii="仿宋" w:hAnsi="仿宋" w:eastAsia="仿宋" w:cs="仿宋"/>
          <w:color w:val="auto"/>
          <w:sz w:val="28"/>
          <w:szCs w:val="28"/>
          <w:highlight w:val="none"/>
          <w:lang w:val="en-US" w:eastAsia="zh-CN"/>
        </w:rPr>
      </w:pPr>
      <w:bookmarkStart w:id="32" w:name="_Toc5891"/>
      <w:bookmarkStart w:id="33" w:name="_Toc29592"/>
      <w:bookmarkStart w:id="34" w:name="_Toc2996"/>
      <w:r>
        <w:rPr>
          <w:rFonts w:hint="eastAsia" w:ascii="仿宋" w:hAnsi="仿宋" w:eastAsia="仿宋" w:cs="仿宋"/>
          <w:color w:val="auto"/>
          <w:sz w:val="28"/>
          <w:szCs w:val="28"/>
          <w:highlight w:val="none"/>
          <w:lang w:val="en-US" w:eastAsia="zh-CN"/>
        </w:rPr>
        <w:t>7.5.1签证必须包括的内容资料及要求</w:t>
      </w:r>
      <w:bookmarkEnd w:id="32"/>
      <w:bookmarkEnd w:id="33"/>
      <w:bookmarkEnd w:id="34"/>
      <w:r>
        <w:rPr>
          <w:rFonts w:hint="eastAsia" w:ascii="仿宋" w:hAnsi="仿宋" w:eastAsia="仿宋" w:cs="仿宋"/>
          <w:color w:val="auto"/>
          <w:sz w:val="28"/>
          <w:szCs w:val="28"/>
          <w:highlight w:val="none"/>
          <w:lang w:val="en-US" w:eastAsia="zh-CN"/>
        </w:rPr>
        <w:t xml:space="preserve">（格式详见合同附件）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7.5.1.1签证单签发时间及编号；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7.5.1.2签证事实发生的原因、工作内容、完成的工程量；</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7.5.1.3签证单（含附件：①草签单，②通知单/联系单/设计变更文件，③影像资料）由分包方按甲方方规定的格式填写。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7.5.1.4执行签证事实的依据</w:t>
      </w:r>
      <w:r>
        <w:rPr>
          <w:rFonts w:hint="eastAsia" w:ascii="仿宋" w:hAnsi="仿宋" w:eastAsia="仿宋" w:cs="仿宋"/>
          <w:color w:val="FF0000"/>
          <w:sz w:val="28"/>
          <w:szCs w:val="28"/>
          <w:highlight w:val="none"/>
          <w:lang w:val="en-US" w:eastAsia="zh-CN"/>
        </w:rPr>
        <w:t>：例如</w:t>
      </w:r>
      <w:r>
        <w:rPr>
          <w:rFonts w:hint="eastAsia" w:ascii="仿宋" w:hAnsi="仿宋" w:eastAsia="仿宋" w:cs="仿宋"/>
          <w:color w:val="auto"/>
          <w:sz w:val="28"/>
          <w:szCs w:val="28"/>
          <w:highlight w:val="none"/>
          <w:lang w:val="en-US" w:eastAsia="zh-CN"/>
        </w:rPr>
        <w:t>甲方签发的</w:t>
      </w:r>
      <w:r>
        <w:rPr>
          <w:rFonts w:hint="eastAsia" w:ascii="仿宋" w:hAnsi="仿宋" w:eastAsia="仿宋" w:cs="仿宋"/>
          <w:color w:val="FF0000"/>
          <w:sz w:val="28"/>
          <w:szCs w:val="28"/>
          <w:highlight w:val="none"/>
          <w:lang w:val="en-US" w:eastAsia="zh-CN"/>
        </w:rPr>
        <w:t>建设单位</w:t>
      </w:r>
      <w:r>
        <w:rPr>
          <w:rFonts w:hint="eastAsia" w:ascii="仿宋" w:hAnsi="仿宋" w:eastAsia="仿宋" w:cs="仿宋"/>
          <w:color w:val="auto"/>
          <w:sz w:val="28"/>
          <w:szCs w:val="28"/>
          <w:highlight w:val="none"/>
          <w:lang w:val="en-US" w:eastAsia="zh-CN"/>
        </w:rPr>
        <w:t>通知、联系函、设计变更等文件。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7.5.1.6</w:t>
      </w:r>
      <w:r>
        <w:rPr>
          <w:rFonts w:hint="eastAsia" w:ascii="仿宋" w:hAnsi="仿宋" w:eastAsia="仿宋" w:cs="仿宋"/>
          <w:color w:val="FF0000"/>
          <w:sz w:val="28"/>
          <w:szCs w:val="28"/>
          <w:highlight w:val="none"/>
          <w:lang w:val="en-US" w:eastAsia="zh-CN"/>
        </w:rPr>
        <w:t>对于</w:t>
      </w:r>
      <w:r>
        <w:rPr>
          <w:rFonts w:hint="eastAsia" w:ascii="仿宋" w:hAnsi="仿宋" w:eastAsia="仿宋" w:cs="仿宋"/>
          <w:color w:val="auto"/>
          <w:sz w:val="28"/>
          <w:szCs w:val="28"/>
          <w:highlight w:val="none"/>
          <w:lang w:val="en-US" w:eastAsia="zh-CN"/>
        </w:rPr>
        <w:t>不能根据工程实体计算工程量的工程，如抽水、场地清理等，应尽量对该项工作进行描述：如水泵的型号、功率、抽水时间；场地清理范围、内容；必须清楚列明工作具体位置和实际用工记录，</w:t>
      </w:r>
      <w:r>
        <w:rPr>
          <w:rFonts w:hint="eastAsia" w:ascii="仿宋" w:hAnsi="仿宋" w:eastAsia="仿宋" w:cs="仿宋"/>
          <w:color w:val="FF0000"/>
          <w:sz w:val="28"/>
          <w:szCs w:val="28"/>
          <w:highlight w:val="none"/>
          <w:lang w:val="en-US" w:eastAsia="zh-CN"/>
        </w:rPr>
        <w:t>不能</w:t>
      </w:r>
      <w:r>
        <w:rPr>
          <w:rFonts w:hint="eastAsia" w:ascii="仿宋" w:hAnsi="仿宋" w:eastAsia="仿宋" w:cs="仿宋"/>
          <w:color w:val="auto"/>
          <w:sz w:val="28"/>
          <w:szCs w:val="28"/>
          <w:highlight w:val="none"/>
          <w:lang w:val="en-US" w:eastAsia="zh-CN"/>
        </w:rPr>
        <w:t>直接签署抽水台班或人工工日。</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7.5.1.7签证执行“一事一签证”的原则，分别列明，不能混编，当出现零星维修、抢修、改造工程，工程量少，过程中间接工序多，无法实际、准确反映</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实际成本的，必须清楚记录具体部位和实际用工记录。</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7.5.1.8</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现场执行人签名及印章内容不清楚、不齐全的签证单或工程量计算单，</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项目部有权拒收。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7.5.1.9甲方与乙方的签证和</w:t>
      </w:r>
      <w:r>
        <w:rPr>
          <w:rFonts w:hint="eastAsia" w:ascii="仿宋" w:hAnsi="仿宋" w:eastAsia="仿宋" w:cs="仿宋"/>
          <w:color w:val="FF0000"/>
          <w:sz w:val="28"/>
          <w:szCs w:val="28"/>
          <w:highlight w:val="none"/>
          <w:lang w:val="en-US" w:eastAsia="zh-CN"/>
        </w:rPr>
        <w:t>建设单位</w:t>
      </w:r>
      <w:r>
        <w:rPr>
          <w:rFonts w:hint="eastAsia" w:ascii="仿宋" w:hAnsi="仿宋" w:eastAsia="仿宋" w:cs="仿宋"/>
          <w:color w:val="auto"/>
          <w:sz w:val="28"/>
          <w:szCs w:val="28"/>
          <w:highlight w:val="none"/>
          <w:lang w:val="en-US" w:eastAsia="zh-CN"/>
        </w:rPr>
        <w:t>与</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的签证，以小的量、价对</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签证确认。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7.5.1.10甲方与</w:t>
      </w:r>
      <w:r>
        <w:rPr>
          <w:rFonts w:hint="eastAsia" w:ascii="仿宋" w:hAnsi="仿宋" w:eastAsia="仿宋" w:cs="仿宋"/>
          <w:color w:val="FF0000"/>
          <w:sz w:val="28"/>
          <w:szCs w:val="28"/>
          <w:highlight w:val="none"/>
          <w:lang w:val="en-US" w:eastAsia="zh-CN"/>
        </w:rPr>
        <w:t>建设单位</w:t>
      </w:r>
      <w:r>
        <w:rPr>
          <w:rFonts w:hint="eastAsia" w:ascii="仿宋" w:hAnsi="仿宋" w:eastAsia="仿宋" w:cs="仿宋"/>
          <w:color w:val="auto"/>
          <w:sz w:val="28"/>
          <w:szCs w:val="28"/>
          <w:highlight w:val="none"/>
          <w:lang w:val="en-US" w:eastAsia="zh-CN"/>
        </w:rPr>
        <w:t>办理了签证单，而该签证单内容承包方又分给了多家</w:t>
      </w:r>
      <w:r>
        <w:rPr>
          <w:rFonts w:hint="eastAsia" w:ascii="仿宋" w:hAnsi="仿宋" w:eastAsia="仿宋" w:cs="仿宋"/>
          <w:color w:val="FF0000"/>
          <w:sz w:val="28"/>
          <w:szCs w:val="28"/>
          <w:highlight w:val="none"/>
          <w:lang w:val="en-US" w:eastAsia="zh-CN"/>
        </w:rPr>
        <w:t>施工单位</w:t>
      </w:r>
      <w:r>
        <w:rPr>
          <w:rFonts w:hint="eastAsia" w:ascii="仿宋" w:hAnsi="仿宋" w:eastAsia="仿宋" w:cs="仿宋"/>
          <w:color w:val="auto"/>
          <w:sz w:val="28"/>
          <w:szCs w:val="28"/>
          <w:highlight w:val="none"/>
          <w:lang w:val="en-US" w:eastAsia="zh-CN"/>
        </w:rPr>
        <w:t>完成的，则</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需提供</w:t>
      </w:r>
      <w:r>
        <w:rPr>
          <w:rFonts w:hint="eastAsia" w:ascii="仿宋" w:hAnsi="仿宋" w:eastAsia="仿宋" w:cs="仿宋"/>
          <w:color w:val="FF0000"/>
          <w:sz w:val="28"/>
          <w:szCs w:val="28"/>
          <w:highlight w:val="none"/>
          <w:lang w:val="en-US" w:eastAsia="zh-CN"/>
        </w:rPr>
        <w:t>甲乙</w:t>
      </w:r>
      <w:r>
        <w:rPr>
          <w:rFonts w:hint="eastAsia" w:ascii="仿宋" w:hAnsi="仿宋" w:eastAsia="仿宋" w:cs="仿宋"/>
          <w:color w:val="auto"/>
          <w:sz w:val="28"/>
          <w:szCs w:val="28"/>
          <w:highlight w:val="none"/>
          <w:lang w:val="en-US" w:eastAsia="zh-CN"/>
        </w:rPr>
        <w:t>双方确认的《签证单分包说明》</w:t>
      </w:r>
      <w:r>
        <w:rPr>
          <w:rFonts w:hint="eastAsia" w:ascii="仿宋" w:hAnsi="仿宋" w:eastAsia="仿宋" w:cs="仿宋"/>
          <w:color w:val="FF0000"/>
          <w:sz w:val="28"/>
          <w:szCs w:val="28"/>
          <w:highlight w:val="none"/>
          <w:lang w:val="en-US" w:eastAsia="zh-CN"/>
        </w:rPr>
        <w:t>作为乙</w:t>
      </w:r>
      <w:r>
        <w:rPr>
          <w:rFonts w:hint="eastAsia" w:ascii="仿宋" w:hAnsi="仿宋" w:eastAsia="仿宋" w:cs="仿宋"/>
          <w:color w:val="auto"/>
          <w:sz w:val="28"/>
          <w:szCs w:val="28"/>
          <w:highlight w:val="none"/>
          <w:lang w:val="en-US" w:eastAsia="zh-CN"/>
        </w:rPr>
        <w:t>方结算依据，</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方可结算。</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7.5.1.11甲方与</w:t>
      </w:r>
      <w:r>
        <w:rPr>
          <w:rFonts w:hint="eastAsia" w:ascii="仿宋" w:hAnsi="仿宋" w:eastAsia="仿宋" w:cs="仿宋"/>
          <w:color w:val="FF0000"/>
          <w:sz w:val="28"/>
          <w:szCs w:val="28"/>
          <w:highlight w:val="none"/>
          <w:lang w:val="en-US" w:eastAsia="zh-CN"/>
        </w:rPr>
        <w:t>建设单位</w:t>
      </w:r>
      <w:r>
        <w:rPr>
          <w:rFonts w:hint="eastAsia" w:ascii="仿宋" w:hAnsi="仿宋" w:eastAsia="仿宋" w:cs="仿宋"/>
          <w:color w:val="auto"/>
          <w:sz w:val="28"/>
          <w:szCs w:val="28"/>
          <w:highlight w:val="none"/>
          <w:lang w:val="en-US" w:eastAsia="zh-CN"/>
        </w:rPr>
        <w:t>未办理签证单，属于绿色文明施工范围内或因其它原因，如临时设施等，甲方确需与</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办理签证的情况，则用《分包签证确认单》方可作为结算依据。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7.5.1.12签证单必须有甲方项目经理签名且加盖</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项目章方为有效签证。</w:t>
      </w:r>
    </w:p>
    <w:p>
      <w:pPr>
        <w:ind w:left="0" w:leftChars="0" w:firstLine="560" w:firstLineChars="200"/>
        <w:rPr>
          <w:rFonts w:hint="eastAsia" w:ascii="仿宋" w:hAnsi="仿宋" w:eastAsia="仿宋" w:cs="仿宋"/>
          <w:color w:val="auto"/>
          <w:sz w:val="28"/>
          <w:szCs w:val="28"/>
          <w:highlight w:val="none"/>
          <w:lang w:val="en-US" w:eastAsia="zh-CN"/>
        </w:rPr>
      </w:pPr>
      <w:bookmarkStart w:id="35" w:name="_Toc29135"/>
      <w:bookmarkStart w:id="36" w:name="_Toc29606"/>
      <w:r>
        <w:rPr>
          <w:rFonts w:hint="eastAsia" w:ascii="仿宋" w:hAnsi="仿宋" w:eastAsia="仿宋" w:cs="仿宋"/>
          <w:color w:val="auto"/>
          <w:sz w:val="28"/>
          <w:szCs w:val="28"/>
          <w:highlight w:val="none"/>
          <w:lang w:val="en-US" w:eastAsia="zh-CN"/>
        </w:rPr>
        <w:t>7.5.2</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申报签证程序</w:t>
      </w:r>
      <w:bookmarkEnd w:id="35"/>
      <w:bookmarkEnd w:id="36"/>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7.5.2.1</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须在隐蔽前（变更工程被隐蔽后无法计量的，甲方有权拒绝签证）组织</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等相关单位共同对工程量以草签单形式进行确认。</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须在签证内容完成之日起7天内提交签证单及相应的签证预算书（各一式两份，含电子版）由</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现场执行人签字并加盖公章后报</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超过7天提报的，</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不再受理，一切责任及损失由</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自行承担。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7.5.2.2草签单由</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施工员、成本管理员、副经理共同现场收方、见证完成并签名</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则由合同约定</w:t>
      </w:r>
      <w:r>
        <w:rPr>
          <w:rFonts w:hint="eastAsia" w:ascii="仿宋" w:hAnsi="仿宋" w:eastAsia="仿宋" w:cs="仿宋"/>
          <w:color w:val="FF0000"/>
          <w:sz w:val="28"/>
          <w:szCs w:val="28"/>
          <w:highlight w:val="none"/>
          <w:lang w:val="en-US" w:eastAsia="zh-CN"/>
        </w:rPr>
        <w:t>的</w:t>
      </w:r>
      <w:r>
        <w:rPr>
          <w:rFonts w:hint="eastAsia" w:ascii="仿宋" w:hAnsi="仿宋" w:eastAsia="仿宋" w:cs="仿宋"/>
          <w:color w:val="auto"/>
          <w:sz w:val="28"/>
          <w:szCs w:val="28"/>
          <w:highlight w:val="none"/>
          <w:lang w:val="en-US" w:eastAsia="zh-CN"/>
        </w:rPr>
        <w:t>现场执行人签认。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7.5.2.3草签单须提供施工前、施工中、施工后的照片、签证预算书作为</w:t>
      </w:r>
      <w:r>
        <w:rPr>
          <w:rFonts w:hint="eastAsia" w:ascii="仿宋" w:hAnsi="仿宋" w:eastAsia="仿宋" w:cs="仿宋"/>
          <w:color w:val="FF0000"/>
          <w:sz w:val="28"/>
          <w:szCs w:val="28"/>
          <w:highlight w:val="none"/>
          <w:lang w:val="en-US" w:eastAsia="zh-CN"/>
        </w:rPr>
        <w:t>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FF0000"/>
          <w:sz w:val="28"/>
          <w:szCs w:val="28"/>
          <w:highlight w:val="none"/>
          <w:lang w:val="en-US" w:eastAsia="zh-CN"/>
        </w:rPr>
        <w:t>甲方</w:t>
      </w:r>
      <w:r>
        <w:rPr>
          <w:rFonts w:hint="eastAsia" w:ascii="仿宋" w:hAnsi="仿宋" w:eastAsia="仿宋" w:cs="仿宋"/>
          <w:color w:val="auto"/>
          <w:sz w:val="28"/>
          <w:szCs w:val="28"/>
          <w:highlight w:val="none"/>
          <w:lang w:val="en-US" w:eastAsia="zh-CN"/>
        </w:rPr>
        <w:t>办理“分包签证确认单”的必备附件。</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零星工时计价</w:t>
      </w:r>
      <w:r>
        <w:rPr>
          <w:rFonts w:hint="eastAsia" w:ascii="仿宋" w:hAnsi="仿宋" w:eastAsia="仿宋" w:cs="仿宋"/>
          <w:color w:val="auto"/>
          <w:sz w:val="28"/>
          <w:szCs w:val="28"/>
          <w:highlight w:val="none"/>
          <w:lang w:val="en-US" w:eastAsia="zh-CN"/>
        </w:rPr>
        <w:t>及相关</w:t>
      </w:r>
      <w:r>
        <w:rPr>
          <w:rFonts w:hint="eastAsia" w:ascii="仿宋" w:hAnsi="仿宋" w:eastAsia="仿宋" w:cs="仿宋"/>
          <w:color w:val="auto"/>
          <w:sz w:val="28"/>
          <w:szCs w:val="28"/>
          <w:highlight w:val="none"/>
        </w:rPr>
        <w:t>规定</w:t>
      </w:r>
    </w:p>
    <w:p>
      <w:pPr>
        <w:pStyle w:val="11"/>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7.5.3.1零星用工以分包签证确认单的方式结算，工程量以该签证单确认</w:t>
      </w:r>
      <w:r>
        <w:rPr>
          <w:rFonts w:hint="eastAsia" w:ascii="仿宋" w:hAnsi="仿宋" w:eastAsia="仿宋" w:cs="仿宋"/>
          <w:color w:val="FF0000"/>
          <w:kern w:val="2"/>
          <w:sz w:val="28"/>
          <w:szCs w:val="28"/>
          <w:highlight w:val="none"/>
          <w:lang w:val="en-US" w:eastAsia="zh-CN" w:bidi="ar-SA"/>
        </w:rPr>
        <w:t>的</w:t>
      </w:r>
      <w:r>
        <w:rPr>
          <w:rFonts w:hint="eastAsia" w:ascii="仿宋" w:hAnsi="仿宋" w:eastAsia="仿宋" w:cs="仿宋"/>
          <w:color w:val="auto"/>
          <w:kern w:val="2"/>
          <w:sz w:val="28"/>
          <w:szCs w:val="28"/>
          <w:highlight w:val="none"/>
          <w:lang w:val="en-US" w:eastAsia="zh-CN" w:bidi="ar-SA"/>
        </w:rPr>
        <w:t>工程量计算。</w:t>
      </w:r>
    </w:p>
    <w:p>
      <w:pPr>
        <w:pStyle w:val="11"/>
        <w:spacing w:line="360" w:lineRule="auto"/>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7.5.3.2</w:t>
      </w:r>
      <w:r>
        <w:rPr>
          <w:rFonts w:hint="eastAsia" w:ascii="仿宋" w:hAnsi="仿宋" w:eastAsia="仿宋" w:cs="仿宋"/>
          <w:color w:val="auto"/>
          <w:sz w:val="28"/>
          <w:szCs w:val="28"/>
          <w:highlight w:val="none"/>
        </w:rPr>
        <w:t>甲方范围内的零星用工单价：</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230元/工日（</w:t>
      </w:r>
      <w:r>
        <w:rPr>
          <w:rFonts w:hint="eastAsia" w:ascii="仿宋" w:hAnsi="仿宋" w:eastAsia="仿宋" w:cs="仿宋"/>
          <w:color w:val="auto"/>
          <w:sz w:val="28"/>
          <w:szCs w:val="28"/>
          <w:highlight w:val="none"/>
          <w:lang w:val="en-US" w:eastAsia="zh-CN"/>
        </w:rPr>
        <w:t>含税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计取</w:t>
      </w:r>
      <w:r>
        <w:rPr>
          <w:rFonts w:hint="eastAsia" w:ascii="仿宋" w:hAnsi="仿宋" w:eastAsia="仿宋" w:cs="仿宋"/>
          <w:color w:val="auto"/>
          <w:kern w:val="2"/>
          <w:sz w:val="28"/>
          <w:szCs w:val="28"/>
          <w:highlight w:val="none"/>
          <w:lang w:val="en-US" w:eastAsia="zh-CN" w:bidi="ar-SA"/>
        </w:rPr>
        <w:t>。</w:t>
      </w:r>
    </w:p>
    <w:p>
      <w:pPr>
        <w:pStyle w:val="11"/>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7.5.3.3</w:t>
      </w:r>
      <w:r>
        <w:rPr>
          <w:rFonts w:hint="eastAsia" w:ascii="仿宋" w:hAnsi="仿宋" w:eastAsia="仿宋" w:cs="仿宋"/>
          <w:color w:val="auto"/>
          <w:sz w:val="28"/>
          <w:szCs w:val="28"/>
          <w:highlight w:val="none"/>
        </w:rPr>
        <w:t>零星时工填写</w:t>
      </w:r>
      <w:r>
        <w:rPr>
          <w:rFonts w:hint="eastAsia" w:ascii="仿宋" w:hAnsi="仿宋" w:eastAsia="仿宋" w:cs="仿宋"/>
          <w:color w:val="auto"/>
          <w:kern w:val="2"/>
          <w:sz w:val="28"/>
          <w:szCs w:val="28"/>
          <w:highlight w:val="none"/>
          <w:lang w:val="en-US" w:eastAsia="zh-CN" w:bidi="ar-SA"/>
        </w:rPr>
        <w:t>签证单时，格式按甲方规定的格式填写，</w:t>
      </w:r>
      <w:r>
        <w:rPr>
          <w:rFonts w:hint="eastAsia" w:ascii="仿宋" w:hAnsi="仿宋" w:eastAsia="仿宋" w:cs="仿宋"/>
          <w:strike w:val="0"/>
          <w:dstrike w:val="0"/>
          <w:color w:val="auto"/>
          <w:sz w:val="28"/>
          <w:szCs w:val="28"/>
          <w:highlight w:val="none"/>
        </w:rPr>
        <w:t>属甲方承担的</w:t>
      </w:r>
      <w:r>
        <w:rPr>
          <w:rFonts w:hint="eastAsia" w:ascii="仿宋" w:hAnsi="仿宋" w:eastAsia="仿宋" w:cs="仿宋"/>
          <w:strike w:val="0"/>
          <w:dstrike w:val="0"/>
          <w:color w:val="auto"/>
          <w:sz w:val="28"/>
          <w:szCs w:val="28"/>
          <w:highlight w:val="none"/>
          <w:lang w:val="en-US" w:eastAsia="zh-CN"/>
        </w:rPr>
        <w:t>填写</w:t>
      </w:r>
      <w:r>
        <w:rPr>
          <w:rFonts w:hint="eastAsia" w:ascii="仿宋" w:hAnsi="仿宋" w:eastAsia="仿宋" w:cs="仿宋"/>
          <w:color w:val="auto"/>
          <w:kern w:val="2"/>
          <w:sz w:val="28"/>
          <w:szCs w:val="28"/>
          <w:highlight w:val="none"/>
          <w:lang w:val="en-US" w:eastAsia="zh-CN" w:bidi="ar-SA"/>
        </w:rPr>
        <w:t>《分包签证确认单》、《工程量现场草签记录表》；</w:t>
      </w:r>
      <w:r>
        <w:rPr>
          <w:rFonts w:hint="eastAsia" w:ascii="仿宋" w:hAnsi="仿宋" w:eastAsia="仿宋" w:cs="仿宋"/>
          <w:strike w:val="0"/>
          <w:dstrike w:val="0"/>
          <w:color w:val="auto"/>
          <w:sz w:val="28"/>
          <w:szCs w:val="28"/>
          <w:highlight w:val="none"/>
        </w:rPr>
        <w:t>如乙方工程范围未完成属扣乙方的单独写单，并注明扣乙方具体施工位置；属建设单位签证的（不属甲方范围的零星用工）必须附</w:t>
      </w:r>
      <w:r>
        <w:rPr>
          <w:rFonts w:hint="eastAsia" w:ascii="仿宋" w:hAnsi="仿宋" w:eastAsia="仿宋" w:cs="仿宋"/>
          <w:color w:val="auto"/>
          <w:kern w:val="2"/>
          <w:sz w:val="28"/>
          <w:szCs w:val="28"/>
          <w:highlight w:val="none"/>
          <w:lang w:val="en-US" w:eastAsia="zh-CN" w:bidi="ar-SA"/>
        </w:rPr>
        <w:t>《签证单分包说明》及</w:t>
      </w:r>
      <w:r>
        <w:rPr>
          <w:rFonts w:hint="eastAsia" w:ascii="仿宋" w:hAnsi="仿宋" w:eastAsia="仿宋" w:cs="仿宋"/>
          <w:strike w:val="0"/>
          <w:dstrike w:val="0"/>
          <w:color w:val="auto"/>
          <w:sz w:val="28"/>
          <w:szCs w:val="28"/>
          <w:highlight w:val="none"/>
        </w:rPr>
        <w:t>建设单位签证单复印件</w:t>
      </w:r>
      <w:r>
        <w:rPr>
          <w:rFonts w:hint="eastAsia" w:ascii="仿宋" w:hAnsi="仿宋" w:eastAsia="仿宋" w:cs="仿宋"/>
          <w:strike w:val="0"/>
          <w:dstrike w:val="0"/>
          <w:color w:val="auto"/>
          <w:sz w:val="28"/>
          <w:szCs w:val="28"/>
          <w:highlight w:val="none"/>
          <w:lang w:eastAsia="zh-CN"/>
        </w:rPr>
        <w:t>；</w:t>
      </w:r>
      <w:r>
        <w:rPr>
          <w:rFonts w:hint="eastAsia" w:ascii="仿宋" w:hAnsi="仿宋" w:eastAsia="仿宋" w:cs="仿宋"/>
          <w:strike w:val="0"/>
          <w:dstrike w:val="0"/>
          <w:color w:val="auto"/>
          <w:sz w:val="28"/>
          <w:szCs w:val="28"/>
          <w:highlight w:val="none"/>
          <w:lang w:val="en-US" w:eastAsia="zh-CN"/>
        </w:rPr>
        <w:t>所有签证资料须附上</w:t>
      </w:r>
      <w:r>
        <w:rPr>
          <w:rFonts w:hint="eastAsia" w:ascii="仿宋" w:hAnsi="仿宋" w:eastAsia="仿宋" w:cs="仿宋"/>
          <w:color w:val="auto"/>
          <w:kern w:val="2"/>
          <w:sz w:val="28"/>
          <w:szCs w:val="28"/>
          <w:highlight w:val="none"/>
          <w:lang w:val="en-US" w:eastAsia="zh-CN" w:bidi="ar-SA"/>
        </w:rPr>
        <w:t>通知单/联系单/设计变更文件、影像资料等。</w:t>
      </w:r>
    </w:p>
    <w:p>
      <w:pPr>
        <w:pStyle w:val="11"/>
        <w:spacing w:line="360" w:lineRule="auto"/>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kern w:val="2"/>
          <w:sz w:val="28"/>
          <w:szCs w:val="28"/>
          <w:highlight w:val="none"/>
          <w:lang w:val="en-US" w:eastAsia="zh-CN" w:bidi="ar-SA"/>
        </w:rPr>
        <w:t>7.5.3.4零星时工签证要求及申报程序按照签证管理制度第7.5.1~7.5.2条款执行。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7.6计价依据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7.6.1合同范围内的工程，按合同价格执行；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7.6.2合同范围外的签证、变更、增加工程，按下述办法执行：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7.6.2.1合同中已有适用于该工程的价格时，按合同已有的价格执行；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7.6.2.2合同中只有类似于该工程的价格时，可在合理范围内参照类似价格执行；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7.6.2.3合同中没有适用或类似于该工程的价格时，按下述第7.7条规则执行。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7.7计价规则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7.7.4税率：按国家建设行政主管部门及国家税务部门的最新规定执行。</w:t>
      </w:r>
    </w:p>
    <w:p>
      <w:pPr>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7.7.5按上述计费方式得出价款后</w:t>
      </w:r>
      <w:r>
        <w:rPr>
          <w:rFonts w:hint="eastAsia" w:ascii="仿宋" w:hAnsi="仿宋" w:eastAsia="仿宋" w:cs="仿宋"/>
          <w:b/>
          <w:bCs/>
          <w:color w:val="auto"/>
          <w:sz w:val="28"/>
          <w:szCs w:val="28"/>
          <w:highlight w:val="none"/>
          <w:lang w:val="en-US" w:eastAsia="zh-CN"/>
        </w:rPr>
        <w:t>（甲方直接确认的综合单价不参与上下浮的除外）：</w:t>
      </w:r>
      <w:r>
        <w:rPr>
          <w:rFonts w:hint="eastAsia" w:ascii="仿宋" w:hAnsi="仿宋" w:eastAsia="仿宋" w:cs="仿宋"/>
          <w:b/>
          <w:bCs/>
          <w:color w:val="auto"/>
          <w:sz w:val="28"/>
          <w:szCs w:val="28"/>
          <w:highlight w:val="none"/>
          <w:u w:val="none"/>
          <w:lang w:val="en-US" w:eastAsia="zh-CN"/>
        </w:rPr>
        <w:t>包人工包辅材的工程按以上计价方式（仅计取人工费和乙方提供的辅材和机械费）税前下浮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%后计取税金；包工包料的工程按以上计价方式税前下浮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w:t>
      </w:r>
      <w:r>
        <w:rPr>
          <w:rFonts w:hint="eastAsia" w:ascii="仿宋" w:hAnsi="仿宋" w:eastAsia="仿宋" w:cs="仿宋"/>
          <w:color w:val="auto"/>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7.8甲方巡检发现存在质量问题或验收不合格的工程，工程量不予结算。</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乙方未未按甲方要求完成</w:t>
      </w:r>
      <w:r>
        <w:rPr>
          <w:rFonts w:hint="eastAsia" w:ascii="仿宋" w:hAnsi="仿宋" w:eastAsia="仿宋" w:cs="仿宋"/>
          <w:color w:val="auto"/>
          <w:sz w:val="28"/>
          <w:szCs w:val="28"/>
          <w:highlight w:val="none"/>
          <w:lang w:val="en-US" w:eastAsia="zh-CN"/>
        </w:rPr>
        <w:t>自身工作</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即较甲方要求的时间延误三天以上未完成的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，甲方有权安排</w:t>
      </w:r>
      <w:r>
        <w:rPr>
          <w:rFonts w:hint="eastAsia" w:ascii="仿宋" w:hAnsi="仿宋" w:eastAsia="仿宋" w:cs="仿宋"/>
          <w:color w:val="auto"/>
          <w:sz w:val="28"/>
          <w:szCs w:val="28"/>
          <w:highlight w:val="none"/>
          <w:lang w:val="en-US" w:eastAsia="zh-CN"/>
        </w:rPr>
        <w:t>他人</w:t>
      </w:r>
      <w:r>
        <w:rPr>
          <w:rFonts w:hint="eastAsia" w:ascii="仿宋" w:hAnsi="仿宋" w:eastAsia="仿宋" w:cs="仿宋"/>
          <w:color w:val="auto"/>
          <w:sz w:val="28"/>
          <w:szCs w:val="28"/>
          <w:highlight w:val="none"/>
        </w:rPr>
        <w:t>完成并</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/人计价且从应付给乙方的款项中直接扣款</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如实际费用超出5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/人，甲方按实际发生的费用</w:t>
      </w:r>
      <w:r>
        <w:rPr>
          <w:rFonts w:hint="eastAsia" w:ascii="仿宋" w:hAnsi="仿宋" w:eastAsia="仿宋" w:cs="仿宋"/>
          <w:color w:val="auto"/>
          <w:sz w:val="28"/>
          <w:szCs w:val="28"/>
          <w:highlight w:val="none"/>
        </w:rPr>
        <w:t>从</w:t>
      </w:r>
      <w:r>
        <w:rPr>
          <w:rFonts w:hint="eastAsia" w:ascii="仿宋" w:hAnsi="仿宋" w:eastAsia="仿宋" w:cs="仿宋"/>
          <w:color w:val="auto"/>
          <w:sz w:val="28"/>
          <w:szCs w:val="28"/>
          <w:highlight w:val="none"/>
          <w:lang w:val="en-US" w:eastAsia="zh-CN"/>
        </w:rPr>
        <w:t>应付给</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款</w:t>
      </w:r>
      <w:r>
        <w:rPr>
          <w:rFonts w:hint="eastAsia" w:ascii="仿宋" w:hAnsi="仿宋" w:eastAsia="仿宋" w:cs="仿宋"/>
          <w:color w:val="auto"/>
          <w:sz w:val="28"/>
          <w:szCs w:val="28"/>
          <w:highlight w:val="none"/>
          <w:lang w:val="en-US" w:eastAsia="zh-CN"/>
        </w:rPr>
        <w:t>项</w:t>
      </w:r>
      <w:r>
        <w:rPr>
          <w:rFonts w:hint="eastAsia" w:ascii="仿宋" w:hAnsi="仿宋" w:eastAsia="仿宋" w:cs="仿宋"/>
          <w:color w:val="auto"/>
          <w:sz w:val="28"/>
          <w:szCs w:val="28"/>
          <w:highlight w:val="none"/>
        </w:rPr>
        <w:t>中</w:t>
      </w:r>
      <w:r>
        <w:rPr>
          <w:rFonts w:hint="eastAsia" w:ascii="仿宋" w:hAnsi="仿宋" w:eastAsia="仿宋" w:cs="仿宋"/>
          <w:color w:val="auto"/>
          <w:sz w:val="28"/>
          <w:szCs w:val="28"/>
          <w:highlight w:val="none"/>
          <w:lang w:val="en-US" w:eastAsia="zh-CN"/>
        </w:rPr>
        <w:t>直接</w:t>
      </w:r>
      <w:r>
        <w:rPr>
          <w:rFonts w:hint="eastAsia" w:ascii="仿宋" w:hAnsi="仿宋" w:eastAsia="仿宋" w:cs="仿宋"/>
          <w:color w:val="auto"/>
          <w:sz w:val="28"/>
          <w:szCs w:val="28"/>
          <w:highlight w:val="none"/>
        </w:rPr>
        <w:t>扣</w:t>
      </w:r>
      <w:r>
        <w:rPr>
          <w:rFonts w:hint="eastAsia" w:ascii="仿宋" w:hAnsi="仿宋" w:eastAsia="仿宋" w:cs="仿宋"/>
          <w:color w:val="auto"/>
          <w:sz w:val="28"/>
          <w:szCs w:val="28"/>
          <w:highlight w:val="none"/>
          <w:lang w:val="en-US" w:eastAsia="zh-CN"/>
        </w:rPr>
        <w:t>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color w:val="auto"/>
          <w:sz w:val="28"/>
          <w:szCs w:val="28"/>
          <w:highlight w:val="none"/>
          <w:lang w:val="en-US" w:eastAsia="zh-CN"/>
        </w:rPr>
        <w:t>分包</w:t>
      </w:r>
      <w:r>
        <w:rPr>
          <w:rFonts w:hint="eastAsia" w:ascii="仿宋" w:hAnsi="仿宋" w:eastAsia="仿宋" w:cs="仿宋"/>
          <w:color w:val="auto"/>
          <w:sz w:val="28"/>
          <w:szCs w:val="28"/>
          <w:highlight w:val="none"/>
        </w:rPr>
        <w:t>签证</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分包</w:t>
      </w:r>
      <w:r>
        <w:rPr>
          <w:rFonts w:hint="eastAsia" w:ascii="仿宋" w:hAnsi="仿宋" w:eastAsia="仿宋" w:cs="仿宋"/>
          <w:color w:val="auto"/>
          <w:sz w:val="28"/>
          <w:szCs w:val="28"/>
          <w:highlight w:val="none"/>
          <w:lang w:eastAsia="zh-CN"/>
        </w:rPr>
        <w:t>签证</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单必须有甲方项目经理签名且加盖项目章方为有效签证）</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分项工程/认质认价申报审批表</w:t>
      </w:r>
      <w:r>
        <w:rPr>
          <w:rFonts w:hint="eastAsia" w:ascii="仿宋" w:hAnsi="仿宋" w:eastAsia="仿宋" w:cs="仿宋"/>
          <w:color w:val="auto"/>
          <w:sz w:val="28"/>
          <w:szCs w:val="28"/>
          <w:highlight w:val="none"/>
        </w:rPr>
        <w:t>、工程结算书、签证预算书、变更单、签证联系函及签证单、照片及相关图纸、记录文件等；④乙方递交结算资料的前提是甲方已有建设单位</w:t>
      </w:r>
      <w:r>
        <w:rPr>
          <w:rFonts w:hint="eastAsia" w:ascii="仿宋" w:hAnsi="仿宋" w:eastAsia="仿宋" w:cs="仿宋"/>
          <w:color w:val="auto"/>
          <w:sz w:val="28"/>
          <w:szCs w:val="28"/>
          <w:highlight w:val="none"/>
          <w:lang w:val="en-US" w:eastAsia="zh-CN"/>
        </w:rPr>
        <w:t>签字的</w:t>
      </w:r>
      <w:r>
        <w:rPr>
          <w:rFonts w:hint="eastAsia" w:ascii="仿宋" w:hAnsi="仿宋" w:eastAsia="仿宋" w:cs="仿宋"/>
          <w:color w:val="auto"/>
          <w:sz w:val="28"/>
          <w:szCs w:val="28"/>
          <w:highlight w:val="none"/>
        </w:rPr>
        <w:t>完整</w:t>
      </w:r>
      <w:r>
        <w:rPr>
          <w:rFonts w:hint="eastAsia" w:ascii="仿宋" w:hAnsi="仿宋" w:eastAsia="仿宋" w:cs="仿宋"/>
          <w:color w:val="auto"/>
          <w:sz w:val="28"/>
          <w:szCs w:val="28"/>
          <w:highlight w:val="none"/>
          <w:lang w:val="en-US" w:eastAsia="zh-CN"/>
        </w:rPr>
        <w:t>版</w:t>
      </w:r>
      <w:r>
        <w:rPr>
          <w:rFonts w:hint="eastAsia" w:ascii="仿宋" w:hAnsi="仿宋" w:eastAsia="仿宋" w:cs="仿宋"/>
          <w:color w:val="auto"/>
          <w:sz w:val="28"/>
          <w:szCs w:val="28"/>
          <w:highlight w:val="none"/>
        </w:rPr>
        <w:t>竣工图，否则甲方有权不接收结算资料且不办理结算；⑤递交结算资料须按《结算申请表》、《工程结算资料审查表》</w:t>
      </w:r>
      <w:r>
        <w:rPr>
          <w:rFonts w:hint="eastAsia" w:ascii="仿宋" w:hAnsi="仿宋" w:eastAsia="仿宋" w:cs="仿宋"/>
          <w:color w:val="auto"/>
          <w:sz w:val="28"/>
          <w:szCs w:val="28"/>
          <w:highlight w:val="none"/>
          <w:lang w:val="en-US" w:eastAsia="zh-CN"/>
        </w:rPr>
        <w:t>填写</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乙方办理结算时必须按甲方要求对合同范围内每个</w:t>
      </w:r>
      <w:r>
        <w:rPr>
          <w:rFonts w:hint="eastAsia" w:ascii="仿宋" w:hAnsi="仿宋" w:eastAsia="仿宋" w:cs="仿宋"/>
          <w:color w:val="auto"/>
          <w:sz w:val="28"/>
          <w:szCs w:val="28"/>
          <w:highlight w:val="none"/>
          <w:lang w:val="en-US" w:eastAsia="zh-CN"/>
        </w:rPr>
        <w:t>组团或每个</w:t>
      </w:r>
      <w:r>
        <w:rPr>
          <w:rFonts w:hint="eastAsia" w:ascii="仿宋" w:hAnsi="仿宋" w:eastAsia="仿宋" w:cs="仿宋"/>
          <w:color w:val="auto"/>
          <w:sz w:val="28"/>
          <w:szCs w:val="28"/>
          <w:highlight w:val="none"/>
        </w:rPr>
        <w:t>地块</w:t>
      </w:r>
      <w:r>
        <w:rPr>
          <w:rFonts w:hint="eastAsia" w:ascii="仿宋" w:hAnsi="仿宋" w:eastAsia="仿宋" w:cs="仿宋"/>
          <w:color w:val="auto"/>
          <w:sz w:val="28"/>
          <w:szCs w:val="28"/>
          <w:highlight w:val="none"/>
          <w:lang w:val="en-US" w:eastAsia="zh-CN"/>
        </w:rPr>
        <w:t>或每栋楼</w:t>
      </w:r>
      <w:r>
        <w:rPr>
          <w:rFonts w:hint="eastAsia" w:ascii="仿宋" w:hAnsi="仿宋" w:eastAsia="仿宋" w:cs="仿宋"/>
          <w:color w:val="auto"/>
          <w:sz w:val="28"/>
          <w:szCs w:val="28"/>
          <w:highlight w:val="none"/>
        </w:rPr>
        <w:t>单独结算，否则甲方有权不予结算且不承担任何违约责任。</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7.12乙方</w:t>
      </w:r>
      <w:r>
        <w:rPr>
          <w:rFonts w:hint="eastAsia" w:ascii="仿宋" w:hAnsi="仿宋" w:eastAsia="仿宋" w:cs="仿宋"/>
          <w:color w:val="auto"/>
          <w:sz w:val="28"/>
          <w:szCs w:val="28"/>
          <w:highlight w:val="none"/>
        </w:rPr>
        <w:t>办理工程进度款申请书、结算书时必须提供甲方主管施工员和项目经理签名的“工完场清</w:t>
      </w:r>
      <w:r>
        <w:rPr>
          <w:rFonts w:hint="eastAsia" w:ascii="仿宋" w:hAnsi="仿宋" w:eastAsia="仿宋" w:cs="仿宋"/>
          <w:color w:val="auto"/>
          <w:sz w:val="28"/>
          <w:szCs w:val="28"/>
          <w:highlight w:val="none"/>
          <w:lang w:eastAsia="zh-CN"/>
        </w:rPr>
        <w:t>交接</w:t>
      </w:r>
      <w:r>
        <w:rPr>
          <w:rFonts w:hint="eastAsia" w:ascii="仿宋" w:hAnsi="仿宋" w:eastAsia="仿宋" w:cs="仿宋"/>
          <w:color w:val="auto"/>
          <w:sz w:val="28"/>
          <w:szCs w:val="28"/>
          <w:highlight w:val="none"/>
        </w:rPr>
        <w:t>单”</w:t>
      </w:r>
      <w:r>
        <w:rPr>
          <w:rFonts w:hint="eastAsia" w:ascii="仿宋" w:hAnsi="仿宋" w:eastAsia="仿宋" w:cs="仿宋"/>
          <w:color w:val="auto"/>
          <w:sz w:val="28"/>
          <w:szCs w:val="28"/>
          <w:highlight w:val="none"/>
          <w:lang w:eastAsia="zh-CN"/>
        </w:rPr>
        <w:t>（</w:t>
      </w:r>
      <w:r>
        <w:rPr>
          <w:rFonts w:hint="eastAsia" w:ascii="仿宋" w:hAnsi="仿宋" w:eastAsia="仿宋" w:cs="仿宋"/>
          <w:color w:val="FF0000"/>
          <w:sz w:val="28"/>
          <w:szCs w:val="28"/>
          <w:highlight w:val="none"/>
          <w:lang w:val="en-US" w:eastAsia="zh-CN"/>
        </w:rPr>
        <w:t>格式</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，否则甲方有权不予办理</w:t>
      </w:r>
      <w:r>
        <w:rPr>
          <w:rFonts w:hint="eastAsia" w:ascii="仿宋" w:hAnsi="仿宋" w:eastAsia="仿宋" w:cs="仿宋"/>
          <w:color w:val="auto"/>
          <w:sz w:val="28"/>
          <w:szCs w:val="28"/>
          <w:highlight w:val="none"/>
          <w:lang w:val="en-US" w:eastAsia="zh-CN"/>
        </w:rPr>
        <w:t>付款及结算</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本工程合同内未施工内容和合同外增加内容工程结算金额的申报约定如下：</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.1乙方应本着实事求是的精神对工程做出结算，</w:t>
      </w:r>
      <w:r>
        <w:rPr>
          <w:rFonts w:hint="eastAsia" w:ascii="仿宋" w:hAnsi="仿宋" w:eastAsia="仿宋" w:cs="仿宋"/>
          <w:color w:val="FF0000"/>
          <w:sz w:val="28"/>
          <w:szCs w:val="28"/>
          <w:highlight w:val="none"/>
          <w:lang w:val="en-US" w:eastAsia="zh-CN"/>
        </w:rPr>
        <w:t>不得</w:t>
      </w:r>
      <w:r>
        <w:rPr>
          <w:rFonts w:hint="eastAsia" w:ascii="仿宋" w:hAnsi="仿宋" w:eastAsia="仿宋" w:cs="仿宋"/>
          <w:color w:val="auto"/>
          <w:sz w:val="28"/>
          <w:szCs w:val="28"/>
          <w:highlight w:val="none"/>
        </w:rPr>
        <w:t>虚报工程结算</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FF0000"/>
          <w:sz w:val="28"/>
          <w:szCs w:val="28"/>
          <w:highlight w:val="none"/>
          <w:lang w:val="en-US" w:eastAsia="zh-CN"/>
        </w:rPr>
        <w:t>7.13.2</w:t>
      </w:r>
      <w:r>
        <w:rPr>
          <w:rFonts w:hint="eastAsia" w:ascii="仿宋" w:hAnsi="仿宋" w:eastAsia="仿宋" w:cs="仿宋"/>
          <w:color w:val="auto"/>
          <w:sz w:val="28"/>
          <w:szCs w:val="28"/>
          <w:highlight w:val="none"/>
        </w:rPr>
        <w:t>合同内未施工的清单分项、图纸内容，乙方在申报结算书中未扣减</w:t>
      </w:r>
      <w:r>
        <w:rPr>
          <w:rFonts w:hint="eastAsia" w:ascii="仿宋" w:hAnsi="仿宋" w:eastAsia="仿宋" w:cs="仿宋"/>
          <w:color w:val="FF0000"/>
          <w:sz w:val="28"/>
          <w:szCs w:val="28"/>
          <w:highlight w:val="none"/>
        </w:rPr>
        <w:t>相应费用</w:t>
      </w:r>
      <w:r>
        <w:rPr>
          <w:rFonts w:hint="eastAsia" w:ascii="仿宋" w:hAnsi="仿宋" w:eastAsia="仿宋" w:cs="仿宋"/>
          <w:color w:val="auto"/>
          <w:sz w:val="28"/>
          <w:szCs w:val="28"/>
          <w:highlight w:val="none"/>
        </w:rPr>
        <w:t>的，甲方有权要求乙方按其未施工项目金额的200%支付违约金，违约金可在任一期结算金额中扣除。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FF0000"/>
          <w:sz w:val="28"/>
          <w:szCs w:val="28"/>
          <w:highlight w:val="none"/>
          <w:lang w:val="en-US" w:eastAsia="zh-CN"/>
        </w:rPr>
        <w:t>对</w:t>
      </w:r>
      <w:r>
        <w:rPr>
          <w:rFonts w:hint="eastAsia" w:ascii="仿宋" w:hAnsi="仿宋" w:eastAsia="仿宋" w:cs="仿宋"/>
          <w:color w:val="auto"/>
          <w:sz w:val="28"/>
          <w:szCs w:val="28"/>
          <w:highlight w:val="none"/>
        </w:rPr>
        <w:t>合同外增加内容</w:t>
      </w:r>
      <w:r>
        <w:rPr>
          <w:rFonts w:hint="eastAsia" w:ascii="仿宋" w:hAnsi="仿宋" w:eastAsia="仿宋" w:cs="仿宋"/>
          <w:color w:val="FF0000"/>
          <w:sz w:val="28"/>
          <w:szCs w:val="28"/>
          <w:highlight w:val="none"/>
          <w:lang w:eastAsia="zh-CN"/>
        </w:rPr>
        <w:t>，</w:t>
      </w:r>
      <w:r>
        <w:rPr>
          <w:rFonts w:hint="eastAsia" w:ascii="仿宋" w:hAnsi="仿宋" w:eastAsia="仿宋" w:cs="仿宋"/>
          <w:color w:val="auto"/>
          <w:sz w:val="28"/>
          <w:szCs w:val="28"/>
          <w:highlight w:val="none"/>
        </w:rPr>
        <w:t>若</w:t>
      </w:r>
      <w:r>
        <w:rPr>
          <w:rFonts w:hint="eastAsia" w:ascii="仿宋" w:hAnsi="仿宋" w:eastAsia="仿宋" w:cs="仿宋"/>
          <w:color w:val="FF0000"/>
          <w:sz w:val="28"/>
          <w:szCs w:val="28"/>
          <w:highlight w:val="none"/>
        </w:rPr>
        <w:t>甲</w:t>
      </w:r>
      <w:r>
        <w:rPr>
          <w:rFonts w:hint="eastAsia" w:ascii="仿宋" w:hAnsi="仿宋" w:eastAsia="仿宋" w:cs="仿宋"/>
          <w:color w:val="auto"/>
          <w:sz w:val="28"/>
          <w:szCs w:val="28"/>
          <w:highlight w:val="none"/>
        </w:rPr>
        <w:t>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本工程甲供材损耗率按本合同第</w:t>
      </w:r>
      <w:r>
        <w:rPr>
          <w:rFonts w:hint="eastAsia" w:ascii="仿宋" w:hAnsi="仿宋" w:eastAsia="仿宋" w:cs="仿宋"/>
          <w:color w:val="auto"/>
          <w:sz w:val="28"/>
          <w:szCs w:val="28"/>
          <w:highlight w:val="yellow"/>
        </w:rPr>
        <w:t>十一章</w:t>
      </w:r>
      <w:r>
        <w:rPr>
          <w:rFonts w:hint="eastAsia" w:ascii="仿宋" w:hAnsi="仿宋" w:eastAsia="仿宋" w:cs="仿宋"/>
          <w:color w:val="auto"/>
          <w:sz w:val="28"/>
          <w:szCs w:val="28"/>
          <w:highlight w:val="none"/>
        </w:rPr>
        <w:t>对应条款执行。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付款方式</w:t>
      </w:r>
      <w:bookmarkEnd w:id="28"/>
      <w:bookmarkEnd w:id="29"/>
      <w:bookmarkEnd w:id="30"/>
      <w:bookmarkEnd w:id="31"/>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8.1付款方式一</w:t>
      </w:r>
    </w:p>
    <w:p>
      <w:pPr>
        <w:pStyle w:val="3"/>
        <w:spacing w:line="360" w:lineRule="auto"/>
        <w:ind w:left="-197" w:leftChars="-94" w:right="-578" w:rightChars="-275" w:firstLine="417" w:firstLineChars="149"/>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w:t>
      </w:r>
      <w:r>
        <w:rPr>
          <w:rFonts w:hint="eastAsia" w:ascii="仿宋_GB2312" w:hAnsi="仿宋_GB2312" w:eastAsia="仿宋_GB2312" w:cs="仿宋_GB2312"/>
          <w:b w:val="0"/>
          <w:bCs w:val="0"/>
          <w:i w:val="0"/>
          <w:iCs w:val="0"/>
          <w:color w:val="auto"/>
          <w:sz w:val="28"/>
          <w:szCs w:val="28"/>
          <w:highlight w:val="none"/>
          <w:shd w:val="clear" w:color="auto" w:fill="auto"/>
        </w:rPr>
        <w:t>.1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.1鉴于乙方须按甲方要求分地块/项目施工和验收，甲乙双方同意按地块/项目分别付款、结算。</w:t>
      </w:r>
    </w:p>
    <w:p>
      <w:pPr>
        <w:pStyle w:val="3"/>
        <w:spacing w:line="360" w:lineRule="auto"/>
        <w:ind w:left="-197" w:leftChars="-94" w:right="-578" w:rightChars="-275" w:firstLine="417" w:firstLineChars="149"/>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8.1.2</w:t>
      </w:r>
      <w:r>
        <w:rPr>
          <w:rFonts w:hint="eastAsia" w:ascii="仿宋_GB2312" w:hAnsi="仿宋_GB2312" w:eastAsia="仿宋_GB2312" w:cs="仿宋_GB2312"/>
          <w:b w:val="0"/>
          <w:bCs w:val="0"/>
          <w:i w:val="0"/>
          <w:iCs w:val="0"/>
          <w:color w:val="auto"/>
          <w:sz w:val="28"/>
          <w:szCs w:val="28"/>
          <w:highlight w:val="none"/>
          <w:shd w:val="clear" w:color="auto" w:fill="auto"/>
        </w:rPr>
        <w:t>任一地块/项目当月工程量，乙方必须在次月</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rPr>
        <w:t>日前按照甲方结算流程报至甲方项目部，甲方项目部再按照</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公司结算流程办理审核及审批。每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三</w:t>
      </w:r>
      <w:r>
        <w:rPr>
          <w:rFonts w:hint="eastAsia" w:ascii="仿宋_GB2312" w:hAnsi="仿宋_GB2312" w:eastAsia="仿宋_GB2312" w:cs="仿宋_GB2312"/>
          <w:b w:val="0"/>
          <w:bCs w:val="0"/>
          <w:i w:val="0"/>
          <w:iCs w:val="0"/>
          <w:color w:val="auto"/>
          <w:sz w:val="28"/>
          <w:szCs w:val="28"/>
          <w:highlight w:val="none"/>
          <w:shd w:val="clear" w:color="auto" w:fill="auto"/>
        </w:rPr>
        <w:t>个月汇总</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结算并支付一次结算款</w:t>
      </w:r>
      <w:r>
        <w:rPr>
          <w:rFonts w:hint="eastAsia" w:ascii="仿宋_GB2312" w:hAnsi="仿宋_GB2312" w:eastAsia="仿宋_GB2312" w:cs="仿宋_GB2312"/>
          <w:b w:val="0"/>
          <w:bCs w:val="0"/>
          <w:i w:val="0"/>
          <w:iCs w:val="0"/>
          <w:color w:val="auto"/>
          <w:sz w:val="28"/>
          <w:szCs w:val="28"/>
          <w:highlight w:val="none"/>
          <w:shd w:val="clear" w:color="auto" w:fill="auto"/>
        </w:rPr>
        <w:t>，甲乙双方就结算金额达成书面一致，且乙方提供金额等于结算金额100%的发票给甲方后，甲方向乙方支付该地块/项目当次费用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的97%</w:t>
      </w:r>
      <w:r>
        <w:rPr>
          <w:rFonts w:hint="eastAsia" w:ascii="仿宋_GB2312" w:hAnsi="仿宋_GB2312" w:eastAsia="仿宋_GB2312" w:cs="仿宋_GB2312"/>
          <w:b w:val="0"/>
          <w:bCs w:val="0"/>
          <w:i w:val="0"/>
          <w:iCs w:val="0"/>
          <w:color w:val="auto"/>
          <w:sz w:val="28"/>
          <w:szCs w:val="28"/>
          <w:highlight w:val="none"/>
          <w:shd w:val="clear" w:color="auto" w:fill="auto"/>
        </w:rPr>
        <w:t>（含乙方工人工资）</w:t>
      </w:r>
      <w:r>
        <w:rPr>
          <w:rFonts w:hint="eastAsia" w:ascii="仿宋_GB2312" w:hAnsi="仿宋_GB2312" w:eastAsia="仿宋_GB2312" w:cs="仿宋_GB2312"/>
          <w:b w:val="0"/>
          <w:bCs w:val="0"/>
          <w:i w:val="0"/>
          <w:iCs w:val="0"/>
          <w:color w:val="auto"/>
          <w:sz w:val="28"/>
          <w:szCs w:val="28"/>
          <w:highlight w:val="none"/>
          <w:shd w:val="clear" w:color="auto" w:fill="auto"/>
          <w:lang w:eastAsia="zh-CN"/>
        </w:rPr>
        <w:t>。乙方每次请款必须提供《工程形象进度确认表》、《已完产值汇总表》、《工人工资发放承诺书》等资料，且提供的资料须乙方合同执行人或现场代表签名并加盖公章，具体按甲方《工程分包、劳务分包及机械租赁类款项支付管理办法》执行。</w:t>
      </w:r>
      <w:r>
        <w:rPr>
          <w:rFonts w:hint="eastAsia" w:ascii="仿宋_GB2312" w:hAnsi="仿宋_GB2312" w:eastAsia="仿宋_GB2312" w:cs="仿宋_GB2312"/>
          <w:i w:val="0"/>
          <w:iCs w:val="0"/>
          <w:color w:val="auto"/>
          <w:sz w:val="28"/>
          <w:szCs w:val="28"/>
          <w:highlight w:val="none"/>
          <w:shd w:val="clear" w:color="auto" w:fill="auto"/>
          <w:lang w:val="en-US" w:eastAsia="zh-CN"/>
        </w:rPr>
        <w:t>该进度款支付分配安排如下：</w:t>
      </w:r>
    </w:p>
    <w:p>
      <w:pPr>
        <w:pStyle w:val="3"/>
        <w:spacing w:line="360" w:lineRule="auto"/>
        <w:ind w:left="-197" w:leftChars="-94" w:right="-578" w:rightChars="-275" w:firstLine="417" w:firstLineChars="149"/>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乙方该笔款的工人工资款从甲方工人工资专用账户支付，余款由甲方账户直接支付至本合同约定的乙方收款账户。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default"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1.3</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任一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地块/项目</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结算总价的</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％作为该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地块/项目</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内容的</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质保金</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含乙方工人工资</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，质保期满</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五</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年且乙方</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如实</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履行保修义务、责任后无息结清。</w:t>
      </w:r>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default"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8.2付款方式二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（如定标结果的付款方式与上述“8.1条付款方式一”不一致，则将定标结果的付款方式填写在此处作为合同付款方式。 ）</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bookmarkStart w:id="37" w:name="_Toc31665"/>
      <w:bookmarkStart w:id="38" w:name="_Toc26423"/>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8.3付款形式：优先使用网银、银行承兑汇票等，支票、电汇视情况而定。甲方选择其中任意一种支付形式给乙方合同款，均视为乙方收到该笔合同款。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乙方每次收款</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前</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必须提供甲方认可</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且符合合同约定</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的等额合法增值税专用发票（开票内容须与合同内容一致，</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按甲方要求分项目、分地块</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独立开具发票），否则甲方有权不付款</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甲方以实际收到乙方请款资料</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b w:val="0"/>
          <w:bCs w:val="0"/>
          <w:i w:val="0"/>
          <w:iCs w:val="0"/>
          <w:color w:val="FF0000"/>
          <w:sz w:val="28"/>
          <w:szCs w:val="28"/>
          <w:highlight w:val="none"/>
          <w:shd w:val="clear" w:color="auto" w:fill="auto"/>
          <w:lang w:val="en-US" w:eastAsia="zh-CN"/>
        </w:rPr>
        <w:t>包括但不限于本合同附件要求的资料</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拒付合同款</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且不</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8.5</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乙方每次向甲方请款时，</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应</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按甲方要求注明该次请款所含的</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每个地块、每栋楼</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甲方在乙方每次请款时直接扣除乙方按实发生的房租、水电费、空调使用费等款项。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8.8</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如</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甲乙</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双方对</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应</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付款金额、结算金额产生争议，甲方有权暂缓付款</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且</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不违约，甲方无需向乙方支付违约金或利息</w:t>
      </w:r>
      <w:r>
        <w:rPr>
          <w:rFonts w:hint="eastAsia" w:ascii="仿宋_GB2312" w:hAnsi="仿宋_GB2312" w:eastAsia="仿宋_GB2312" w:cs="仿宋_GB2312"/>
          <w:bCs/>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直至双方达成一致意见</w:t>
      </w:r>
      <w:r>
        <w:rPr>
          <w:rFonts w:hint="eastAsia" w:ascii="仿宋_GB2312" w:hAnsi="仿宋_GB2312" w:eastAsia="仿宋_GB2312" w:cs="仿宋_GB2312"/>
          <w:b w:val="0"/>
          <w:bCs/>
          <w:i w:val="0"/>
          <w:iCs w:val="0"/>
          <w:color w:val="000000" w:themeColor="text1"/>
          <w:sz w:val="28"/>
          <w:szCs w:val="28"/>
          <w:highlight w:val="none"/>
          <w:lang w:val="en-US" w:eastAsia="zh-CN"/>
          <w14:textFill>
            <w14:solidFill>
              <w14:schemeClr w14:val="tx1"/>
            </w14:solidFill>
          </w14:textFill>
        </w:rPr>
        <w:t>后</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方可按甲方相应流程办理付款手续</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8.9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8.10履行本合同过程中，凡甲方收取的款项（包括但不限于：各类押金、违约金、</w:t>
      </w:r>
      <w:r>
        <w:rPr>
          <w:rFonts w:hint="eastAsia" w:ascii="仿宋_GB2312" w:hAnsi="仿宋_GB2312" w:eastAsia="仿宋_GB2312" w:cs="仿宋_GB2312"/>
          <w:bCs/>
          <w:i w:val="0"/>
          <w:iCs w:val="0"/>
          <w:color w:val="FF0000"/>
          <w:sz w:val="28"/>
          <w:szCs w:val="28"/>
          <w:highlight w:val="none"/>
          <w:shd w:val="clear" w:color="auto" w:fill="auto"/>
          <w:lang w:val="en-US" w:eastAsia="zh-CN"/>
        </w:rPr>
        <w:t>保证金、租金、</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8.11乙方在履约过程中，报送甲方项目部签名的台班记录单、送货单、对账单等单据中，表述的各种违背本合同约定的文字内容均无效，乙方承诺均按本合同执行。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39" w:name="_Toc16560"/>
      <w:bookmarkStart w:id="40" w:name="_Toc25291"/>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双方责任和权利</w:t>
      </w:r>
      <w:bookmarkEnd w:id="39"/>
      <w:bookmarkEnd w:id="40"/>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1甲方责任和权利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1.1提供给乙方施工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图纸</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壹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套（含图纸变更通知</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图纸会审记录等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）；对乙方进行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技术交底及质量、安全、进度、文明施工、成本控制等管理。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1.2按国家工程质量标准对乙方施工成品进行内部核验，并办理过程验收手续和完工后总体验收手续。在验收合格情况下按照合同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及时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办理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结算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1.3提供乙方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施工工人在本项目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现场住宿</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设施</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并向乙方收取费用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1.4提供给乙方工作面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及本合同约定的甲供材、机具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1.5为乙方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员工办理人脸识别进场资料。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1.6督促乙方及其工人遵章守纪、按章操作，强化现场安全防护工作。</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1.7根据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总体情况安排</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调整本工程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工期，规定乙方先做某部位后做某部位，何时增加工人何时减少工人，乙方必须服从调动及安排。</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1.8对乙方在施工中出现的不符合设计图纸、违反施工规范和安全操作规程、材料浪费等违规行为强行制止，并要求乙方在规定时间内按要求整改，同时根据具体情况对乙方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计取违约金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1.9对乙方及其人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进行技术考核</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考核不合格人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员禁止</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上岗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且乙方按甲方要求调换合格人员接替上岗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1.10对乙方向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发放报酬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情况有知情权，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工人工资金额由</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乙方提供书面文件给甲方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项目部及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工程部核实确定</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有权知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晓乙方本工程施工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的工资分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制度和实施情况，对不合理、违规的分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甲方有权制止及干预。乙方应及时支付工人工资及材料款，如乙方欠款导致甲方被追索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或被处罚</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应付乙方的款项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中扣款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代付，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但此举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不视为甲方同意对乙方债务承担责任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乙方对甲方代付行为及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额</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异议，如</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应付给乙方的工程款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不足代付导致甲方需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另行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垫付费用，乙方在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甲方发出书面通知起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个</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历天</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内还清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垫付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款并自</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垫付之日起按年利率15%的标准支付利息</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给甲方，其他相应处罚按本合同第十五章执行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对乙方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管理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有权要求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乙方管理人员必须坚守岗位，在施工现场组织指导工人作业。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1.12对乙方违反规范</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设计要求的行为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，甲方有权要求乙方整改，乙方拒不整改或整改二次后仍不能满足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要求的，甲方有权单方解除本合同</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同时乙方赔偿甲方损失（包括</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不限于</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因</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逾期完工而需对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1.13</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凡</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甲方认为会影响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工程质量或可能</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安全事故的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乙方自备</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材料</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机具等</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不得用于本项目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否则乙方无条件更换且每次向甲方承担违约金贰万元及不延长工期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1.14甲方因参与本合同履行而发出、或与乙方达成合意所形成的一切相关文件，均须同时具备甲方公章及法定代表人（或授权代表人）签名，否则均不对甲方产生约束力，除非事后获得甲方另行追认。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9.1.15对乙方不按合同约定时间向甲方申报其工人工资资料等行为，甲方有权对乙方收取违约金，</w:t>
      </w:r>
      <w:r>
        <w:rPr>
          <w:rFonts w:hint="eastAsia" w:ascii="仿宋_GB2312" w:hAnsi="仿宋_GB2312" w:eastAsia="仿宋_GB2312" w:cs="仿宋_GB2312"/>
          <w:b w:val="0"/>
          <w:bCs w:val="0"/>
          <w:i w:val="0"/>
          <w:iCs w:val="0"/>
          <w:color w:val="FF0000"/>
          <w:sz w:val="28"/>
          <w:szCs w:val="28"/>
          <w:highlight w:val="none"/>
          <w:shd w:val="clear" w:color="auto" w:fill="auto"/>
          <w:lang w:val="en-US" w:eastAsia="zh-CN"/>
        </w:rPr>
        <w:t>每逾期一天的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违约金不少于伍佰元/天/人（按乙方在本工程施工工人人数计）。</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9.1.16若乙方原因导致其工人工资不能及时发放，工人发生停工或静坐、闹事等不良行为的，甲方有权按本合同相关条款（如第十四章等）向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收取违约金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2、乙方责任和权利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yellow"/>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按设计图纸和施工规范施工，保证施工成品质量满足合同要求。因乙方原因导致的质量事故，由乙方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损失。</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9.2.2按时完成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阶段性施工任务，保证</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符合</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甲方工期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因乙方原因导致的工期延误</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遭受的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损失均由乙方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9.2.3遵守安全生产、文明施工法规。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违规操作发生的安全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或质量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事故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所</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造成的甲方损失均由乙方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9.2.4遵守甲方管理制度，服从甲方管理。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9.2.5</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对完成的每一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道</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工序及时、认真进行自检，自检合格后提请甲方验收。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提出的问题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按甲方要求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彻底整改，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每延误一天完成整改，向甲方承担违约金壹仟元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9.2.6加强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自身团队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建设。乙方管理人员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经常对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下属</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工人进行技术交底、安全教育，作业人员必须持证上岗。乙方管理人员必须坚守岗位，特殊情况需离开工地</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，经甲方项目部批准后方能离开。</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9.2.7如实向甲方提供《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建筑工人工资表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9.2.8</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在甲方的监督下</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办理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工人工资发放专户，由银行代发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工人工资。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9.2.9</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任意一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进场开工之日三天前，</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须向甲方提交所有进场人员（包括但不限于施工人员）花名册、身份证复印件及联系电话、乙方与进场人员签订的劳动合同（加盖乙方公章）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作实名登记</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，否则甲方有权按逾期天数认定乙方延迟开工计收违约金。乙方与进场人员签订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劳动合同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而未提供在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花名册内或未提供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该人员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身份证复印件及联系电话</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不得进入施工现场，如有发现，乙方向甲方支付违约金贰仟元/人/次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且甲方不发放该人员的工资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9.2.10乙方须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如实</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主动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11乙方有权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要求甲方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按合同约定</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提供充足的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施工材料、机具。乙方自备的机具、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材料</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经甲方验收合格后方可进场使用。甲</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六</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章约定的合同价中，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不另计价</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12</w:t>
      </w:r>
      <w:r>
        <w:rPr>
          <w:rFonts w:hint="eastAsia" w:ascii="仿宋_GB2312" w:hAnsi="仿宋_GB2312" w:eastAsia="仿宋_GB2312" w:cs="仿宋_GB2312"/>
          <w:i w:val="0"/>
          <w:iCs w:val="0"/>
          <w:color w:val="000000" w:themeColor="text1"/>
          <w:kern w:val="0"/>
          <w:sz w:val="28"/>
          <w:szCs w:val="28"/>
          <w:highlight w:val="none"/>
          <w:u w:val="none"/>
          <w:lang w:val="en-US" w:eastAsia="zh-CN" w:bidi="ar"/>
          <w14:textFill>
            <w14:solidFill>
              <w14:schemeClr w14:val="tx1"/>
            </w14:solidFill>
          </w14:textFill>
        </w:rPr>
        <w:t>合同履行过程中，如乙方中途自行退场，甲方不支付任何款项，因此造成甲方损失的由乙方赔偿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合理使用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材，在保证质量的情况下，按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相应规范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控制使用。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与其他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分包单位</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积极配合，保护所有成品。</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如</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使用甲方提供的宿舍，住宿按7人/间配置，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凡按乙方人员分配房间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超过数量的，甲方将按1000元/间/月（</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）向乙方收取房租，乙方必须每月按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实</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缴纳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电费【线路损耗按装表计量实际量加10%损耗计（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）】和空调使用费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按1.3元/间/天计（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），未安装空调的此项不计】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和房租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给甲方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。乙方每次向甲方请款时，甲方合同执行联系人可直接扣除乙方上月产生的房租、水电费及空调使用费，并按扣除后的金额申请进度款。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对违章指挥，乙方有权拒绝服从。</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因乙方材料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施工质量问题引起的返工、维修、更换、损失及工期延误等造成的一切费用由乙方承担。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供应的每批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材料必须经甲方现场管理人员（或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施工员）确认是否符合</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合同要求及本</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工程所需，如不符合，一律不准进场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并按甲方要求更换且不得因此延长工期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同时乙方每次向甲方承担违约金壹万元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19乙方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确保本工程的质量和进度一次性</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达到</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合同要求，否则造成的一切损失由乙方承担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且每次向甲方承担违约金壹万元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20乙方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充分了解</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工程现场实际情况，确定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第六章约定的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/总价</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已包含处理现场各种因素导致的多次进退场、怠工、误工等不能正常开工情形的费用，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甲方无需另行计费给乙方。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乙方人员进场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前</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须提供本项目所在地三甲医院出具的体检健康证明，否则甲方有权将无证人员驱逐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出本项目</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无论乙方是否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提供该证明，乙方人员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身体健康，无妨碍从事工作的疾病和生理缺陷，符合进场及该工种的操作要求。因乙方人员自身疾病或生理缺陷等原因导致的伤亡均由乙方自行承担全责，甲方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无需承担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责任及赔偿</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任何费用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乙方及其人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的社会保险费、人身意外伤害保险费及乙方对本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成果承担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质量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保修工作的有关费用等已包含在本合同第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六章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约定的合同价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中，甲方无需另行支付费用给乙方。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yellow"/>
          <w:shd w:val="clear" w:color="auto" w:fill="auto"/>
          <w:lang w:val="en-US" w:eastAsia="zh-CN"/>
          <w14:textFill>
            <w14:solidFill>
              <w14:schemeClr w14:val="tx1"/>
            </w14:solidFill>
          </w14:textFill>
        </w:rPr>
        <w:t>9.2.24</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按甲方书面确定的图纸、设计变更通知单施工，未经甲方书面同意而擅自施工的，无论是否影响本项目质量或工期，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每次须支付违约金人民币壹万元给甲方，并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因此导致的一切后果</w:t>
      </w:r>
      <w:r>
        <w:rPr>
          <w:rFonts w:hint="eastAsia" w:ascii="仿宋_GB2312" w:hAnsi="仿宋_GB2312" w:eastAsia="仿宋_GB2312" w:cs="仿宋_GB2312"/>
          <w:i w:val="0"/>
          <w:iCs w:val="0"/>
          <w:color w:val="FF0000"/>
          <w:sz w:val="28"/>
          <w:szCs w:val="28"/>
          <w:highlight w:val="none"/>
          <w:shd w:val="clear" w:color="auto" w:fill="auto"/>
          <w:lang w:val="en-US" w:eastAsia="zh-CN"/>
        </w:rPr>
        <w:t>及赔偿甲方损失</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，同时甲方不</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9.2.25乙方原因导致的一切安全事故，属乙方责任，所有损失及费用由乙方承担。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9.2.29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9.2.30乙方在甲方领料，使用甲方提供的各种材料和设备机具前，有检查甲方提供的材料，机具设备是否合格的义务和拒绝使用不合格甲供材料，机具设备的权利。乙方发现甲方提供的材料，机具设备有不合格的情行时须书面告知甲方。如因为乙方没书面形式通知甲方不合格材料，机具设备拒绝使用的要求，乙方就直接使用了不合格的材料，机具设备施工，即视为乙方认为该批甲供材料，机具设备质量合格、符合工程要求，使用该批材料的工程部位发生的任何质量问题、工期延误及所有损失，乙方自愿承担不低于10%以上的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9.2.31乙方使用于本合同工程的所有材料及机械设备必须符合现行国家及项目当地的相关规定。同时按甲方《分包单位材料管理制度》执行。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1" w:name="_Toc12475"/>
      <w:bookmarkStart w:id="42" w:name="_Toc5139"/>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安全生产、文明施工要求</w:t>
      </w:r>
      <w:bookmarkEnd w:id="41"/>
      <w:bookmarkEnd w:id="42"/>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10.1乙方施工行为须符合《建筑施工安全检查标准》JGJ59-2011标</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准</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有更新版本则按最新版本执行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本项目所在地政府主管部门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及甲方的安全生产、</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文明施工管理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甲方应对乙方进场的施工人员进行安全教育。</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甲方不得违反《建设工程安全生产管理条例》</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b w:val="0"/>
          <w:bCs w:val="0"/>
          <w:i w:val="0"/>
          <w:iCs w:val="0"/>
          <w:color w:val="FF0000"/>
          <w:sz w:val="28"/>
          <w:szCs w:val="28"/>
          <w:highlight w:val="none"/>
          <w:shd w:val="clear" w:color="auto" w:fill="auto"/>
          <w:lang w:val="en-US" w:eastAsia="zh-CN"/>
        </w:rPr>
        <w:t>有更新版本则按最新版本执行</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乙方应严格遵守《建设工程安全生产管理条例》</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b w:val="0"/>
          <w:bCs w:val="0"/>
          <w:i w:val="0"/>
          <w:iCs w:val="0"/>
          <w:color w:val="FF0000"/>
          <w:sz w:val="28"/>
          <w:szCs w:val="28"/>
          <w:highlight w:val="none"/>
          <w:shd w:val="clear" w:color="auto" w:fill="auto"/>
          <w:lang w:val="en-US" w:eastAsia="zh-CN"/>
        </w:rPr>
        <w:t>有更新版本则按最新版本执行</w:t>
      </w:r>
      <w:r>
        <w:rPr>
          <w:rFonts w:hint="eastAsia" w:ascii="仿宋_GB2312" w:hAnsi="仿宋_GB2312" w:eastAsia="仿宋_GB2312" w:cs="仿宋_GB2312"/>
          <w:b w:val="0"/>
          <w:bCs w:val="0"/>
          <w:i w:val="0"/>
          <w:iCs w:val="0"/>
          <w:color w:val="FF0000"/>
          <w:sz w:val="28"/>
          <w:szCs w:val="28"/>
          <w:highlight w:val="none"/>
          <w:shd w:val="clear" w:color="auto" w:fill="auto"/>
          <w:lang w:eastAsia="zh-CN"/>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及有关文件安全管理规定，组织安排工人施工，消除安全隐患。乙方保证甲方不承担任何</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因乙方原因导致的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人身伤亡或财产损失</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或赔偿</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责任，保障甲方不承担任何</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乙方及其人员引起的诉讼、控告、索赔责任及发生的相关费用，否则甲方的全部损失由乙方赔偿。</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乙方施工过程中，上道工序完成与下道工序必须进行工作面交接并以书面形式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确认</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甲方及相关单位签字确认的“隐蔽验收表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”作为工程进度款申请书</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3" w:name="_Toc24023"/>
      <w:bookmarkStart w:id="44" w:name="_Toc25343"/>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验收及保修</w:t>
      </w:r>
      <w:bookmarkEnd w:id="43"/>
      <w:bookmarkEnd w:id="44"/>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w:t>
      </w:r>
    </w:p>
    <w:p>
      <w:pPr>
        <w:keepNext w:val="0"/>
        <w:keepLines w:val="0"/>
        <w:widowControl/>
        <w:suppressLineNumbers w:val="0"/>
        <w:jc w:val="left"/>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任一</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w:t>
      </w:r>
      <w:r>
        <w:rPr>
          <w:rFonts w:hint="eastAsia" w:ascii="仿宋" w:hAnsi="仿宋" w:eastAsia="仿宋" w:cs="仿宋"/>
          <w:color w:val="000000"/>
          <w:kern w:val="0"/>
          <w:sz w:val="28"/>
          <w:szCs w:val="28"/>
          <w:highlight w:val="none"/>
          <w:lang w:val="en-US" w:eastAsia="zh-CN" w:bidi="ar"/>
        </w:rPr>
        <w:t>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widowControl/>
        <w:suppressLineNumbers w:val="0"/>
        <w:jc w:val="left"/>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组织验收，经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widowControl/>
        <w:suppressLineNumbers w:val="0"/>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出现的质量问题免费</w:t>
      </w:r>
      <w:r>
        <w:rPr>
          <w:rFonts w:ascii="仿宋" w:hAnsi="仿宋" w:eastAsia="仿宋" w:cs="仿宋"/>
          <w:color w:val="000000"/>
          <w:kern w:val="0"/>
          <w:sz w:val="28"/>
          <w:szCs w:val="28"/>
          <w:highlight w:val="none"/>
          <w:lang w:val="en-US" w:eastAsia="zh-CN" w:bidi="ar"/>
        </w:rPr>
        <w:t>履行保修义务</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各部位、部件、整体或单件的损坏、脱落、开裂、变形等，均</w:t>
      </w:r>
      <w:r>
        <w:rPr>
          <w:rFonts w:ascii="仿宋" w:hAnsi="仿宋" w:eastAsia="仿宋" w:cs="仿宋"/>
          <w:color w:val="000000"/>
          <w:kern w:val="0"/>
          <w:sz w:val="28"/>
          <w:szCs w:val="28"/>
          <w:highlight w:val="none"/>
          <w:lang w:val="en-US" w:eastAsia="zh-CN" w:bidi="ar"/>
        </w:rPr>
        <w:t>属</w:t>
      </w:r>
      <w:r>
        <w:rPr>
          <w:rFonts w:hint="eastAsia" w:ascii="仿宋" w:hAnsi="仿宋" w:eastAsia="仿宋" w:cs="仿宋"/>
          <w:color w:val="000000"/>
          <w:kern w:val="0"/>
          <w:sz w:val="28"/>
          <w:szCs w:val="28"/>
          <w:highlight w:val="none"/>
          <w:lang w:val="en-US" w:eastAsia="zh-CN" w:bidi="ar"/>
        </w:rPr>
        <w:t>乙方保修范围。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内容的保修期为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年</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（政府有更长保修期限规定的，从其规定）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保修期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从</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该</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内容经甲方及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3保修期内，</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如因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原因出现质量问题，乙方须在接到甲方通知后24小时内派人到达现场处理解决，紧急有安全隐患的须4小时内到达，发生乙方连续两次维保验收不合格的，甲方可委派第三方直接进行维保处置，所产生的所有费用200%从乙方质保金中扣除。如本工程质保金不足以支付的，在甲方有多个合作项目的，甲方有权从其任意的工程款中扣除，在甲方无其他合作项目的，按合同要求承担所有因质量缺陷造成的全部费用，对据不按合同执行的列入黑名单，并由法务部门采取法律手段进行相关费用的追讨；经甲、乙双方检查如非乙方原因所致，乙方仍应提供维修服务，但费用经双方商定后由责任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 保修期内，乙方出现较大质量缺陷，乙方履行保修义务至验收合格后，工程质保期自此时间开始顺延。</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yellow"/>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 工程保修期满前，由甲方工程部按照规定组织主导乙方、物业、业主单位人员验收，验收合格的由工程部出具《保修验收合格报告》作为质保金支付凭证；验收不合格的，</w:t>
      </w:r>
      <w:r>
        <w:rPr>
          <w:rFonts w:hint="eastAsia" w:ascii="仿宋_GB2312" w:hAnsi="仿宋_GB2312" w:eastAsia="仿宋_GB2312" w:cs="仿宋_GB2312"/>
          <w:i w:val="0"/>
          <w:iCs w:val="0"/>
          <w:color w:val="000000" w:themeColor="text1"/>
          <w:sz w:val="28"/>
          <w:szCs w:val="28"/>
          <w:highlight w:val="yellow"/>
          <w:shd w:val="clear" w:color="auto" w:fill="auto"/>
          <w14:textFill>
            <w14:solidFill>
              <w14:schemeClr w14:val="tx1"/>
            </w14:solidFill>
          </w14:textFill>
        </w:rPr>
        <w:t>乙方单位按本合同第五章工程质量标准要求维修完成，并要经过48小时试水试验自检合格后，再由甲方工程部组织主导乙方、物业、业主单位人员验收，为确保维修质量验收合格后该渗漏部位再续延12个月的质保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 工程质保期满，乙方书面申请质保金的结算，如出现下列问题暂不拨付质保金，直至处理完毕达成一致意见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11.6.1未按照规定和合同约定全面、及时履行维修责任与义务，仍有问题未处理的。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11.6.2未按照规定和合同约定履行维修责任和义务，而对公司代为履行维修责任及相关费用又不予认可和承担的。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11.6.3施工质量存在明显瑕疵的，出现业主因本工程引起的严重投诉或群发性事件的。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11.6.4分包单位/供应商保修期间发生应由分包单位/供应商承担递延的相关责任类、赔偿类、处罚类、连带类等问题未处理完毕或分包单位不认同的。</w:t>
      </w:r>
      <w:bookmarkEnd w:id="37"/>
      <w:bookmarkEnd w:id="38"/>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5" w:name="_Toc18983"/>
      <w:bookmarkStart w:id="46" w:name="_Toc31409"/>
      <w:bookmarkStart w:id="47" w:name="_Toc7101"/>
      <w:bookmarkStart w:id="48" w:name="_Toc8898"/>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保险</w:t>
      </w:r>
      <w:bookmarkEnd w:id="45"/>
      <w:bookmarkEnd w:id="46"/>
      <w:bookmarkEnd w:id="47"/>
      <w:bookmarkEnd w:id="48"/>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由于不可抗力</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自然灾害或意外事故等情形</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造成</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在本项目的乙方人员</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出险时，甲方如已办理</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且乙方向甲方申报工伤得到甲方确认的，</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则须</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及时向甲方提交索赔资料</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并签订《出险声明函》（格式详见附件三）</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同时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配合保险公司调查并无条件接受保险公司的</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处理结果。甲方确认乙方申报的工伤仅指甲方将为乙方伤亡者申报保险，其伤亡的责任和费用由乙方承担。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本工程因乙方原因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出现损失、损害或损坏</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乙方须立即修复、补救及更换或维修任何受破坏或损坏之</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部位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同时按甲方要求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清理及弃置任何残骸</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无</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的，其责任及相关所有费用由乙方承担。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须为其属下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财产、现场各种施工设施、设备、材料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购买</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保险，</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费用已含在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约定的合同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无需甲方另行支付给乙方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各种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原因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导致乙方需要</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延长保险期所需增加的保险费由乙方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其费用已包含在本合同约定价格内，乙方人员或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因乙方原因造成任何事故(包括第三方人员在内)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损失、赔偿、补偿等责任</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由乙方承担。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3甲乙双方在签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订</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12.5无论甲乙任何一方有无按照本合同约定办理相关保险事宜，乙方人员或因乙方原因导致在本项目范围内发生的伤亡事故，均由乙方承担责任和费用。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12.5甲方对</w:t>
      </w:r>
      <w:r>
        <w:rPr>
          <w:rFonts w:hint="eastAsia" w:ascii="仿宋" w:hAnsi="仿宋" w:eastAsia="仿宋" w:cs="仿宋"/>
          <w:b w:val="0"/>
          <w:bCs w:val="0"/>
          <w:color w:val="auto"/>
          <w:sz w:val="28"/>
          <w:highlight w:val="yellow"/>
          <w:lang w:val="en-US" w:eastAsia="zh-CN"/>
        </w:rPr>
        <w:t>本项目红线外的增加</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零星工程不提供安全事故保险申报的协助工作，安全事故全部责任和费用全部由乙方承担。</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9" w:name="_Toc7926"/>
      <w:bookmarkStart w:id="50" w:name="_Toc18224"/>
      <w:bookmarkStart w:id="51" w:name="_Toc31086"/>
      <w:bookmarkStart w:id="52" w:name="_Toc12559"/>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奖罚条款</w:t>
      </w:r>
      <w:bookmarkEnd w:id="49"/>
      <w:bookmarkEnd w:id="50"/>
      <w:bookmarkEnd w:id="51"/>
      <w:bookmarkEnd w:id="52"/>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1奖励</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1.1如乙方施工的产品质量优质，施工进度快，安全生产、文明施工达标，作业队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整体形象受各方好评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予</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乙方一定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的奖励（奖励额度按有关规定执行，最终解释权在甲方，甲方亦有权取消奖励，本条款不视为甲方对乙方作出的承诺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1.1.3乙方负责施工的成品受到</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、监理好评。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2惩罚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2.1如乙方出现下列任一情况，甲方有权单方解除本合同，并在乙方全部人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退场后仅按乙方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已</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完成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经甲方验收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合格工程量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对应结算价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0%结算，同时乙方赔偿甲方损失（包括但不限于因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工期延误</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2.1.1乙方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质量、进度、安全、管理等方面经甲方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次警告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处罚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仍不能明显改善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2.1.2乙方将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以各种形式转包</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分包给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他人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因下列情况导致的甲方损失均由乙方赔偿（包括但不限于因逾期完工而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①因乙方施工质量事故造成的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损失</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②因乙方中途退场造成的损失</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13.2.3</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因乙方导致工程质量或工期达不到合同要求或使用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材料用量超标</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，均属乙方违约，甲方有权单方解除合同且不违约，同时乙方承担由此造成的损失责任及费用。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的，造成甲方损失的由乙方全额赔偿甲方，同时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壹佰至叁万</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.1隐蔽工程一次验收不合格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.2不能按甲方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确定的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周进度计划完成施工作业延误工期一天</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.3出现因质量、安全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不满足本合同约定需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整改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.4聚众赌博，影响他人休息</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.5聚众闹事、打人、打架、偷抢行为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.6容留非</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本工程现场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人员在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宿舍住宿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.7不按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要求加班或人员不足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延误工期一天</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.8浪费材料、损坏机具或破坏其它设施</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及成品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.9在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生活区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存放易燃易爆物品或其它危险品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.10收留、聘用未成年人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罚款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同时驱逐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未成年人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离开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13.2.4.11在宿舍内做饭、使用大功率电器设备，如电磁炉、电饭煲、电热棒等。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其人员有下列情况之一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的，造成甲方损失的由乙方全额赔偿给甲方，同时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拾</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至叁万</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.1管理人员未经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甲方同意</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离开工地两天以内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.2未戴好安全帽、穿拖鞋或赤脚、赤膊进入作业区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.3不戴工卡上岗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.4施工人员进场三天内不办理工作卡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.5未经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批准擅带家属及小孩进入施工现场或在宿舍居住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.6工棚内乱拉乱接电线，违反生活区管理制度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.7宿舍卫生不合格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.8材料</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机具未按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要求堆放</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建筑垃圾未按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要求处理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随地大小便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随意吸烟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在墙上乱涂乱画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9乙方人员必须无条件接受甲方门岗保卫检查。</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13.2.6合同履行期间，因乙方原因导致建设单位及其他部门对甲方进行处罚扣款的，甲方则以该处罚金额为基数，处罚乙方2倍以上的违约金。</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53" w:name="_Toc1056"/>
      <w:bookmarkStart w:id="54" w:name="_Toc27044"/>
      <w:bookmarkStart w:id="55" w:name="_Toc6486"/>
      <w:bookmarkStart w:id="56" w:name="_Toc28593"/>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违约条款</w:t>
      </w:r>
      <w:bookmarkEnd w:id="53"/>
      <w:bookmarkEnd w:id="54"/>
      <w:bookmarkEnd w:id="55"/>
      <w:bookmarkEnd w:id="56"/>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乙方延迟开工或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不能按合同约定的工期完成</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任一节点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内容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，每延迟一个日历天，乙方向甲方支付违约金人民币</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伍仟</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元整，延迟超过三个日历天的，甲方有权单方解除合同，已完工工程无偿归甲方，甲方无需支付工程款并有权委托其他单位继续完成</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auto"/>
          <w:kern w:val="0"/>
          <w:sz w:val="28"/>
          <w:szCs w:val="28"/>
          <w:highlight w:val="none"/>
          <w:shd w:val="clear" w:color="auto" w:fill="auto"/>
        </w:rPr>
        <w:t>乙方还需按甲方要求准时</w:t>
      </w:r>
      <w:r>
        <w:rPr>
          <w:rFonts w:hint="eastAsia" w:ascii="仿宋_GB2312" w:hAnsi="仿宋_GB2312" w:eastAsia="仿宋_GB2312" w:cs="仿宋_GB2312"/>
          <w:b w:val="0"/>
          <w:bCs w:val="0"/>
          <w:i w:val="0"/>
          <w:iCs w:val="0"/>
          <w:color w:val="auto"/>
          <w:kern w:val="0"/>
          <w:sz w:val="28"/>
          <w:szCs w:val="28"/>
          <w:highlight w:val="none"/>
          <w:shd w:val="clear" w:color="auto" w:fill="auto"/>
        </w:rPr>
        <w:t>退场，</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每延迟一个日历天退场，乙方向甲方另行支付违约金人民币</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伍仟</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元整，甲方的损失</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（包括但不限于因逾期而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由乙方赔偿。</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2乙</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方原因造成</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质量达不到约定的质量标准的，乙方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无条件返工</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至合格</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为止</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要求之日起</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3个日历天内</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仍未采取</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有效</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返工措施或未在甲方要求的期限内</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整改并通过甲方验收的，每延迟一个日历天，乙方向甲方支付违约金人民币</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伍仟</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元整</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并赔偿</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甲方损失</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（包括但不限于因逾期完工而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同时</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甲方有权：①</w:t>
      </w:r>
      <w:r>
        <w:rPr>
          <w:rFonts w:hint="eastAsia" w:ascii="仿宋_GB2312" w:hAnsi="仿宋_GB2312" w:eastAsia="仿宋_GB2312" w:cs="仿宋_GB2312"/>
          <w:i w:val="0"/>
          <w:iCs w:val="0"/>
          <w:color w:val="auto"/>
          <w:kern w:val="0"/>
          <w:sz w:val="28"/>
          <w:szCs w:val="28"/>
          <w:highlight w:val="none"/>
          <w:shd w:val="clear" w:color="auto" w:fill="auto"/>
        </w:rPr>
        <w:t>单方解除合同并要求乙方期限内无条件撤场，乙方向甲方支付违约金和赔偿甲方全部损失，</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已完工工程无偿归甲方，甲方无需支付工程款；②另行委托其他单位对</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进行返修，乙方须无条件接受并配合，由此产生的一切费用乙方承担</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3经甲方验核达不到约定质量标准的检验批（分项或分部），</w:t>
      </w:r>
      <w:r>
        <w:rPr>
          <w:rFonts w:hint="eastAsia" w:ascii="仿宋_GB2312" w:hAnsi="仿宋_GB2312" w:eastAsia="仿宋_GB2312" w:cs="仿宋_GB2312"/>
          <w:i w:val="0"/>
          <w:iCs w:val="0"/>
          <w:color w:val="auto"/>
          <w:kern w:val="0"/>
          <w:sz w:val="28"/>
          <w:szCs w:val="28"/>
          <w:highlight w:val="none"/>
          <w:shd w:val="clear" w:color="auto" w:fill="auto"/>
        </w:rPr>
        <w:t>甲方有权对乙方按相应检验批的工程量处以</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每次两万元</w:t>
      </w:r>
      <w:r>
        <w:rPr>
          <w:rFonts w:hint="eastAsia" w:ascii="仿宋_GB2312" w:hAnsi="仿宋_GB2312" w:eastAsia="仿宋_GB2312" w:cs="仿宋_GB2312"/>
          <w:i w:val="0"/>
          <w:iCs w:val="0"/>
          <w:color w:val="auto"/>
          <w:kern w:val="0"/>
          <w:sz w:val="28"/>
          <w:szCs w:val="28"/>
          <w:highlight w:val="none"/>
          <w:shd w:val="clear" w:color="auto" w:fill="auto"/>
        </w:rPr>
        <w:t>的违约金处理</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，如果甲方被政府部门或</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处罚</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而</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需承担违约、赔偿责任</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或费用的</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，则由乙方全部承担，同时甲方保留对乙方追偿的权利。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4合同履行期间，因乙方原因造成甲</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方或本工程或本项目</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被</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政府部门</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停工、整改导致扣分的，按贰万元/分由乙方支付给甲方</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甲方亦可从任意合同款中扣款</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5乙方及</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其人员</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、供应商不得以任何理由去政府部门上访、投诉，</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不得</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去建设单位投诉、静坐，否则视情节轻重</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向</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支付</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违约金壹万至壹拾万元/次。</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6乙方无正当理由停工或不履行合同</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拖延工期</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不能正常开展工作连续3天以上或无力将</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顺利开展下去的，</w:t>
      </w:r>
      <w:r>
        <w:rPr>
          <w:rFonts w:hint="eastAsia" w:ascii="仿宋_GB2312" w:hAnsi="仿宋_GB2312" w:eastAsia="仿宋_GB2312" w:cs="仿宋_GB2312"/>
          <w:i w:val="0"/>
          <w:iCs w:val="0"/>
          <w:color w:val="auto"/>
          <w:kern w:val="0"/>
          <w:sz w:val="28"/>
          <w:szCs w:val="28"/>
          <w:highlight w:val="none"/>
          <w:shd w:val="clear" w:color="auto" w:fill="auto"/>
        </w:rPr>
        <w:t>甲方有权单方解除合同且对乙方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收取</w:t>
      </w:r>
      <w:r>
        <w:rPr>
          <w:rFonts w:hint="eastAsia" w:ascii="仿宋_GB2312" w:hAnsi="仿宋_GB2312" w:eastAsia="仿宋_GB2312" w:cs="仿宋_GB2312"/>
          <w:b w:val="0"/>
          <w:bCs w:val="0"/>
          <w:i w:val="0"/>
          <w:iCs w:val="0"/>
          <w:color w:val="auto"/>
          <w:kern w:val="0"/>
          <w:sz w:val="28"/>
          <w:szCs w:val="28"/>
          <w:highlight w:val="none"/>
          <w:shd w:val="clear" w:color="auto" w:fill="auto"/>
        </w:rPr>
        <w:t>违约金</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伍万元</w:t>
      </w:r>
      <w:r>
        <w:rPr>
          <w:rFonts w:hint="eastAsia" w:ascii="宋体" w:hAnsi="宋体" w:eastAsia="宋体" w:cs="宋体"/>
          <w:b w:val="0"/>
          <w:bCs w:val="0"/>
          <w:i w:val="0"/>
          <w:iCs w:val="0"/>
          <w:color w:val="auto"/>
          <w:kern w:val="0"/>
          <w:sz w:val="28"/>
          <w:szCs w:val="28"/>
          <w:highlight w:val="none"/>
          <w:shd w:val="clear" w:color="auto" w:fill="auto"/>
          <w:lang w:val="en-US" w:eastAsia="zh-CN"/>
        </w:rPr>
        <w:t>/次</w:t>
      </w:r>
      <w:r>
        <w:rPr>
          <w:rFonts w:hint="eastAsia" w:ascii="仿宋_GB2312" w:hAnsi="仿宋_GB2312" w:eastAsia="仿宋_GB2312" w:cs="仿宋_GB2312"/>
          <w:b w:val="0"/>
          <w:bCs w:val="0"/>
          <w:i w:val="0"/>
          <w:iCs w:val="0"/>
          <w:color w:val="auto"/>
          <w:kern w:val="0"/>
          <w:sz w:val="28"/>
          <w:szCs w:val="28"/>
          <w:highlight w:val="none"/>
          <w:shd w:val="clear" w:color="auto" w:fill="auto"/>
        </w:rPr>
        <w:t>，乙方则按甲方要求限时退场</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五</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万元/次。</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14.8</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tabs>
          <w:tab w:val="left" w:pos="-200"/>
        </w:tabs>
        <w:kinsoku/>
        <w:wordWrap/>
        <w:overflowPunct/>
        <w:topLinePunct w:val="0"/>
        <w:autoSpaceDE/>
        <w:autoSpaceDN/>
        <w:bidi w:val="0"/>
        <w:adjustRightInd/>
        <w:snapToGrid w:val="0"/>
        <w:spacing w:line="520" w:lineRule="exact"/>
        <w:ind w:left="-199" w:leftChars="-95" w:right="-578" w:rightChars="-275" w:firstLine="560" w:firstLineChars="200"/>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9</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凡乙方发生偷工减料行为，甲方视情节轻重计收乙方贰万至壹拾万元/次</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乙方出现</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上述第</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条~第</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9</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条</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所述</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任一行为或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未履行合同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任一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义务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均属乙方严重违约，乙方除按上述条款承担包括但不限于以上所述的违约责任外，甲方可随时单方解除本合同，所产生的损失由乙方赔偿甲方。</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因建设单位、设计变更或非甲方原因导致本合同不能履行的，甲、乙双方互不追究违约责任，</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按照乙方已完成且经甲方验收合格的工程量进行结算，</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同时双方各自承担自身损失。</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乙方不得因停工损失向甲方索赔，同意</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14.13</w:t>
      </w:r>
      <w:r>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乙方应承担的赔偿及违约金，甲方有权从未付款中直接扣除，未付款不足以赔偿或抵作违约金的，由乙方在甲方规定期限内另行缴纳。</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14.14基于本项目的特殊性，乙方已充分了解其责任义务并自愿承担相应风险，合同所约定的违约金标准经双方友好协商确定，乙方同意日后不得对违约金标准提出任何主张或抗辩。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14.15在本合同履行过程中，可能是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57" w:name="_Toc3698"/>
      <w:bookmarkStart w:id="58" w:name="_Toc20177"/>
      <w:bookmarkStart w:id="59" w:name="_Toc2734"/>
      <w:bookmarkStart w:id="60" w:name="_Toc1043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廉洁条款</w:t>
      </w:r>
      <w:bookmarkEnd w:id="57"/>
      <w:bookmarkEnd w:id="58"/>
      <w:bookmarkEnd w:id="59"/>
      <w:bookmarkEnd w:id="60"/>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1乙方在与甲方合作期间（包括本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招标、签订、履行期间），不得向甲方职员提供请吃、送礼、旅游、色情服务、行贿、回扣或其他好处，如有违反，</w:t>
      </w:r>
      <w:r>
        <w:rPr>
          <w:rFonts w:hint="eastAsia" w:ascii="仿宋_GB2312" w:hAnsi="仿宋_GB2312" w:eastAsia="仿宋_GB2312" w:cs="仿宋_GB2312"/>
          <w:i w:val="0"/>
          <w:iCs w:val="0"/>
          <w:color w:val="auto"/>
          <w:sz w:val="28"/>
          <w:szCs w:val="28"/>
          <w:highlight w:val="none"/>
          <w:shd w:val="clear" w:color="auto" w:fill="auto"/>
        </w:rPr>
        <w:t>乙方每次向甲方支付</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壹拾万元</w:t>
      </w:r>
      <w:r>
        <w:rPr>
          <w:rFonts w:hint="eastAsia" w:ascii="仿宋_GB2312" w:hAnsi="仿宋_GB2312" w:eastAsia="仿宋_GB2312" w:cs="仿宋_GB2312"/>
          <w:i w:val="0"/>
          <w:iCs w:val="0"/>
          <w:color w:val="auto"/>
          <w:sz w:val="28"/>
          <w:szCs w:val="28"/>
          <w:highlight w:val="none"/>
          <w:u w:val="none"/>
          <w:shd w:val="clear" w:color="auto" w:fill="auto"/>
        </w:rPr>
        <w:t>作为</w:t>
      </w:r>
      <w:r>
        <w:rPr>
          <w:rFonts w:hint="eastAsia" w:ascii="仿宋_GB2312" w:hAnsi="仿宋_GB2312" w:eastAsia="仿宋_GB2312" w:cs="仿宋_GB2312"/>
          <w:i w:val="0"/>
          <w:iCs w:val="0"/>
          <w:color w:val="auto"/>
          <w:sz w:val="28"/>
          <w:szCs w:val="28"/>
          <w:highlight w:val="none"/>
          <w:shd w:val="clear" w:color="auto" w:fill="auto"/>
        </w:rPr>
        <w:t>违约金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（甲方可从任意一笔合同款中扣款），造成甲方经济或其他损失的，乙方全额赔偿</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61" w:name="_Toc18674"/>
      <w:bookmarkStart w:id="62" w:name="_Toc29384"/>
      <w:bookmarkStart w:id="63" w:name="_Toc7932"/>
      <w:bookmarkStart w:id="64" w:name="_Toc11790"/>
      <w:bookmarkStart w:id="65" w:name="_Toc15001"/>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其他</w:t>
      </w:r>
      <w:bookmarkEnd w:id="61"/>
      <w:bookmarkEnd w:id="62"/>
      <w:bookmarkEnd w:id="63"/>
      <w:bookmarkEnd w:id="64"/>
      <w:bookmarkEnd w:id="65"/>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1.1甲方指定</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为本合同项目的负责人及甲方执行联系人，联系电话：</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仅</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1.2乙方指定</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（身份证号码：</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；手机号码：</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处理与本合同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事项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的执行人，负责与甲方公司总部办理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相关事务（如负责双方来往</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签收、签字、验收、确定增减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款、确定结算金额、领款、签收并签认甲方对乙方违约行为作出的处理通知等行为）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16.1.3</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乙方指定</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（身份证号码：</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；手机号码：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本合同的乙方现场负责人，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须常</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施工现场。</w:t>
      </w:r>
    </w:p>
    <w:p>
      <w:pPr>
        <w:keepNext w:val="0"/>
        <w:keepLines w:val="0"/>
        <w:pageBreakBefore w:val="0"/>
        <w:widowControl w:val="0"/>
        <w:kinsoku/>
        <w:wordWrap/>
        <w:overflowPunct/>
        <w:topLinePunct w:val="0"/>
        <w:autoSpaceDE/>
        <w:autoSpaceDN/>
        <w:bidi w:val="0"/>
        <w:adjustRightInd/>
        <w:spacing w:line="520" w:lineRule="exact"/>
        <w:ind w:right="-578" w:rightChars="-275" w:firstLine="560" w:firstLineChars="200"/>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编制的《施工交楼标准》、《常见建筑工程质量通病的标准化施工细则》、《隐蔽工程管理制度》、《分包单位施工现场签证管理制度》、《工程类单价认质认价管理制度》、《分包单位材料管理制度》、《竣工图管理制度》等公司现行制度、规定为本合同不可分割的组成部分，与合同正文具有同等效力，乙方须照章施工，此类文件及本合同附件表格格式以施工当期甲方提供的最新版为准，最终解释权归甲方所有。</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本合同条款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双方协商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争议，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双方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16.6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本合同一式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份，甲</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16.8</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【以下无正文】</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附件（所有附件在签具体合同时附最新版；除附件二、十，其余附件均须乙方法人签章且加盖公章）：</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6" w:name="_Toc10199"/>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附件一《报价清单》；</w:t>
      </w:r>
      <w:bookmarkEnd w:id="66"/>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7" w:name="_Toc24228"/>
      <w:bookmarkStart w:id="68" w:name="_Toc25964"/>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附件二《工完场清交接单》格式；</w:t>
      </w:r>
      <w:bookmarkEnd w:id="67"/>
      <w:bookmarkEnd w:id="68"/>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9" w:name="_Toc953"/>
      <w:bookmarkStart w:id="70" w:name="_Toc29089"/>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附件三《出险声明函》格式；</w:t>
      </w:r>
      <w:bookmarkEnd w:id="69"/>
      <w:bookmarkEnd w:id="70"/>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71" w:name="_Toc5560"/>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附件四《签证单分包说明》；</w:t>
      </w:r>
      <w:bookmarkEnd w:id="71"/>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72" w:name="_Toc757"/>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附件五《</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分包签证确认单</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bookmarkEnd w:id="72"/>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附件六《工程量现场草签记录表》；</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附件七《分项工程/认质认价申报审批表》；</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附件八《工程结算支付证明单》格式；</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附件九《工人工资发放承诺书》；</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附件十《项目部资料专用章样式》（另附）。</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default"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账  号：106001512010006060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开户行：广发</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银</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default"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电  话:</w:t>
      </w: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t>【</w:t>
      </w:r>
      <w:r>
        <w:rPr>
          <w:rFonts w:hint="eastAsia" w:ascii="仿宋" w:hAnsi="仿宋" w:eastAsia="仿宋" w:cs="仿宋"/>
          <w:b/>
          <w:bCs/>
          <w:color w:val="auto"/>
          <w:sz w:val="22"/>
          <w:szCs w:val="22"/>
          <w:highlight w:val="none"/>
          <w:lang w:eastAsia="zh-CN"/>
        </w:rPr>
        <w:t>甲方人员如有营私舞弊、吃拿卡要等损害乙方合法权益的行为，乙方可拨打投诉专线18688665878，也可至广东省东莞市南城街道鸿福路106号南峰中心17楼综合管理中心办公室面告。</w:t>
      </w:r>
      <w:r>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t>】</w:t>
      </w:r>
      <w:bookmarkStart w:id="73" w:name="_Toc22003"/>
      <w:bookmarkStart w:id="74" w:name="_Toc7362"/>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right="-672" w:rightChars="-320"/>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p>
    <w:p>
      <w:pPr>
        <w:spacing w:line="360" w:lineRule="auto"/>
        <w:ind w:right="-672" w:rightChars="-320"/>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p>
    <w:p>
      <w:pPr>
        <w:spacing w:line="360" w:lineRule="auto"/>
        <w:ind w:right="-672" w:rightChars="-320"/>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p>
    <w:p>
      <w:pPr>
        <w:ind w:firstLineChars="0"/>
        <w:jc w:val="right"/>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附件一</w:t>
      </w:r>
      <w:bookmarkEnd w:id="73"/>
      <w:bookmarkEnd w:id="74"/>
      <w:bookmarkStart w:id="75" w:name="_Toc17688"/>
    </w:p>
    <w:tbl>
      <w:tblPr>
        <w:tblStyle w:val="12"/>
        <w:tblW w:w="5630" w:type="pct"/>
        <w:tblInd w:w="-5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2"/>
        <w:gridCol w:w="502"/>
        <w:gridCol w:w="1487"/>
        <w:gridCol w:w="3121"/>
        <w:gridCol w:w="702"/>
        <w:gridCol w:w="873"/>
        <w:gridCol w:w="804"/>
        <w:gridCol w:w="1050"/>
        <w:gridCol w:w="10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sz w:val="32"/>
                <w:szCs w:val="3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32"/>
                <w:szCs w:val="32"/>
                <w:highlight w:val="none"/>
                <w:u w:val="none"/>
                <w:lang w:val="en-US" w:eastAsia="zh-CN" w:bidi="ar"/>
                <w14:textFill>
                  <w14:solidFill>
                    <w14:schemeClr w14:val="tx1"/>
                  </w14:solidFill>
                </w14:textFill>
              </w:rPr>
              <w:t>报价清单：适用于水池、厂房、住宅工程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序号</w:t>
            </w:r>
          </w:p>
        </w:tc>
        <w:tc>
          <w:tcPr>
            <w:tcW w:w="9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名称/部位</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项目特征描述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单位</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暂定</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工程量</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合同单价（元）</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暂定</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合价</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分包形式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8"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w:t>
            </w:r>
          </w:p>
        </w:tc>
        <w:tc>
          <w:tcPr>
            <w:tcW w:w="249"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水池</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钢筋砼结螺杆洞补漏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1.注浆间距:止水针注浆孔间距：堵至不漏为标准</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2.材料:疏水性聚氨酯和油溶性聚氨酯混合料或JYIP-11和JYIP-12混合液或环氧树脂</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3.方法:带水堵漏</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处</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 w:hAnsi="仿宋" w:eastAsia="仿宋" w:cs="仿宋"/>
                <w:i w:val="0"/>
                <w:iCs w:val="0"/>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9"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w:t>
            </w:r>
          </w:p>
        </w:tc>
        <w:tc>
          <w:tcPr>
            <w:tcW w:w="2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钢筋砼结蜂窝补漏、连墙杆洞补漏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1.凿除松散混凝土                                 2.注浆间距:止水针注浆孔间距：10-20cm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3.材料 :疏水性聚氨酯和油溶性聚氨酯混合料或JYIP-11和JYIP-12混合液或环氧树脂</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4.方法:严重先堵漏再试水，不严重带水堵漏</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处</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5"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w:t>
            </w:r>
          </w:p>
        </w:tc>
        <w:tc>
          <w:tcPr>
            <w:tcW w:w="2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钢筋砼结施工缝补漏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1.凿除松散混凝土</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2.先刷一层素水泥浆 再填膨胀砼</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3.试水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4.注浆间距:止水针注浆孔间距：8-10cm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5.材料:疏水性聚氨酯和油溶性聚氨酯混合料或JYIP-11和JYIP-12混合液或环氧树脂</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6.方法:严重先堵漏再试水，不严重带水堵漏</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w:t>
            </w:r>
          </w:p>
        </w:tc>
        <w:tc>
          <w:tcPr>
            <w:tcW w:w="2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厂房</w:t>
            </w: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外墙窗户/其他部位渗水补漏              （需搭架完成）</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1.更换封闭胶</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2.注浆间距:止水针注浆孔间距：10-20cm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3.材料:疏水性聚氨酯和油溶性聚氨酯混合料或JYIP-11和JYIP-12混合液</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4.试水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一个窗/处</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5</w:t>
            </w:r>
          </w:p>
        </w:tc>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外墙窗户/其他部位渗水补漏            （吊绳高空作业）</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1.更换封闭胶</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2.注浆间距:止水针注浆孔间距：10-20cm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3.材料:疏水性聚氨酯和油溶性聚氨酯混合料或JYIP-11和JYIP-12混合液</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4.试水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一个窗/处</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6</w:t>
            </w:r>
          </w:p>
        </w:tc>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主体楼板开裂补漏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1.注浆间距:止水针注浆孔间距：8-10cm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2.材料:疏水性聚氨酯和油溶性聚氨酯混合料或JYIP-11和JYIP-12混合液</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3.试水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7</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地下室底板、侧墙、或楼板补漏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1.裂缝过大开V型槽，先用堵漏王修补</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2.注孔间距:止水针注浆孔间距：8-10cm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3.材料:疏水性聚氨酯和油溶性聚氨酯混合料或JYIP-11和JYIP-12混合液</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4.方法:严重先堵漏再试水，不严重带水堵漏</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8</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阳台、厨房、卫生间给排水管头补漏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1.注孔间距:止水针注浆孔间距：8-10cm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2.材料:聚氨酯</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处</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9</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屋面、斜屋面、天沟补漏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1.注孔间距:止水针注浆孔间距：8-10cm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2.材料:疏水性聚氨酯和油溶性聚氨酯混合料或JYIP-11和JYIP-12混合液</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10</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屋面梯间反坎及厨房、卫生间反坎补漏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1.注孔间距:止水针注浆孔间距：8-10cm</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2.材料:聚氨酯</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11</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伸缩缝补漏              （非高空吊绳作业）</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1.打凿原构造作法及垃圾清运                     2.1.5厚PVC单面自粘贴卷材防水或水泥基防水层2.0厚作法</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12</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伸缩缝补漏                （高空吊绳作业）</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1.打凿原构造作法及垃圾清运                     2.1.5厚PVC单面自粘贴卷材防水或水泥基防水层2.0厚作法</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13</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屋面变形缝补漏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1.打凿屋面全部构造层并清运                     2.按各构造层恢复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14</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屋面变形缝补漏</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1.直接对缝进行油膏、麻丝、打胶处理                     </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m</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15</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零星防水</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 1.5厚PVC单面自粘贴防水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16</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零星防水</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 2.0厚PVC单面自粘贴防水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17</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零星防水</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 1.5厚水泥基防水涂料</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18</w:t>
            </w:r>
          </w:p>
        </w:tc>
        <w:tc>
          <w:tcPr>
            <w:tcW w:w="986" w:type="pct"/>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零星防水</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 2.0厚水泥基防水涂料</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sz w:val="22"/>
                <w:szCs w:val="22"/>
                <w:highlight w:val="none"/>
                <w:u w:val="none"/>
                <w:lang w:val="en-US" w:eastAsia="zh-CN"/>
                <w14:textFill>
                  <w14:solidFill>
                    <w14:schemeClr w14:val="tx1"/>
                  </w14:solidFill>
                </w14:textFill>
              </w:rPr>
              <w:t>按实结算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包工包料</w:t>
            </w:r>
          </w:p>
        </w:tc>
      </w:tr>
    </w:tbl>
    <w:p>
      <w:pPr>
        <w:ind w:firstLineChars="0"/>
        <w:jc w:val="both"/>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bookmarkStart w:id="76" w:name="_Toc32457"/>
    </w:p>
    <w:p>
      <w:pPr>
        <w:ind w:firstLineChars="0"/>
        <w:jc w:val="right"/>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bookmarkStart w:id="77" w:name="_Toc2366"/>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w:t>
      </w:r>
      <w:bookmarkEnd w:id="75"/>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二</w:t>
      </w:r>
      <w:bookmarkEnd w:id="76"/>
      <w:bookmarkEnd w:id="77"/>
    </w:p>
    <w:tbl>
      <w:tblPr>
        <w:tblStyle w:val="12"/>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
        <w:gridCol w:w="1257"/>
        <w:gridCol w:w="108"/>
        <w:gridCol w:w="2922"/>
        <w:gridCol w:w="1421"/>
        <w:gridCol w:w="487"/>
        <w:gridCol w:w="923"/>
        <w:gridCol w:w="2145"/>
        <w:gridCol w:w="3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3" w:type="dxa"/>
          <w:trHeight w:val="312" w:hRule="atLeast"/>
        </w:trPr>
        <w:tc>
          <w:tcPr>
            <w:tcW w:w="1365"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292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c>
          <w:tcPr>
            <w:tcW w:w="1908" w:type="dxa"/>
            <w:gridSpan w:val="2"/>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c>
          <w:tcPr>
            <w:tcW w:w="3372" w:type="dxa"/>
            <w:gridSpan w:val="3"/>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580" w:hRule="atLeast"/>
        </w:trPr>
        <w:tc>
          <w:tcPr>
            <w:tcW w:w="9266"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u w:val="none"/>
              </w:rPr>
            </w:pPr>
            <w:bookmarkStart w:id="78" w:name="_Toc31823"/>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480" w:hRule="atLeast"/>
        </w:trPr>
        <w:tc>
          <w:tcPr>
            <w:tcW w:w="9266"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 xml:space="preserve">                                              </w:t>
            </w:r>
            <w:r>
              <w:rPr>
                <w:rFonts w:hint="eastAsia" w:ascii="仿宋" w:hAnsi="仿宋" w:eastAsia="仿宋" w:cs="仿宋"/>
                <w:i w:val="0"/>
                <w:iCs w:val="0"/>
                <w:color w:val="auto"/>
                <w:kern w:val="0"/>
                <w:sz w:val="24"/>
                <w:szCs w:val="24"/>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58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工程名称</w:t>
            </w:r>
          </w:p>
        </w:tc>
        <w:tc>
          <w:tcPr>
            <w:tcW w:w="4451" w:type="dxa"/>
            <w:gridSpan w:val="3"/>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520" w:hRule="atLeast"/>
        </w:trPr>
        <w:tc>
          <w:tcPr>
            <w:tcW w:w="12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1、移交合格内容</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2、移交时间</w:t>
            </w:r>
          </w:p>
        </w:tc>
        <w:tc>
          <w:tcPr>
            <w:tcW w:w="445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1、甩项部位</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2、甩项内容</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5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5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5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5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38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28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92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7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移交单位</w:t>
            </w:r>
          </w:p>
        </w:tc>
        <w:tc>
          <w:tcPr>
            <w:tcW w:w="4451" w:type="dxa"/>
            <w:gridSpan w:val="3"/>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7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接收单位                                                                                                                                                                  </w:t>
            </w:r>
          </w:p>
        </w:tc>
        <w:tc>
          <w:tcPr>
            <w:tcW w:w="445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4" w:type="dxa"/>
          <w:trHeight w:val="9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项目部组织及参加人员                                                          </w:t>
            </w:r>
          </w:p>
        </w:tc>
        <w:tc>
          <w:tcPr>
            <w:tcW w:w="800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285" w:hRule="atLeast"/>
        </w:trPr>
        <w:tc>
          <w:tcPr>
            <w:tcW w:w="9266" w:type="dxa"/>
            <w:gridSpan w:val="8"/>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4" w:type="dxa"/>
          <w:trHeight w:val="285" w:hRule="atLeast"/>
        </w:trPr>
        <w:tc>
          <w:tcPr>
            <w:tcW w:w="9266" w:type="dxa"/>
            <w:gridSpan w:val="8"/>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jc w:val="both"/>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附件三</w:t>
      </w:r>
      <w:bookmarkEnd w:id="78"/>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0"/>
          <w:numId w:val="0"/>
        </w:numPr>
        <w:ind w:firstLine="560" w:firstLineChars="2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w:t>
      </w: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0" w:leftChars="0" w:firstLine="4200" w:firstLineChars="15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right="-672" w:rightChars="-320"/>
        <w:jc w:val="both"/>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附件四</w:t>
      </w:r>
    </w:p>
    <w:p>
      <w:pPr>
        <w:spacing w:line="360" w:lineRule="auto"/>
        <w:ind w:right="-672" w:rightChars="-32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drawing>
          <wp:inline distT="0" distB="0" distL="114300" distR="114300">
            <wp:extent cx="6064250" cy="6600190"/>
            <wp:effectExtent l="0" t="0" r="12700" b="10160"/>
            <wp:docPr id="5" name="图片 5" descr="1659410060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59410060571"/>
                    <pic:cNvPicPr>
                      <a:picLocks noChangeAspect="1"/>
                    </pic:cNvPicPr>
                  </pic:nvPicPr>
                  <pic:blipFill>
                    <a:blip r:embed="rId9"/>
                    <a:stretch>
                      <a:fillRect/>
                    </a:stretch>
                  </pic:blipFill>
                  <pic:spPr>
                    <a:xfrm>
                      <a:off x="0" y="0"/>
                      <a:ext cx="6064250" cy="6600190"/>
                    </a:xfrm>
                    <a:prstGeom prst="rect">
                      <a:avLst/>
                    </a:prstGeom>
                  </pic:spPr>
                </pic:pic>
              </a:graphicData>
            </a:graphic>
          </wp:inline>
        </w:drawing>
      </w:r>
    </w:p>
    <w:p>
      <w:pPr>
        <w:spacing w:line="360" w:lineRule="auto"/>
        <w:ind w:right="-672" w:rightChars="-32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firstLine="8031" w:firstLineChars="200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firstLine="8031" w:firstLineChars="200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firstLine="8031" w:firstLineChars="200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firstLine="8031" w:firstLineChars="200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附件五</w:t>
      </w:r>
    </w:p>
    <w:p>
      <w:pPr>
        <w:spacing w:before="90" w:line="226" w:lineRule="auto"/>
        <w:ind w:left="3175"/>
        <w:jc w:val="both"/>
        <w:outlineLvl w:val="0"/>
        <w:rPr>
          <w:rFonts w:ascii="仿宋" w:hAnsi="仿宋" w:eastAsia="仿宋" w:cs="仿宋"/>
          <w:color w:val="auto"/>
          <w:sz w:val="32"/>
          <w:szCs w:val="32"/>
        </w:rPr>
      </w:pPr>
      <w:bookmarkStart w:id="79" w:name="_Toc25121"/>
      <w:r>
        <w:rPr>
          <w:rFonts w:ascii="仿宋" w:hAnsi="仿宋" w:eastAsia="仿宋" w:cs="仿宋"/>
          <w:color w:val="auto"/>
          <w:spacing w:val="9"/>
          <w:sz w:val="32"/>
          <w:szCs w:val="32"/>
          <w14:textOutline w14:w="5793" w14:cap="sq" w14:cmpd="sng">
            <w14:solidFill>
              <w14:srgbClr w14:val="000000"/>
            </w14:solidFill>
            <w14:prstDash w14:val="solid"/>
            <w14:bevel/>
          </w14:textOutline>
        </w:rPr>
        <w:t>分</w:t>
      </w:r>
      <w:r>
        <w:rPr>
          <w:rFonts w:ascii="仿宋" w:hAnsi="仿宋" w:eastAsia="仿宋" w:cs="仿宋"/>
          <w:color w:val="auto"/>
          <w:spacing w:val="7"/>
          <w:sz w:val="32"/>
          <w:szCs w:val="32"/>
          <w14:textOutline w14:w="5793" w14:cap="sq" w14:cmpd="sng">
            <w14:solidFill>
              <w14:srgbClr w14:val="000000"/>
            </w14:solidFill>
            <w14:prstDash w14:val="solid"/>
            <w14:bevel/>
          </w14:textOutline>
        </w:rPr>
        <w:t>包签证确认单</w:t>
      </w:r>
      <w:bookmarkEnd w:id="79"/>
    </w:p>
    <w:tbl>
      <w:tblPr>
        <w:tblStyle w:val="27"/>
        <w:tblW w:w="92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2"/>
        <w:gridCol w:w="2767"/>
        <w:gridCol w:w="1616"/>
        <w:gridCol w:w="30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42" w:type="dxa"/>
            <w:tcBorders>
              <w:right w:val="nil"/>
            </w:tcBorders>
            <w:vAlign w:val="top"/>
          </w:tcPr>
          <w:p>
            <w:pPr>
              <w:spacing w:before="149" w:line="230" w:lineRule="auto"/>
              <w:ind w:left="31"/>
              <w:rPr>
                <w:rFonts w:hint="eastAsia" w:ascii="仿宋" w:hAnsi="仿宋" w:eastAsia="仿宋" w:cs="仿宋"/>
                <w:color w:val="auto"/>
                <w:sz w:val="20"/>
                <w:szCs w:val="20"/>
              </w:rPr>
            </w:pPr>
            <w:r>
              <w:rPr>
                <w:rFonts w:hint="eastAsia" w:ascii="仿宋" w:hAnsi="仿宋" w:eastAsia="仿宋" w:cs="仿宋"/>
                <w:color w:val="auto"/>
                <w:spacing w:val="7"/>
                <w:sz w:val="20"/>
                <w:szCs w:val="20"/>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14:textOutline w14:w="3614" w14:cap="sq" w14:cmpd="sng">
                  <w14:solidFill>
                    <w14:srgbClr w14:val="000000"/>
                  </w14:solidFill>
                  <w14:prstDash w14:val="solid"/>
                  <w14:bevel/>
                </w14:textOutline>
              </w:rPr>
              <w:t>程名称：</w:t>
            </w:r>
          </w:p>
        </w:tc>
        <w:tc>
          <w:tcPr>
            <w:tcW w:w="7477" w:type="dxa"/>
            <w:gridSpan w:val="3"/>
            <w:tcBorders>
              <w:left w:val="nil"/>
            </w:tcBorders>
            <w:vAlign w:val="top"/>
          </w:tcPr>
          <w:p>
            <w:pPr>
              <w:spacing w:before="149" w:line="230" w:lineRule="auto"/>
              <w:ind w:left="2506"/>
              <w:rPr>
                <w:rFonts w:hint="eastAsia" w:ascii="仿宋" w:hAnsi="仿宋" w:eastAsia="仿宋" w:cs="仿宋"/>
                <w:color w:val="auto"/>
                <w:sz w:val="20"/>
                <w:szCs w:val="20"/>
              </w:rPr>
            </w:pPr>
            <w:r>
              <w:rPr>
                <w:rFonts w:hint="eastAsia" w:ascii="仿宋" w:hAnsi="仿宋" w:eastAsia="仿宋" w:cs="仿宋"/>
                <w:color w:val="auto"/>
                <w:spacing w:val="10"/>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742" w:type="dxa"/>
            <w:tcBorders>
              <w:right w:val="nil"/>
            </w:tcBorders>
            <w:vAlign w:val="top"/>
          </w:tcPr>
          <w:p>
            <w:pPr>
              <w:spacing w:before="125" w:line="230" w:lineRule="auto"/>
              <w:ind w:left="29"/>
              <w:rPr>
                <w:rFonts w:hint="eastAsia" w:ascii="仿宋" w:hAnsi="仿宋" w:eastAsia="仿宋" w:cs="仿宋"/>
                <w:color w:val="auto"/>
                <w:sz w:val="20"/>
                <w:szCs w:val="20"/>
              </w:rPr>
            </w:pPr>
            <w:r>
              <w:rPr>
                <w:rFonts w:hint="eastAsia" w:ascii="仿宋" w:hAnsi="仿宋" w:eastAsia="仿宋" w:cs="仿宋"/>
                <w:color w:val="auto"/>
                <w:spacing w:val="8"/>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包单位：</w:t>
            </w:r>
          </w:p>
        </w:tc>
        <w:tc>
          <w:tcPr>
            <w:tcW w:w="4383" w:type="dxa"/>
            <w:gridSpan w:val="2"/>
            <w:tcBorders>
              <w:left w:val="nil"/>
              <w:right w:val="nil"/>
            </w:tcBorders>
            <w:vAlign w:val="top"/>
          </w:tcPr>
          <w:p>
            <w:pPr>
              <w:spacing w:before="125" w:line="232" w:lineRule="auto"/>
              <w:ind w:left="2908"/>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表日期：</w:t>
            </w:r>
          </w:p>
        </w:tc>
        <w:tc>
          <w:tcPr>
            <w:tcW w:w="3094" w:type="dxa"/>
            <w:tcBorders>
              <w:left w:val="nil"/>
            </w:tcBorders>
            <w:vAlign w:val="top"/>
          </w:tcPr>
          <w:p>
            <w:pPr>
              <w:spacing w:before="124" w:line="233" w:lineRule="auto"/>
              <w:ind w:left="633"/>
              <w:rPr>
                <w:rFonts w:hint="eastAsia" w:ascii="仿宋" w:hAnsi="仿宋" w:eastAsia="仿宋" w:cs="仿宋"/>
                <w:color w:val="auto"/>
                <w:sz w:val="20"/>
                <w:szCs w:val="20"/>
              </w:rPr>
            </w:pPr>
            <w:r>
              <w:rPr>
                <w:rFonts w:hint="eastAsia" w:ascii="仿宋" w:hAnsi="仿宋" w:eastAsia="仿宋" w:cs="仿宋"/>
                <w:color w:val="auto"/>
                <w:spacing w:val="2"/>
                <w:sz w:val="20"/>
                <w:szCs w:val="20"/>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9219" w:type="dxa"/>
            <w:gridSpan w:val="4"/>
            <w:vAlign w:val="top"/>
          </w:tcPr>
          <w:p>
            <w:pPr>
              <w:spacing w:before="67" w:line="230" w:lineRule="auto"/>
              <w:ind w:left="677"/>
              <w:rPr>
                <w:rFonts w:hint="eastAsia" w:ascii="仿宋" w:hAnsi="仿宋" w:eastAsia="仿宋" w:cs="仿宋"/>
                <w:color w:val="auto"/>
                <w:sz w:val="20"/>
                <w:szCs w:val="20"/>
              </w:rPr>
            </w:pPr>
            <w:r>
              <w:rPr>
                <w:rFonts w:hint="eastAsia" w:ascii="仿宋" w:hAnsi="仿宋" w:eastAsia="仿宋" w:cs="仿宋"/>
                <w:color w:val="auto"/>
                <w:spacing w:val="7"/>
                <w:sz w:val="20"/>
                <w:szCs w:val="20"/>
              </w:rPr>
              <w:t>□减少项目       ☑增加项目    □变更     □点工    □机械台班     □</w:t>
            </w:r>
            <w:r>
              <w:rPr>
                <w:rFonts w:hint="eastAsia" w:ascii="仿宋" w:hAnsi="仿宋" w:eastAsia="仿宋" w:cs="仿宋"/>
                <w:color w:val="auto"/>
                <w:spacing w:val="6"/>
                <w:sz w:val="20"/>
                <w:szCs w:val="20"/>
              </w:rPr>
              <w:t>其</w:t>
            </w:r>
            <w:r>
              <w:rPr>
                <w:rFonts w:hint="eastAsia" w:ascii="仿宋" w:hAnsi="仿宋" w:eastAsia="仿宋" w:cs="仿宋"/>
                <w:color w:val="auto"/>
                <w:sz w:val="20"/>
                <w:szCs w:val="20"/>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742" w:type="dxa"/>
            <w:vAlign w:val="top"/>
          </w:tcPr>
          <w:p>
            <w:pPr>
              <w:spacing w:before="175" w:line="231" w:lineRule="auto"/>
              <w:ind w:left="26"/>
              <w:rPr>
                <w:rFonts w:hint="eastAsia" w:ascii="仿宋" w:hAnsi="仿宋" w:eastAsia="仿宋" w:cs="仿宋"/>
                <w:color w:val="auto"/>
                <w:sz w:val="20"/>
                <w:szCs w:val="20"/>
              </w:rPr>
            </w:pPr>
            <w:r>
              <w:rPr>
                <w:rFonts w:hint="eastAsia" w:ascii="仿宋" w:hAnsi="仿宋" w:eastAsia="仿宋" w:cs="仿宋"/>
                <w:color w:val="auto"/>
                <w:spacing w:val="8"/>
                <w:sz w:val="20"/>
                <w:szCs w:val="20"/>
              </w:rPr>
              <w:t>施</w:t>
            </w:r>
            <w:r>
              <w:rPr>
                <w:rFonts w:hint="eastAsia" w:ascii="仿宋" w:hAnsi="仿宋" w:eastAsia="仿宋" w:cs="仿宋"/>
                <w:color w:val="auto"/>
                <w:spacing w:val="6"/>
                <w:sz w:val="20"/>
                <w:szCs w:val="20"/>
              </w:rPr>
              <w:t>工部位</w:t>
            </w:r>
          </w:p>
        </w:tc>
        <w:tc>
          <w:tcPr>
            <w:tcW w:w="7477" w:type="dxa"/>
            <w:gridSpan w:val="3"/>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742" w:type="dxa"/>
            <w:vAlign w:val="top"/>
          </w:tcPr>
          <w:p>
            <w:pPr>
              <w:spacing w:before="176" w:line="230" w:lineRule="auto"/>
              <w:ind w:left="33"/>
              <w:rPr>
                <w:rFonts w:hint="eastAsia" w:ascii="仿宋" w:hAnsi="仿宋" w:eastAsia="仿宋" w:cs="仿宋"/>
                <w:color w:val="auto"/>
                <w:sz w:val="20"/>
                <w:szCs w:val="20"/>
              </w:rPr>
            </w:pPr>
            <w:r>
              <w:rPr>
                <w:rFonts w:hint="eastAsia" w:ascii="仿宋" w:hAnsi="仿宋" w:eastAsia="仿宋" w:cs="仿宋"/>
                <w:color w:val="auto"/>
                <w:spacing w:val="10"/>
                <w:sz w:val="20"/>
                <w:szCs w:val="20"/>
              </w:rPr>
              <w:t>费</w:t>
            </w:r>
            <w:r>
              <w:rPr>
                <w:rFonts w:hint="eastAsia" w:ascii="仿宋" w:hAnsi="仿宋" w:eastAsia="仿宋" w:cs="仿宋"/>
                <w:color w:val="auto"/>
                <w:spacing w:val="6"/>
                <w:sz w:val="20"/>
                <w:szCs w:val="20"/>
              </w:rPr>
              <w:t>用承担单位</w:t>
            </w:r>
          </w:p>
        </w:tc>
        <w:tc>
          <w:tcPr>
            <w:tcW w:w="7477" w:type="dxa"/>
            <w:gridSpan w:val="3"/>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219" w:type="dxa"/>
            <w:gridSpan w:val="4"/>
            <w:vAlign w:val="top"/>
          </w:tcPr>
          <w:p>
            <w:pPr>
              <w:spacing w:before="152" w:line="229" w:lineRule="auto"/>
              <w:ind w:left="34"/>
              <w:rPr>
                <w:rFonts w:hint="eastAsia" w:ascii="仿宋" w:hAnsi="仿宋" w:eastAsia="仿宋" w:cs="仿宋"/>
                <w:color w:val="auto"/>
                <w:sz w:val="20"/>
                <w:szCs w:val="20"/>
              </w:rPr>
            </w:pPr>
            <w:r>
              <w:rPr>
                <w:rFonts w:hint="eastAsia" w:ascii="仿宋" w:hAnsi="仿宋" w:eastAsia="仿宋" w:cs="仿宋"/>
                <w:color w:val="auto"/>
                <w:spacing w:val="4"/>
                <w:sz w:val="20"/>
                <w:szCs w:val="20"/>
              </w:rPr>
              <w:t>与建</w:t>
            </w:r>
            <w:r>
              <w:rPr>
                <w:rFonts w:hint="eastAsia" w:ascii="仿宋" w:hAnsi="仿宋" w:eastAsia="仿宋" w:cs="仿宋"/>
                <w:color w:val="auto"/>
                <w:spacing w:val="3"/>
                <w:sz w:val="20"/>
                <w:szCs w:val="20"/>
              </w:rPr>
              <w:t>设</w:t>
            </w:r>
            <w:r>
              <w:rPr>
                <w:rFonts w:hint="eastAsia" w:ascii="仿宋" w:hAnsi="仿宋" w:eastAsia="仿宋" w:cs="仿宋"/>
                <w:color w:val="auto"/>
                <w:spacing w:val="2"/>
                <w:sz w:val="20"/>
                <w:szCs w:val="20"/>
              </w:rPr>
              <w:t xml:space="preserve">单位是否办理签证  </w:t>
            </w:r>
            <w:r>
              <w:rPr>
                <w:rFonts w:hint="eastAsia" w:ascii="仿宋" w:hAnsi="仿宋" w:eastAsia="仿宋" w:cs="仿宋"/>
                <w:color w:val="auto"/>
                <w:position w:val="-4"/>
                <w:sz w:val="20"/>
                <w:szCs w:val="20"/>
              </w:rPr>
              <w:drawing>
                <wp:inline distT="0" distB="0" distL="0" distR="0">
                  <wp:extent cx="90805" cy="139700"/>
                  <wp:effectExtent l="0" t="0" r="4445" b="13335"/>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10"/>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rPr>
              <w:t>是  签证编号：</w:t>
            </w:r>
            <w:r>
              <w:rPr>
                <w:rFonts w:hint="eastAsia" w:ascii="仿宋" w:hAnsi="仿宋" w:eastAsia="仿宋" w:cs="仿宋"/>
                <w:color w:val="auto"/>
                <w:spacing w:val="2"/>
                <w:sz w:val="20"/>
                <w:szCs w:val="20"/>
                <w:u w:val="single" w:color="auto"/>
              </w:rPr>
              <w:t xml:space="preserve">                                  </w:t>
            </w:r>
            <w:r>
              <w:rPr>
                <w:rFonts w:hint="eastAsia" w:ascii="仿宋" w:hAnsi="仿宋" w:eastAsia="仿宋" w:cs="仿宋"/>
                <w:color w:val="auto"/>
                <w:position w:val="-4"/>
                <w:sz w:val="20"/>
                <w:szCs w:val="20"/>
              </w:rPr>
              <w:drawing>
                <wp:inline distT="0" distB="0" distL="0" distR="0">
                  <wp:extent cx="90805" cy="139700"/>
                  <wp:effectExtent l="0" t="0" r="4445" b="13335"/>
                  <wp:docPr id="4" name="IM 3"/>
                  <wp:cNvGraphicFramePr/>
                  <a:graphic xmlns:a="http://schemas.openxmlformats.org/drawingml/2006/main">
                    <a:graphicData uri="http://schemas.openxmlformats.org/drawingml/2006/picture">
                      <pic:pic xmlns:pic="http://schemas.openxmlformats.org/drawingml/2006/picture">
                        <pic:nvPicPr>
                          <pic:cNvPr id="4" name="IM 3"/>
                          <pic:cNvPicPr/>
                        </pic:nvPicPr>
                        <pic:blipFill>
                          <a:blip r:embed="rId10"/>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3" w:hRule="atLeast"/>
        </w:trPr>
        <w:tc>
          <w:tcPr>
            <w:tcW w:w="9219" w:type="dxa"/>
            <w:gridSpan w:val="4"/>
            <w:vAlign w:val="top"/>
          </w:tcPr>
          <w:p>
            <w:pPr>
              <w:spacing w:before="48" w:line="231" w:lineRule="auto"/>
              <w:ind w:left="31"/>
              <w:rPr>
                <w:rFonts w:hint="eastAsia" w:ascii="仿宋" w:hAnsi="仿宋" w:eastAsia="仿宋" w:cs="仿宋"/>
                <w:color w:val="auto"/>
                <w:sz w:val="20"/>
                <w:szCs w:val="20"/>
              </w:rPr>
            </w:pPr>
            <w:r>
              <w:rPr>
                <w:rFonts w:hint="eastAsia" w:ascii="仿宋" w:hAnsi="仿宋" w:eastAsia="仿宋" w:cs="仿宋"/>
                <w:color w:val="auto"/>
                <w:spacing w:val="14"/>
                <w:sz w:val="20"/>
                <w:szCs w:val="20"/>
              </w:rPr>
              <w:t>签</w:t>
            </w:r>
            <w:r>
              <w:rPr>
                <w:rFonts w:hint="eastAsia" w:ascii="仿宋" w:hAnsi="仿宋" w:eastAsia="仿宋" w:cs="仿宋"/>
                <w:color w:val="auto"/>
                <w:spacing w:val="8"/>
                <w:sz w:val="20"/>
                <w:szCs w:val="20"/>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4509" w:type="dxa"/>
            <w:gridSpan w:val="2"/>
            <w:vAlign w:val="top"/>
          </w:tcPr>
          <w:p>
            <w:pPr>
              <w:spacing w:before="48" w:line="233" w:lineRule="auto"/>
              <w:ind w:left="1752"/>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14:textOutline w14:w="3614" w14:cap="sq" w14:cmpd="sng">
                  <w14:solidFill>
                    <w14:srgbClr w14:val="000000"/>
                  </w14:solidFill>
                  <w14:prstDash w14:val="solid"/>
                  <w14:bevel/>
                </w14:textOutline>
              </w:rPr>
              <w:t>包方</w:t>
            </w:r>
          </w:p>
        </w:tc>
        <w:tc>
          <w:tcPr>
            <w:tcW w:w="4710" w:type="dxa"/>
            <w:gridSpan w:val="2"/>
            <w:vAlign w:val="top"/>
          </w:tcPr>
          <w:p>
            <w:pPr>
              <w:spacing w:before="48" w:line="233" w:lineRule="auto"/>
              <w:ind w:left="1971"/>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rPr>
            </w:pPr>
            <w:r>
              <w:rPr>
                <w:rFonts w:hint="eastAsia" w:ascii="仿宋" w:hAnsi="仿宋" w:eastAsia="仿宋" w:cs="仿宋"/>
                <w:color w:val="auto"/>
                <w:spacing w:val="7"/>
                <w:sz w:val="20"/>
                <w:szCs w:val="20"/>
              </w:rPr>
              <w:t>分包单位确认 (签字盖章) ：</w:t>
            </w:r>
          </w:p>
        </w:tc>
        <w:tc>
          <w:tcPr>
            <w:tcW w:w="4710" w:type="dxa"/>
            <w:gridSpan w:val="2"/>
            <w:vAlign w:val="top"/>
          </w:tcPr>
          <w:p>
            <w:pPr>
              <w:spacing w:before="49" w:line="232" w:lineRule="auto"/>
              <w:ind w:left="24"/>
              <w:rPr>
                <w:rFonts w:hint="eastAsia" w:ascii="仿宋" w:hAnsi="仿宋" w:eastAsia="仿宋" w:cs="仿宋"/>
                <w:color w:val="auto"/>
                <w:sz w:val="20"/>
                <w:szCs w:val="20"/>
              </w:rPr>
            </w:pPr>
            <w:r>
              <w:rPr>
                <w:rFonts w:hint="eastAsia" w:ascii="仿宋" w:hAnsi="仿宋" w:eastAsia="仿宋" w:cs="仿宋"/>
                <w:color w:val="auto"/>
                <w:spacing w:val="7"/>
                <w:sz w:val="20"/>
                <w:szCs w:val="20"/>
              </w:rPr>
              <w:t>现场施工员意见：</w:t>
            </w:r>
          </w:p>
          <w:p>
            <w:pPr>
              <w:spacing w:before="279"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9" w:line="233" w:lineRule="auto"/>
              <w:ind w:left="25"/>
              <w:rPr>
                <w:rFonts w:hint="eastAsia" w:ascii="仿宋" w:hAnsi="仿宋" w:eastAsia="仿宋" w:cs="仿宋"/>
                <w:color w:val="auto"/>
                <w:sz w:val="20"/>
                <w:szCs w:val="20"/>
              </w:rPr>
            </w:pPr>
            <w:r>
              <w:rPr>
                <w:rFonts w:hint="eastAsia" w:ascii="仿宋" w:hAnsi="仿宋" w:eastAsia="仿宋" w:cs="仿宋"/>
                <w:color w:val="auto"/>
                <w:spacing w:val="7"/>
                <w:sz w:val="20"/>
                <w:szCs w:val="20"/>
              </w:rPr>
              <w:t>项目副经理意见</w:t>
            </w:r>
            <w:r>
              <w:rPr>
                <w:rFonts w:hint="eastAsia" w:ascii="仿宋" w:hAnsi="仿宋" w:eastAsia="仿宋" w:cs="仿宋"/>
                <w:color w:val="auto"/>
                <w:spacing w:val="6"/>
                <w:sz w:val="20"/>
                <w:szCs w:val="20"/>
              </w:rPr>
              <w:t>：</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50" w:line="516" w:lineRule="exact"/>
              <w:ind w:left="25"/>
              <w:rPr>
                <w:rFonts w:hint="eastAsia" w:ascii="仿宋" w:hAnsi="仿宋" w:eastAsia="仿宋" w:cs="仿宋"/>
                <w:color w:val="auto"/>
                <w:sz w:val="20"/>
                <w:szCs w:val="20"/>
              </w:rPr>
            </w:pPr>
            <w:r>
              <w:rPr>
                <w:rFonts w:hint="eastAsia" w:ascii="仿宋" w:hAnsi="仿宋" w:eastAsia="仿宋" w:cs="仿宋"/>
                <w:color w:val="auto"/>
                <w:spacing w:val="12"/>
                <w:position w:val="24"/>
                <w:sz w:val="20"/>
                <w:szCs w:val="20"/>
              </w:rPr>
              <w:t>技</w:t>
            </w:r>
            <w:r>
              <w:rPr>
                <w:rFonts w:hint="eastAsia" w:ascii="仿宋" w:hAnsi="仿宋" w:eastAsia="仿宋" w:cs="仿宋"/>
                <w:color w:val="auto"/>
                <w:spacing w:val="8"/>
                <w:position w:val="24"/>
                <w:sz w:val="20"/>
                <w:szCs w:val="20"/>
              </w:rPr>
              <w:t>术负责人意见 (对工作内容及工程量见证) ：</w:t>
            </w:r>
          </w:p>
          <w:p>
            <w:pPr>
              <w:spacing w:before="1" w:line="231"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9" w:line="231" w:lineRule="auto"/>
              <w:ind w:left="25"/>
              <w:rPr>
                <w:rFonts w:hint="eastAsia" w:ascii="仿宋" w:hAnsi="仿宋" w:eastAsia="仿宋" w:cs="仿宋"/>
                <w:color w:val="auto"/>
                <w:sz w:val="20"/>
                <w:szCs w:val="20"/>
              </w:rPr>
            </w:pPr>
            <w:r>
              <w:rPr>
                <w:rFonts w:hint="eastAsia" w:ascii="仿宋" w:hAnsi="仿宋" w:eastAsia="仿宋" w:cs="仿宋"/>
                <w:color w:val="auto"/>
                <w:spacing w:val="12"/>
                <w:sz w:val="20"/>
                <w:szCs w:val="20"/>
              </w:rPr>
              <w:t>项</w:t>
            </w:r>
            <w:r>
              <w:rPr>
                <w:rFonts w:hint="eastAsia" w:ascii="仿宋" w:hAnsi="仿宋" w:eastAsia="仿宋" w:cs="仿宋"/>
                <w:color w:val="auto"/>
                <w:spacing w:val="7"/>
                <w:sz w:val="20"/>
                <w:szCs w:val="20"/>
              </w:rPr>
              <w:t>目成本管理员意见：</w:t>
            </w:r>
          </w:p>
          <w:p>
            <w:pPr>
              <w:spacing w:before="280"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4509" w:type="dxa"/>
            <w:gridSpan w:val="2"/>
            <w:vMerge w:val="continue"/>
            <w:tcBorders>
              <w:top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7" w:line="233" w:lineRule="auto"/>
              <w:ind w:left="25"/>
              <w:rPr>
                <w:rFonts w:hint="eastAsia" w:ascii="仿宋" w:hAnsi="仿宋" w:eastAsia="仿宋" w:cs="仿宋"/>
                <w:color w:val="auto"/>
                <w:sz w:val="20"/>
                <w:szCs w:val="20"/>
              </w:rPr>
            </w:pPr>
            <w:r>
              <w:rPr>
                <w:rFonts w:hint="eastAsia" w:ascii="仿宋" w:hAnsi="仿宋" w:eastAsia="仿宋" w:cs="仿宋"/>
                <w:color w:val="auto"/>
                <w:spacing w:val="9"/>
                <w:sz w:val="20"/>
                <w:szCs w:val="20"/>
              </w:rPr>
              <w:t>项</w:t>
            </w:r>
            <w:r>
              <w:rPr>
                <w:rFonts w:hint="eastAsia" w:ascii="仿宋" w:hAnsi="仿宋" w:eastAsia="仿宋" w:cs="仿宋"/>
                <w:color w:val="auto"/>
                <w:spacing w:val="6"/>
                <w:sz w:val="20"/>
                <w:szCs w:val="20"/>
              </w:rPr>
              <w:t>目经理意见：</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19" w:type="dxa"/>
            <w:gridSpan w:val="4"/>
            <w:vAlign w:val="top"/>
          </w:tcPr>
          <w:p>
            <w:pPr>
              <w:spacing w:before="49" w:line="240" w:lineRule="auto"/>
              <w:ind w:left="32"/>
              <w:rPr>
                <w:rFonts w:hint="eastAsia" w:ascii="仿宋" w:hAnsi="仿宋" w:eastAsia="仿宋" w:cs="仿宋"/>
                <w:color w:val="auto"/>
                <w:sz w:val="20"/>
                <w:szCs w:val="20"/>
              </w:rPr>
            </w:pPr>
            <w:r>
              <w:rPr>
                <w:rFonts w:hint="eastAsia" w:ascii="仿宋" w:hAnsi="仿宋" w:eastAsia="仿宋" w:cs="仿宋"/>
                <w:color w:val="auto"/>
                <w:spacing w:val="13"/>
                <w:sz w:val="20"/>
                <w:szCs w:val="20"/>
              </w:rPr>
              <w:t>注</w:t>
            </w:r>
            <w:r>
              <w:rPr>
                <w:rFonts w:hint="eastAsia" w:ascii="仿宋" w:hAnsi="仿宋" w:eastAsia="仿宋" w:cs="仿宋"/>
                <w:color w:val="auto"/>
                <w:spacing w:val="8"/>
                <w:sz w:val="20"/>
                <w:szCs w:val="20"/>
              </w:rPr>
              <w:t>：1.通知单、工程变更(联系)单、工程量审核表、图像资料 (事前、事中、事后) 及其它相</w:t>
            </w:r>
            <w:r>
              <w:rPr>
                <w:rFonts w:hint="eastAsia" w:ascii="仿宋" w:hAnsi="仿宋" w:eastAsia="仿宋" w:cs="仿宋"/>
                <w:color w:val="auto"/>
                <w:spacing w:val="8"/>
                <w:sz w:val="20"/>
                <w:szCs w:val="20"/>
                <w:lang w:val="en-US" w:eastAsia="zh-CN"/>
              </w:rPr>
              <w:t>关</w:t>
            </w:r>
            <w:r>
              <w:rPr>
                <w:rFonts w:hint="eastAsia" w:ascii="仿宋" w:hAnsi="仿宋" w:eastAsia="仿宋" w:cs="仿宋"/>
                <w:color w:val="auto"/>
                <w:spacing w:val="8"/>
                <w:sz w:val="20"/>
                <w:szCs w:val="20"/>
              </w:rPr>
              <w:t>依</w:t>
            </w:r>
            <w:r>
              <w:rPr>
                <w:rFonts w:hint="eastAsia" w:ascii="仿宋" w:hAnsi="仿宋" w:eastAsia="仿宋" w:cs="仿宋"/>
                <w:color w:val="auto"/>
                <w:spacing w:val="12"/>
                <w:position w:val="4"/>
                <w:sz w:val="20"/>
                <w:szCs w:val="20"/>
              </w:rPr>
              <w:t>据</w:t>
            </w:r>
            <w:r>
              <w:rPr>
                <w:rFonts w:hint="eastAsia" w:ascii="仿宋" w:hAnsi="仿宋" w:eastAsia="仿宋" w:cs="仿宋"/>
                <w:color w:val="auto"/>
                <w:spacing w:val="9"/>
                <w:position w:val="4"/>
                <w:sz w:val="20"/>
                <w:szCs w:val="20"/>
              </w:rPr>
              <w:t>附后；一式二份原件，项目成本管理员和分包方各一份。</w:t>
            </w:r>
          </w:p>
          <w:p>
            <w:pPr>
              <w:spacing w:line="240" w:lineRule="auto"/>
              <w:ind w:left="123"/>
              <w:rPr>
                <w:rFonts w:hint="default" w:ascii="仿宋" w:hAnsi="仿宋" w:eastAsia="仿宋" w:cs="仿宋"/>
                <w:color w:val="auto"/>
                <w:sz w:val="20"/>
                <w:szCs w:val="20"/>
                <w:highlight w:val="yellow"/>
                <w:lang w:val="en-US" w:eastAsia="zh-CN"/>
              </w:rPr>
            </w:pPr>
            <w:r>
              <w:rPr>
                <w:rFonts w:hint="eastAsia" w:ascii="仿宋" w:hAnsi="仿宋" w:eastAsia="仿宋" w:cs="仿宋"/>
                <w:color w:val="auto"/>
                <w:spacing w:val="15"/>
                <w:position w:val="1"/>
                <w:sz w:val="20"/>
                <w:szCs w:val="20"/>
              </w:rPr>
              <w:t>2</w:t>
            </w:r>
            <w:r>
              <w:rPr>
                <w:rFonts w:hint="eastAsia" w:ascii="仿宋" w:hAnsi="仿宋" w:eastAsia="仿宋" w:cs="仿宋"/>
                <w:color w:val="auto"/>
                <w:spacing w:val="8"/>
                <w:position w:val="1"/>
                <w:sz w:val="20"/>
                <w:szCs w:val="20"/>
              </w:rPr>
              <w:t>.本签证单仅用于确认存在工程变更事宜。</w:t>
            </w:r>
            <w:r>
              <w:rPr>
                <w:rFonts w:hint="eastAsia" w:ascii="仿宋" w:hAnsi="仿宋" w:eastAsia="仿宋" w:cs="仿宋"/>
                <w:color w:val="auto"/>
                <w:spacing w:val="8"/>
                <w:position w:val="1"/>
                <w:sz w:val="20"/>
                <w:szCs w:val="20"/>
                <w:highlight w:val="none"/>
                <w:lang w:val="en-US" w:eastAsia="zh-CN"/>
              </w:rPr>
              <w:t>附件为《工程量现场草签记录表》。</w:t>
            </w:r>
          </w:p>
          <w:p>
            <w:pPr>
              <w:spacing w:before="129" w:line="240" w:lineRule="auto"/>
              <w:ind w:left="26" w:right="87" w:firstLine="98"/>
              <w:rPr>
                <w:rFonts w:hint="eastAsia" w:ascii="仿宋" w:hAnsi="仿宋" w:eastAsia="仿宋" w:cs="仿宋"/>
                <w:color w:val="auto"/>
                <w:sz w:val="20"/>
                <w:szCs w:val="20"/>
              </w:rPr>
            </w:pPr>
            <w:r>
              <w:rPr>
                <w:rFonts w:hint="eastAsia" w:ascii="仿宋" w:hAnsi="仿宋" w:eastAsia="仿宋" w:cs="仿宋"/>
                <w:color w:val="auto"/>
                <w:spacing w:val="18"/>
                <w:sz w:val="20"/>
                <w:szCs w:val="20"/>
              </w:rPr>
              <w:t>3.</w:t>
            </w:r>
            <w:r>
              <w:rPr>
                <w:rFonts w:hint="eastAsia" w:ascii="仿宋" w:hAnsi="仿宋" w:eastAsia="仿宋" w:cs="仿宋"/>
                <w:color w:val="auto"/>
                <w:spacing w:val="10"/>
                <w:sz w:val="20"/>
                <w:szCs w:val="20"/>
              </w:rPr>
              <w:t>本</w:t>
            </w:r>
            <w:r>
              <w:rPr>
                <w:rFonts w:hint="eastAsia" w:ascii="仿宋" w:hAnsi="仿宋" w:eastAsia="仿宋" w:cs="仿宋"/>
                <w:color w:val="auto"/>
                <w:spacing w:val="9"/>
                <w:sz w:val="20"/>
                <w:szCs w:val="20"/>
              </w:rPr>
              <w:t>签证单所述内容为双方对事项发生的签认，本签证单结算价款以分包方主合同工程结算时与</w:t>
            </w:r>
            <w:r>
              <w:rPr>
                <w:rFonts w:hint="eastAsia" w:ascii="仿宋" w:hAnsi="仿宋" w:eastAsia="仿宋" w:cs="仿宋"/>
                <w:color w:val="auto"/>
                <w:sz w:val="20"/>
                <w:szCs w:val="20"/>
              </w:rPr>
              <w:t xml:space="preserve"> </w:t>
            </w:r>
            <w:r>
              <w:rPr>
                <w:rFonts w:hint="eastAsia" w:ascii="仿宋" w:hAnsi="仿宋" w:eastAsia="仿宋" w:cs="仿宋"/>
                <w:color w:val="auto"/>
                <w:spacing w:val="14"/>
                <w:sz w:val="20"/>
                <w:szCs w:val="20"/>
              </w:rPr>
              <w:t>承</w:t>
            </w:r>
            <w:r>
              <w:rPr>
                <w:rFonts w:hint="eastAsia" w:ascii="仿宋" w:hAnsi="仿宋" w:eastAsia="仿宋" w:cs="仿宋"/>
                <w:color w:val="auto"/>
                <w:spacing w:val="8"/>
                <w:sz w:val="20"/>
                <w:szCs w:val="20"/>
              </w:rPr>
              <w:t>包</w:t>
            </w:r>
            <w:r>
              <w:rPr>
                <w:rFonts w:hint="eastAsia" w:ascii="仿宋" w:hAnsi="仿宋" w:eastAsia="仿宋" w:cs="仿宋"/>
                <w:color w:val="auto"/>
                <w:spacing w:val="7"/>
                <w:sz w:val="20"/>
                <w:szCs w:val="20"/>
              </w:rPr>
              <w:t>方共同确认的为准。</w:t>
            </w:r>
          </w:p>
        </w:tc>
      </w:tr>
    </w:tbl>
    <w:p>
      <w:pPr>
        <w:ind w:right="284"/>
        <w:jc w:val="center"/>
        <w:rPr>
          <w:rFonts w:hint="eastAsia" w:ascii="宋体" w:hAnsi="宋体" w:cs="宋体"/>
          <w:b/>
          <w:color w:val="auto"/>
          <w:sz w:val="32"/>
          <w:szCs w:val="32"/>
          <w:highlight w:val="none"/>
          <w:lang w:val="en-US" w:eastAsia="zh-CN"/>
        </w:rPr>
      </w:pPr>
      <w:r>
        <w:rPr>
          <w:rFonts w:hint="eastAsia" w:ascii="仿宋" w:hAnsi="仿宋" w:eastAsia="仿宋" w:cs="仿宋"/>
          <w:b/>
          <w:color w:val="auto"/>
          <w:sz w:val="36"/>
          <w:szCs w:val="36"/>
          <w:highlight w:val="none"/>
          <w:lang w:val="en-US" w:eastAsia="zh-CN"/>
        </w:rPr>
        <w:t xml:space="preserve">                                        附件六</w:t>
      </w:r>
      <w:r>
        <w:rPr>
          <w:rFonts w:hint="eastAsia" w:ascii="宋体" w:hAnsi="宋体" w:cs="宋体"/>
          <w:b/>
          <w:color w:val="auto"/>
          <w:sz w:val="32"/>
          <w:szCs w:val="32"/>
          <w:highlight w:val="none"/>
          <w:lang w:val="en-US" w:eastAsia="zh-CN"/>
        </w:rPr>
        <w:t xml:space="preserve">                                            </w:t>
      </w:r>
    </w:p>
    <w:p>
      <w:pPr>
        <w:spacing w:before="59" w:line="228" w:lineRule="auto"/>
        <w:jc w:val="center"/>
        <w:rPr>
          <w:rFonts w:hint="eastAsia" w:ascii="仿宋" w:hAnsi="仿宋" w:eastAsia="仿宋" w:cs="仿宋"/>
          <w:color w:val="auto"/>
          <w:spacing w:val="8"/>
          <w:sz w:val="32"/>
          <w:szCs w:val="32"/>
          <w:lang w:val="en-US" w:eastAsia="zh-CN"/>
          <w14:textOutline w14:w="5793" w14:cap="sq" w14:cmpd="sng">
            <w14:solidFill>
              <w14:srgbClr w14:val="000000"/>
            </w14:solidFill>
            <w14:prstDash w14:val="solid"/>
            <w14:bevel/>
          </w14:textOutline>
        </w:rPr>
      </w:pPr>
      <w:r>
        <w:rPr>
          <w:rFonts w:ascii="仿宋" w:hAnsi="仿宋" w:eastAsia="仿宋" w:cs="仿宋"/>
          <w:color w:val="auto"/>
          <w:spacing w:val="10"/>
          <w:sz w:val="32"/>
          <w:szCs w:val="32"/>
          <w14:textOutline w14:w="5793" w14:cap="sq" w14:cmpd="sng">
            <w14:solidFill>
              <w14:srgbClr w14:val="000000"/>
            </w14:solidFill>
            <w14:prstDash w14:val="solid"/>
            <w14:bevel/>
          </w14:textOutline>
        </w:rPr>
        <w:t>工</w:t>
      </w:r>
      <w:r>
        <w:rPr>
          <w:rFonts w:ascii="仿宋" w:hAnsi="仿宋" w:eastAsia="仿宋" w:cs="仿宋"/>
          <w:color w:val="auto"/>
          <w:spacing w:val="8"/>
          <w:sz w:val="32"/>
          <w:szCs w:val="32"/>
          <w14:textOutline w14:w="5793" w14:cap="sq" w14:cmpd="sng">
            <w14:solidFill>
              <w14:srgbClr w14:val="000000"/>
            </w14:solidFill>
            <w14:prstDash w14:val="solid"/>
            <w14:bevel/>
          </w14:textOutline>
        </w:rPr>
        <w:t>程量现场草签记录表</w:t>
      </w:r>
    </w:p>
    <w:tbl>
      <w:tblPr>
        <w:tblStyle w:val="27"/>
        <w:tblW w:w="92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995"/>
        <w:gridCol w:w="1050"/>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6" w:line="300" w:lineRule="exact"/>
              <w:ind w:left="130"/>
              <w:jc w:val="center"/>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工程名称</w:t>
            </w:r>
          </w:p>
        </w:tc>
        <w:tc>
          <w:tcPr>
            <w:tcW w:w="7907"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299"/>
              <w:jc w:val="both"/>
              <w:textAlignment w:val="auto"/>
              <w:rPr>
                <w:rFonts w:ascii="仿宋" w:hAnsi="仿宋" w:eastAsia="仿宋" w:cs="仿宋"/>
                <w:color w:val="auto"/>
                <w:sz w:val="23"/>
                <w:szCs w:val="23"/>
              </w:rPr>
            </w:pPr>
            <w:r>
              <w:rPr>
                <w:rFonts w:ascii="仿宋" w:hAnsi="仿宋" w:eastAsia="仿宋" w:cs="仿宋"/>
                <w:color w:val="auto"/>
                <w:spacing w:val="6"/>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5"/>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单</w:t>
            </w:r>
            <w:r>
              <w:rPr>
                <w:rFonts w:ascii="仿宋" w:hAnsi="仿宋" w:eastAsia="仿宋" w:cs="仿宋"/>
                <w:color w:val="auto"/>
                <w:sz w:val="23"/>
                <w:szCs w:val="23"/>
                <w14:textOutline w14:w="4358" w14:cap="sq" w14:cmpd="sng">
                  <w14:solidFill>
                    <w14:srgbClr w14:val="000000"/>
                  </w14:solidFill>
                  <w14:prstDash w14:val="solid"/>
                  <w14:bevel/>
                </w14:textOutline>
              </w:rPr>
              <w:t>号</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302"/>
              <w:jc w:val="both"/>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4"/>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原</w:t>
            </w:r>
            <w:r>
              <w:rPr>
                <w:rFonts w:ascii="仿宋" w:hAnsi="仿宋" w:eastAsia="仿宋" w:cs="仿宋"/>
                <w:color w:val="auto"/>
                <w:sz w:val="23"/>
                <w:szCs w:val="23"/>
                <w14:textOutline w14:w="4358" w14:cap="sq" w14:cmpd="sng">
                  <w14:solidFill>
                    <w14:srgbClr w14:val="000000"/>
                  </w14:solidFill>
                  <w14:prstDash w14:val="solid"/>
                  <w14:bevel/>
                </w14:textOutline>
              </w:rPr>
              <w:t>因</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49" w:line="300" w:lineRule="exact"/>
              <w:ind w:left="124"/>
              <w:textAlignment w:val="auto"/>
              <w:rPr>
                <w:rFonts w:ascii="仿宋" w:hAnsi="仿宋" w:eastAsia="仿宋" w:cs="仿宋"/>
                <w:color w:val="auto"/>
                <w:sz w:val="23"/>
                <w:szCs w:val="23"/>
              </w:rPr>
            </w:pPr>
            <w:r>
              <w:rPr>
                <w:rFonts w:ascii="仿宋" w:hAnsi="仿宋" w:eastAsia="仿宋" w:cs="仿宋"/>
                <w:color w:val="auto"/>
                <w:spacing w:val="2"/>
                <w:sz w:val="23"/>
                <w:szCs w:val="23"/>
              </w:rPr>
              <w:t>序号</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96"/>
              <w:textAlignment w:val="auto"/>
              <w:rPr>
                <w:rFonts w:ascii="仿宋" w:hAnsi="仿宋" w:eastAsia="仿宋" w:cs="仿宋"/>
                <w:color w:val="auto"/>
                <w:sz w:val="23"/>
                <w:szCs w:val="23"/>
              </w:rPr>
            </w:pPr>
            <w:r>
              <w:rPr>
                <w:rFonts w:ascii="仿宋" w:hAnsi="仿宋" w:eastAsia="仿宋" w:cs="仿宋"/>
                <w:color w:val="auto"/>
                <w:spacing w:val="6"/>
                <w:sz w:val="23"/>
                <w:szCs w:val="23"/>
              </w:rPr>
              <w:t>项目名</w:t>
            </w:r>
            <w:r>
              <w:rPr>
                <w:rFonts w:ascii="仿宋" w:hAnsi="仿宋" w:eastAsia="仿宋" w:cs="仿宋"/>
                <w:color w:val="auto"/>
                <w:spacing w:val="5"/>
                <w:sz w:val="23"/>
                <w:szCs w:val="23"/>
              </w:rPr>
              <w:t>称</w:t>
            </w:r>
          </w:p>
        </w:tc>
        <w:tc>
          <w:tcPr>
            <w:tcW w:w="99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1"/>
              <w:textAlignment w:val="auto"/>
              <w:rPr>
                <w:rFonts w:ascii="仿宋" w:hAnsi="仿宋" w:eastAsia="仿宋" w:cs="仿宋"/>
                <w:color w:val="auto"/>
                <w:sz w:val="23"/>
                <w:szCs w:val="23"/>
              </w:rPr>
            </w:pPr>
            <w:r>
              <w:rPr>
                <w:rFonts w:ascii="仿宋" w:hAnsi="仿宋" w:eastAsia="仿宋" w:cs="仿宋"/>
                <w:color w:val="auto"/>
                <w:spacing w:val="-1"/>
                <w:sz w:val="23"/>
                <w:szCs w:val="23"/>
              </w:rPr>
              <w:t>单</w:t>
            </w:r>
            <w:r>
              <w:rPr>
                <w:rFonts w:ascii="仿宋" w:hAnsi="仿宋" w:eastAsia="仿宋" w:cs="仿宋"/>
                <w:color w:val="auto"/>
                <w:sz w:val="23"/>
                <w:szCs w:val="23"/>
              </w:rPr>
              <w:t>位</w:t>
            </w:r>
          </w:p>
        </w:tc>
        <w:tc>
          <w:tcPr>
            <w:tcW w:w="1050"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72"/>
              <w:textAlignment w:val="auto"/>
              <w:rPr>
                <w:rFonts w:ascii="仿宋" w:hAnsi="仿宋" w:eastAsia="仿宋" w:cs="仿宋"/>
                <w:color w:val="auto"/>
                <w:sz w:val="23"/>
                <w:szCs w:val="23"/>
              </w:rPr>
            </w:pPr>
            <w:r>
              <w:rPr>
                <w:rFonts w:ascii="仿宋" w:hAnsi="仿宋" w:eastAsia="仿宋" w:cs="仿宋"/>
                <w:color w:val="auto"/>
                <w:spacing w:val="2"/>
                <w:sz w:val="23"/>
                <w:szCs w:val="23"/>
              </w:rPr>
              <w:t>数量</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450"/>
              <w:textAlignment w:val="auto"/>
              <w:rPr>
                <w:rFonts w:ascii="仿宋" w:hAnsi="仿宋" w:eastAsia="仿宋" w:cs="仿宋"/>
                <w:color w:val="auto"/>
                <w:sz w:val="23"/>
                <w:szCs w:val="23"/>
              </w:rPr>
            </w:pPr>
            <w:r>
              <w:rPr>
                <w:rFonts w:ascii="仿宋" w:hAnsi="仿宋" w:eastAsia="仿宋" w:cs="仿宋"/>
                <w:color w:val="auto"/>
                <w:spacing w:val="1"/>
                <w:sz w:val="23"/>
                <w:szCs w:val="23"/>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0" w:line="300" w:lineRule="exact"/>
              <w:ind w:left="367"/>
              <w:textAlignment w:val="auto"/>
              <w:rPr>
                <w:rFonts w:ascii="仿宋" w:hAnsi="仿宋" w:eastAsia="仿宋" w:cs="仿宋"/>
                <w:color w:val="auto"/>
                <w:sz w:val="23"/>
                <w:szCs w:val="23"/>
              </w:rPr>
            </w:pPr>
            <w:r>
              <w:rPr>
                <w:rFonts w:ascii="仿宋" w:hAnsi="仿宋" w:eastAsia="仿宋" w:cs="仿宋"/>
                <w:color w:val="auto"/>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2"/>
              <w:textAlignment w:val="auto"/>
              <w:rPr>
                <w:rFonts w:ascii="仿宋" w:hAnsi="仿宋" w:eastAsia="仿宋" w:cs="仿宋"/>
                <w:color w:val="auto"/>
                <w:sz w:val="23"/>
                <w:szCs w:val="23"/>
              </w:rPr>
            </w:pPr>
            <w:r>
              <w:rPr>
                <w:rFonts w:ascii="仿宋" w:hAnsi="仿宋" w:eastAsia="仿宋" w:cs="仿宋"/>
                <w:color w:val="auto"/>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3</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48"/>
              <w:textAlignment w:val="auto"/>
              <w:rPr>
                <w:rFonts w:ascii="仿宋" w:hAnsi="仿宋" w:eastAsia="仿宋" w:cs="仿宋"/>
                <w:color w:val="auto"/>
                <w:sz w:val="23"/>
                <w:szCs w:val="23"/>
              </w:rPr>
            </w:pPr>
            <w:r>
              <w:rPr>
                <w:rFonts w:ascii="仿宋" w:hAnsi="仿宋" w:eastAsia="仿宋" w:cs="仿宋"/>
                <w:color w:val="auto"/>
                <w:sz w:val="23"/>
                <w:szCs w:val="23"/>
              </w:rPr>
              <w:t>4</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5</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51"/>
              <w:textAlignment w:val="auto"/>
              <w:rPr>
                <w:rFonts w:ascii="仿宋" w:hAnsi="仿宋" w:eastAsia="仿宋" w:cs="仿宋"/>
                <w:color w:val="auto"/>
                <w:sz w:val="23"/>
                <w:szCs w:val="23"/>
              </w:rPr>
            </w:pPr>
            <w:r>
              <w:rPr>
                <w:rFonts w:ascii="仿宋" w:hAnsi="仿宋" w:eastAsia="仿宋" w:cs="仿宋"/>
                <w:color w:val="auto"/>
                <w:sz w:val="23"/>
                <w:szCs w:val="23"/>
              </w:rPr>
              <w:t>6</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5"/>
              <w:textAlignment w:val="auto"/>
              <w:rPr>
                <w:rFonts w:ascii="仿宋" w:hAnsi="仿宋" w:eastAsia="仿宋" w:cs="仿宋"/>
                <w:color w:val="auto"/>
                <w:sz w:val="23"/>
                <w:szCs w:val="23"/>
              </w:rPr>
            </w:pPr>
            <w:r>
              <w:rPr>
                <w:rFonts w:ascii="仿宋" w:hAnsi="仿宋" w:eastAsia="仿宋" w:cs="仿宋"/>
                <w:color w:val="auto"/>
                <w:sz w:val="23"/>
                <w:szCs w:val="23"/>
              </w:rPr>
              <w:t>7</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8</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9</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0</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7"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743"/>
              <w:textAlignment w:val="auto"/>
              <w:rPr>
                <w:rFonts w:ascii="仿宋" w:hAnsi="仿宋" w:eastAsia="仿宋" w:cs="仿宋"/>
                <w:color w:val="auto"/>
                <w:sz w:val="23"/>
                <w:szCs w:val="23"/>
              </w:rPr>
            </w:pPr>
            <w:r>
              <w:rPr>
                <w:rFonts w:ascii="仿宋" w:hAnsi="仿宋" w:eastAsia="仿宋" w:cs="仿宋"/>
                <w:color w:val="auto"/>
                <w:spacing w:val="8"/>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948"/>
              <w:textAlignment w:val="auto"/>
              <w:rPr>
                <w:rFonts w:ascii="仿宋" w:hAnsi="仿宋" w:eastAsia="仿宋" w:cs="仿宋"/>
                <w:color w:val="auto"/>
                <w:sz w:val="23"/>
                <w:szCs w:val="23"/>
              </w:rPr>
            </w:pPr>
            <w:r>
              <w:rPr>
                <w:rFonts w:ascii="仿宋" w:hAnsi="仿宋" w:eastAsia="仿宋" w:cs="仿宋"/>
                <w:color w:val="auto"/>
                <w:spacing w:val="10"/>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1268"/>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5" w:line="300" w:lineRule="exact"/>
              <w:ind w:left="123"/>
              <w:textAlignment w:val="auto"/>
              <w:rPr>
                <w:rFonts w:ascii="仿宋" w:hAnsi="仿宋" w:eastAsia="仿宋" w:cs="仿宋"/>
                <w:color w:val="auto"/>
                <w:sz w:val="23"/>
                <w:szCs w:val="23"/>
              </w:rPr>
            </w:pPr>
            <w:r>
              <w:rPr>
                <w:rFonts w:ascii="仿宋" w:hAnsi="仿宋" w:eastAsia="仿宋" w:cs="仿宋"/>
                <w:color w:val="auto"/>
                <w:spacing w:val="6"/>
                <w:sz w:val="23"/>
                <w:szCs w:val="23"/>
              </w:rPr>
              <w:t>现场执行人</w:t>
            </w:r>
            <w:r>
              <w:rPr>
                <w:rFonts w:ascii="仿宋" w:hAnsi="仿宋" w:eastAsia="仿宋" w:cs="仿宋"/>
                <w:color w:val="auto"/>
                <w:spacing w:val="4"/>
                <w:sz w:val="23"/>
                <w:szCs w:val="23"/>
              </w:rPr>
              <w:t>：</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19"/>
              <w:textAlignment w:val="auto"/>
              <w:rPr>
                <w:rFonts w:ascii="仿宋" w:hAnsi="仿宋" w:eastAsia="仿宋" w:cs="仿宋"/>
                <w:color w:val="auto"/>
                <w:sz w:val="23"/>
                <w:szCs w:val="23"/>
              </w:rPr>
            </w:pPr>
            <w:r>
              <w:rPr>
                <w:rFonts w:ascii="仿宋" w:hAnsi="仿宋" w:eastAsia="仿宋" w:cs="仿宋"/>
                <w:color w:val="auto"/>
                <w:spacing w:val="5"/>
                <w:sz w:val="23"/>
                <w:szCs w:val="23"/>
              </w:rPr>
              <w:t>施</w:t>
            </w:r>
            <w:r>
              <w:rPr>
                <w:rFonts w:ascii="仿宋" w:hAnsi="仿宋" w:eastAsia="仿宋" w:cs="仿宋"/>
                <w:color w:val="auto"/>
                <w:spacing w:val="3"/>
                <w:sz w:val="23"/>
                <w:szCs w:val="23"/>
              </w:rPr>
              <w:t>工员：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6"/>
              <w:textAlignment w:val="auto"/>
              <w:rPr>
                <w:rFonts w:ascii="仿宋" w:hAnsi="仿宋" w:eastAsia="仿宋" w:cs="仿宋"/>
                <w:color w:val="auto"/>
                <w:sz w:val="23"/>
                <w:szCs w:val="23"/>
              </w:rPr>
            </w:pPr>
            <w:r>
              <w:rPr>
                <w:rFonts w:ascii="仿宋" w:hAnsi="仿宋" w:eastAsia="仿宋" w:cs="仿宋"/>
                <w:color w:val="auto"/>
                <w:spacing w:val="2"/>
                <w:sz w:val="23"/>
                <w:szCs w:val="23"/>
              </w:rPr>
              <w:t>副经理</w:t>
            </w:r>
            <w:r>
              <w:rPr>
                <w:rFonts w:ascii="仿宋" w:hAnsi="仿宋" w:eastAsia="仿宋" w:cs="仿宋"/>
                <w:color w:val="auto"/>
                <w:spacing w:val="1"/>
                <w:sz w:val="23"/>
                <w:szCs w:val="23"/>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3"/>
              <w:textAlignment w:val="auto"/>
              <w:rPr>
                <w:rFonts w:ascii="仿宋" w:hAnsi="仿宋" w:eastAsia="仿宋" w:cs="仿宋"/>
                <w:color w:val="auto"/>
                <w:sz w:val="23"/>
                <w:szCs w:val="23"/>
              </w:rPr>
            </w:pPr>
            <w:r>
              <w:rPr>
                <w:rFonts w:ascii="仿宋" w:hAnsi="仿宋" w:eastAsia="仿宋" w:cs="仿宋"/>
                <w:color w:val="auto"/>
                <w:spacing w:val="5"/>
                <w:sz w:val="23"/>
                <w:szCs w:val="23"/>
              </w:rPr>
              <w:t>成本管理员：</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7" w:right="107" w:firstLine="4"/>
              <w:textAlignment w:val="auto"/>
              <w:rPr>
                <w:rFonts w:ascii="仿宋" w:hAnsi="仿宋" w:eastAsia="仿宋" w:cs="仿宋"/>
                <w:color w:val="auto"/>
                <w:sz w:val="23"/>
                <w:szCs w:val="23"/>
              </w:rPr>
            </w:pPr>
            <w:r>
              <w:rPr>
                <w:rFonts w:ascii="仿宋" w:hAnsi="仿宋" w:eastAsia="仿宋" w:cs="仿宋"/>
                <w:color w:val="auto"/>
                <w:spacing w:val="-2"/>
                <w:sz w:val="23"/>
                <w:szCs w:val="23"/>
              </w:rPr>
              <w:t>附件如</w:t>
            </w:r>
            <w:r>
              <w:rPr>
                <w:rFonts w:ascii="仿宋" w:hAnsi="仿宋" w:eastAsia="仿宋" w:cs="仿宋"/>
                <w:color w:val="auto"/>
                <w:spacing w:val="-1"/>
                <w:sz w:val="23"/>
                <w:szCs w:val="23"/>
              </w:rPr>
              <w:t>：施工前、中、后的</w:t>
            </w:r>
            <w:r>
              <w:rPr>
                <w:rFonts w:ascii="仿宋" w:hAnsi="仿宋" w:eastAsia="仿宋" w:cs="仿宋"/>
                <w:color w:val="auto"/>
                <w:sz w:val="23"/>
                <w:szCs w:val="23"/>
              </w:rPr>
              <w:t xml:space="preserve"> </w:t>
            </w:r>
            <w:r>
              <w:rPr>
                <w:rFonts w:ascii="仿宋" w:hAnsi="仿宋" w:eastAsia="仿宋" w:cs="仿宋"/>
                <w:color w:val="auto"/>
                <w:spacing w:val="8"/>
                <w:sz w:val="23"/>
                <w:szCs w:val="23"/>
              </w:rPr>
              <w:t>照</w:t>
            </w:r>
            <w:r>
              <w:rPr>
                <w:rFonts w:ascii="仿宋" w:hAnsi="仿宋" w:eastAsia="仿宋" w:cs="仿宋"/>
                <w:color w:val="auto"/>
                <w:spacing w:val="5"/>
                <w:sz w:val="23"/>
                <w:szCs w:val="23"/>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628"/>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835"/>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793"/>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r>
    </w:tbl>
    <w:p>
      <w:pPr>
        <w:ind w:right="284"/>
        <w:jc w:val="both"/>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 xml:space="preserve">                    </w:t>
      </w:r>
    </w:p>
    <w:p>
      <w:pPr>
        <w:ind w:right="284"/>
        <w:jc w:val="center"/>
        <w:rPr>
          <w:rFonts w:hint="eastAsia" w:ascii="仿宋" w:hAnsi="仿宋" w:eastAsia="仿宋" w:cs="仿宋"/>
          <w:b/>
          <w:color w:val="auto"/>
          <w:sz w:val="36"/>
          <w:szCs w:val="36"/>
          <w:highlight w:val="none"/>
          <w:lang w:val="en-US" w:eastAsia="zh-CN"/>
        </w:rPr>
      </w:pPr>
    </w:p>
    <w:p>
      <w:pPr>
        <w:ind w:right="284"/>
        <w:jc w:val="center"/>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 xml:space="preserve">                                        </w:t>
      </w:r>
      <w:bookmarkStart w:id="80" w:name="_GoBack"/>
      <w:bookmarkEnd w:id="80"/>
      <w:r>
        <w:rPr>
          <w:rFonts w:hint="eastAsia" w:ascii="仿宋" w:hAnsi="仿宋" w:eastAsia="仿宋" w:cs="仿宋"/>
          <w:b/>
          <w:color w:val="auto"/>
          <w:sz w:val="36"/>
          <w:szCs w:val="36"/>
          <w:highlight w:val="none"/>
          <w:lang w:val="en-US" w:eastAsia="zh-CN"/>
        </w:rPr>
        <w:t>附件七</w:t>
      </w:r>
    </w:p>
    <w:p>
      <w:pPr>
        <w:pStyle w:val="11"/>
        <w:rPr>
          <w:rFonts w:hint="default"/>
          <w:lang w:val="en-US" w:eastAsia="zh-CN"/>
        </w:rPr>
      </w:pPr>
    </w:p>
    <w:p>
      <w:pPr>
        <w:pStyle w:val="11"/>
        <w:ind w:firstLine="2249" w:firstLineChars="700"/>
        <w:jc w:val="left"/>
        <w:rPr>
          <w:rFonts w:hint="eastAsia"/>
          <w:color w:val="auto"/>
          <w:sz w:val="32"/>
          <w:szCs w:val="32"/>
          <w:highlight w:val="none"/>
          <w:lang w:val="en-US" w:eastAsia="zh-CN"/>
        </w:rPr>
      </w:pPr>
      <w:r>
        <w:rPr>
          <w:rFonts w:hint="eastAsia" w:ascii="仿宋" w:hAnsi="仿宋" w:eastAsia="仿宋" w:cs="仿宋"/>
          <w:b/>
          <w:color w:val="auto"/>
          <w:sz w:val="32"/>
          <w:szCs w:val="32"/>
          <w:highlight w:val="none"/>
          <w:lang w:eastAsia="zh-CN"/>
        </w:rPr>
        <w:t>分项工程</w:t>
      </w:r>
      <w:r>
        <w:rPr>
          <w:rFonts w:hint="eastAsia" w:ascii="仿宋" w:hAnsi="仿宋" w:eastAsia="仿宋" w:cs="仿宋"/>
          <w:b/>
          <w:color w:val="auto"/>
          <w:sz w:val="32"/>
          <w:szCs w:val="32"/>
          <w:highlight w:val="none"/>
          <w:lang w:val="en-US" w:eastAsia="zh-CN"/>
        </w:rPr>
        <w:t>/认质认价申报审批表</w:t>
      </w:r>
    </w:p>
    <w:p>
      <w:pPr>
        <w:pStyle w:val="11"/>
        <w:rPr>
          <w:rFonts w:hint="eastAsia"/>
          <w:color w:val="auto"/>
          <w:highlight w:val="none"/>
          <w:lang w:val="en-US" w:eastAsia="zh-CN"/>
        </w:rPr>
      </w:pPr>
    </w:p>
    <w:tbl>
      <w:tblPr>
        <w:tblStyle w:val="12"/>
        <w:tblW w:w="997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83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222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839"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608"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974"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bl>
    <w:p>
      <w:pPr>
        <w:ind w:right="284"/>
        <w:jc w:val="both"/>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40"/>
          <w:szCs w:val="40"/>
          <w:lang w:val="en-US" w:eastAsia="zh-CN"/>
        </w:rPr>
        <w:t xml:space="preserve">                               </w:t>
      </w:r>
      <w:r>
        <w:rPr>
          <w:rFonts w:hint="eastAsia" w:ascii="仿宋" w:hAnsi="仿宋" w:eastAsia="仿宋" w:cs="仿宋"/>
          <w:b/>
          <w:color w:val="auto"/>
          <w:sz w:val="36"/>
          <w:szCs w:val="36"/>
          <w:highlight w:val="none"/>
          <w:lang w:val="en-US" w:eastAsia="zh-CN"/>
        </w:rPr>
        <w:t xml:space="preserve">                    </w:t>
      </w:r>
    </w:p>
    <w:p>
      <w:pPr>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附件八</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ascii="仿宋" w:hAnsi="仿宋" w:eastAsia="仿宋" w:cs="仿宋"/>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仿宋" w:hAnsi="仿宋" w:eastAsia="仿宋" w:cs="仿宋"/>
          <w:b/>
          <w:bCs/>
          <w:color w:val="auto"/>
          <w:sz w:val="44"/>
          <w:szCs w:val="44"/>
          <w:highlight w:val="none"/>
          <w:lang w:val="en-US" w:eastAsia="zh-CN"/>
        </w:rPr>
        <w:t xml:space="preserve"> </w:t>
      </w:r>
      <w:r>
        <w:rPr>
          <w:rFonts w:hint="eastAsia" w:ascii="仿宋" w:hAnsi="仿宋" w:eastAsia="仿宋" w:cs="仿宋"/>
          <w:b/>
          <w:bCs/>
          <w:color w:val="auto"/>
          <w:sz w:val="44"/>
          <w:szCs w:val="44"/>
          <w:highlight w:val="none"/>
        </w:rPr>
        <w:t>工程结算支付证明单</w:t>
      </w:r>
    </w:p>
    <w:p>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pPr>
        <w:jc w:val="center"/>
        <w:rPr>
          <w:rFonts w:hint="eastAsia" w:ascii="仿宋" w:hAnsi="仿宋" w:eastAsia="仿宋" w:cs="仿宋"/>
          <w:color w:val="auto"/>
          <w:sz w:val="32"/>
          <w:szCs w:val="32"/>
          <w:highlight w:val="none"/>
        </w:rPr>
      </w:pPr>
    </w:p>
    <w:tbl>
      <w:tblPr>
        <w:tblStyle w:val="1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8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55"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4544"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4544" w:type="pct"/>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spacing w:line="360" w:lineRule="auto"/>
        <w:ind w:right="-672" w:rightChars="-320" w:firstLine="8031" w:firstLineChars="20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附件九</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keepNext w:val="0"/>
        <w:keepLines w:val="0"/>
        <w:pageBreakBefore w:val="0"/>
        <w:wordWrap/>
        <w:overflowPunct/>
        <w:topLinePunct w:val="0"/>
        <w:bidi w:val="0"/>
        <w:spacing w:line="440" w:lineRule="exact"/>
        <w:ind w:left="253"/>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一、我司与贵司于****年**月**日签订了《*****合同》(以下简称“施工合同”），合同约定由我司承接贵司****项目工程***分项工程（以下简称“该工程”），该工程合同价****元，其中工人工资共计约***元。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二、目前该工程在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 ****月份工程款共计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w:t>
      </w:r>
      <w:r>
        <w:rPr>
          <w:rFonts w:hint="eastAsia" w:ascii="仿宋" w:hAnsi="仿宋" w:eastAsia="仿宋" w:cs="仿宋"/>
          <w:color w:val="auto"/>
          <w:spacing w:val="8"/>
          <w:sz w:val="24"/>
          <w:szCs w:val="24"/>
          <w:highlight w:val="none"/>
          <w:lang w:val="en-US" w:eastAsia="zh-CN"/>
        </w:rPr>
        <w:t>。我司承诺累计已发放工人工资***元，</w:t>
      </w:r>
      <w:r>
        <w:rPr>
          <w:rFonts w:hint="eastAsia" w:ascii="仿宋" w:hAnsi="仿宋" w:eastAsia="仿宋" w:cs="仿宋"/>
          <w:color w:val="auto"/>
          <w:spacing w:val="8"/>
          <w:sz w:val="24"/>
          <w:szCs w:val="24"/>
          <w:highlight w:val="none"/>
          <w:u w:val="none"/>
          <w:lang w:val="en-US" w:eastAsia="zh-CN"/>
        </w:rPr>
        <w:t>占该项目工人工资</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pacing w:val="8"/>
          <w:sz w:val="24"/>
          <w:szCs w:val="24"/>
          <w:highlight w:val="none"/>
          <w:u w:val="none"/>
          <w:lang w:val="en-US" w:eastAsia="zh-CN"/>
        </w:rPr>
        <w:t>占该项目工人工资**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三、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keepNext w:val="0"/>
        <w:keepLines w:val="0"/>
        <w:pageBreakBefore w:val="0"/>
        <w:numPr>
          <w:ilvl w:val="0"/>
          <w:numId w:val="0"/>
        </w:numPr>
        <w:wordWrap/>
        <w:overflowPunct/>
        <w:topLinePunct w:val="0"/>
        <w:bidi w:val="0"/>
        <w:spacing w:before="120" w:line="440" w:lineRule="exact"/>
        <w:ind w:right="238" w:rightChars="0" w:firstLine="512" w:firstLineChars="20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0"/>
        </w:numPr>
        <w:kinsoku/>
        <w:wordWrap/>
        <w:overflowPunct/>
        <w:topLinePunct w:val="0"/>
        <w:autoSpaceDE/>
        <w:autoSpaceDN/>
        <w:bidi w:val="0"/>
        <w:adjustRightInd/>
        <w:snapToGrid/>
        <w:spacing w:before="120" w:line="440" w:lineRule="exact"/>
        <w:ind w:right="238" w:rightChars="0" w:firstLine="512" w:firstLineChars="20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2、我司负责相应的善后工作及消除对甲方造成的不良影响。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四、我司保证该工程完工后**日内，将该工程的工人工资全部结清给所有工人，否则，我司同意贵司暂不向我司支付结算工程款且不给我司办理结算，并同意贵司按上述第三条中的第1、第2条来处理。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五、担保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本人（法定代表人） ****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）、本人（实际控制人）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）同意就</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附件：担保人身份证复印件正反面</w:t>
      </w:r>
    </w:p>
    <w:p>
      <w:pPr>
        <w:keepNext w:val="0"/>
        <w:keepLines w:val="0"/>
        <w:pageBreakBefore w:val="0"/>
        <w:numPr>
          <w:ilvl w:val="0"/>
          <w:numId w:val="0"/>
        </w:numPr>
        <w:wordWrap/>
        <w:overflowPunct/>
        <w:topLinePunct w:val="0"/>
        <w:bidi w:val="0"/>
        <w:spacing w:before="291" w:line="440" w:lineRule="exact"/>
        <w:ind w:left="220" w:leftChars="105" w:right="240" w:rightChars="0" w:firstLine="3589" w:firstLineChars="1547"/>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承诺单位（盖章）：</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lang w:val="en-US" w:eastAsia="zh-CN"/>
        </w:rPr>
        <w:t>公司</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 xml:space="preserve">         担  保  人：</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z w:val="25"/>
          <w:szCs w:val="25"/>
        </w:rPr>
      </w:pPr>
      <w:r>
        <w:rPr>
          <w:rFonts w:hint="eastAsia" w:ascii="仿宋" w:hAnsi="仿宋" w:eastAsia="仿宋" w:cs="仿宋"/>
          <w:color w:val="auto"/>
          <w:spacing w:val="-4"/>
          <w:sz w:val="24"/>
          <w:szCs w:val="24"/>
          <w:highlight w:val="none"/>
          <w:lang w:val="en-US" w:eastAsia="zh-CN"/>
        </w:rPr>
        <w:t xml:space="preserve">                          日   期：****年**月**日</w:t>
      </w:r>
    </w:p>
    <w:p>
      <w:pPr>
        <w:spacing w:line="360" w:lineRule="auto"/>
        <w:ind w:right="-672" w:rightChars="-320"/>
        <w:rPr>
          <w:rFonts w:hint="default" w:ascii="仿宋_GB2312" w:hAnsi="仿宋_GB2312" w:eastAsia="仿宋_GB2312" w:cs="仿宋_GB2312"/>
          <w:b/>
          <w:bCs w:val="0"/>
          <w:color w:val="auto"/>
          <w:sz w:val="40"/>
          <w:szCs w:val="40"/>
          <w:highlight w:val="none"/>
          <w:shd w:val="clear" w:color="auto" w:fill="auto"/>
          <w:lang w:val="en-US" w:eastAsia="zh-CN"/>
        </w:rPr>
      </w:pPr>
    </w:p>
    <w:p>
      <w:pPr>
        <w:spacing w:line="360" w:lineRule="auto"/>
        <w:ind w:left="-619" w:leftChars="-295" w:right="-672" w:rightChars="-320" w:firstLine="0" w:firstLineChars="0"/>
        <w:rPr>
          <w:rFonts w:hint="default" w:ascii="仿宋_GB2312" w:hAnsi="仿宋_GB2312" w:eastAsia="仿宋_GB2312" w:cs="仿宋_GB2312"/>
          <w:b/>
          <w:bCs/>
          <w:i w:val="0"/>
          <w:iCs w:val="0"/>
          <w:color w:val="000000" w:themeColor="text1"/>
          <w:sz w:val="24"/>
          <w:szCs w:val="24"/>
          <w:highlight w:val="none"/>
          <w:lang w:val="en-US" w:eastAsia="zh-CN"/>
          <w14:textFill>
            <w14:solidFill>
              <w14:schemeClr w14:val="tx1"/>
            </w14:solidFill>
          </w14:textFill>
        </w:rPr>
      </w:pPr>
    </w:p>
    <w:sectPr>
      <w:footerReference r:id="rId6"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35</w:t>
                          </w:r>
                          <w:r>
                            <w:t>页</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35</w:t>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2E3MmIxNzJhM2FkZTY2NjM3MjViOGNmZGZkM2Q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C41BB"/>
    <w:rsid w:val="00AE31A0"/>
    <w:rsid w:val="00B35E9C"/>
    <w:rsid w:val="00B92181"/>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863873"/>
    <w:rsid w:val="01B5752C"/>
    <w:rsid w:val="01B6046E"/>
    <w:rsid w:val="01BF37C7"/>
    <w:rsid w:val="01C04E49"/>
    <w:rsid w:val="01D26D8C"/>
    <w:rsid w:val="01E26C43"/>
    <w:rsid w:val="021C600F"/>
    <w:rsid w:val="022767E5"/>
    <w:rsid w:val="022C24DE"/>
    <w:rsid w:val="02313F99"/>
    <w:rsid w:val="02391BF0"/>
    <w:rsid w:val="024C0DD3"/>
    <w:rsid w:val="024E1742"/>
    <w:rsid w:val="024F7C95"/>
    <w:rsid w:val="02587777"/>
    <w:rsid w:val="027F2F56"/>
    <w:rsid w:val="02820350"/>
    <w:rsid w:val="02854A8C"/>
    <w:rsid w:val="028873DB"/>
    <w:rsid w:val="02994018"/>
    <w:rsid w:val="02B63659"/>
    <w:rsid w:val="02BF77F6"/>
    <w:rsid w:val="02D037B2"/>
    <w:rsid w:val="02D55869"/>
    <w:rsid w:val="02D768EE"/>
    <w:rsid w:val="02E1776D"/>
    <w:rsid w:val="02F45DBE"/>
    <w:rsid w:val="02FE1B0B"/>
    <w:rsid w:val="033E696D"/>
    <w:rsid w:val="03630182"/>
    <w:rsid w:val="036D65A5"/>
    <w:rsid w:val="03800D34"/>
    <w:rsid w:val="041E4304"/>
    <w:rsid w:val="04332207"/>
    <w:rsid w:val="04340622"/>
    <w:rsid w:val="04467C44"/>
    <w:rsid w:val="04562C00"/>
    <w:rsid w:val="04910D1F"/>
    <w:rsid w:val="049F343C"/>
    <w:rsid w:val="04AB1DE0"/>
    <w:rsid w:val="04B35139"/>
    <w:rsid w:val="04CE3287"/>
    <w:rsid w:val="04D53318"/>
    <w:rsid w:val="04DA0918"/>
    <w:rsid w:val="04DF3C4E"/>
    <w:rsid w:val="04E115DB"/>
    <w:rsid w:val="04E6106A"/>
    <w:rsid w:val="04E77D7D"/>
    <w:rsid w:val="04EB042F"/>
    <w:rsid w:val="04FB7762"/>
    <w:rsid w:val="04FF3EDA"/>
    <w:rsid w:val="050128A7"/>
    <w:rsid w:val="0513728D"/>
    <w:rsid w:val="051C4A8C"/>
    <w:rsid w:val="052027CE"/>
    <w:rsid w:val="05216546"/>
    <w:rsid w:val="053022E6"/>
    <w:rsid w:val="05657FDC"/>
    <w:rsid w:val="056B1570"/>
    <w:rsid w:val="059B1E55"/>
    <w:rsid w:val="05A101F3"/>
    <w:rsid w:val="05AB5E10"/>
    <w:rsid w:val="05AF3F7C"/>
    <w:rsid w:val="05D56967"/>
    <w:rsid w:val="05E732EC"/>
    <w:rsid w:val="05F9301F"/>
    <w:rsid w:val="05FA2136"/>
    <w:rsid w:val="06530982"/>
    <w:rsid w:val="06706AD8"/>
    <w:rsid w:val="06751268"/>
    <w:rsid w:val="06976105"/>
    <w:rsid w:val="06A66D03"/>
    <w:rsid w:val="06D31393"/>
    <w:rsid w:val="06DC2F7F"/>
    <w:rsid w:val="06ED4932"/>
    <w:rsid w:val="06F832D7"/>
    <w:rsid w:val="071716FC"/>
    <w:rsid w:val="07181283"/>
    <w:rsid w:val="073F4A62"/>
    <w:rsid w:val="07513FB1"/>
    <w:rsid w:val="07580BE5"/>
    <w:rsid w:val="075D56E6"/>
    <w:rsid w:val="07602D27"/>
    <w:rsid w:val="076646E5"/>
    <w:rsid w:val="07740BAF"/>
    <w:rsid w:val="07B436A2"/>
    <w:rsid w:val="07B9513E"/>
    <w:rsid w:val="07C02047"/>
    <w:rsid w:val="07E13D6B"/>
    <w:rsid w:val="07E31891"/>
    <w:rsid w:val="07F11F38"/>
    <w:rsid w:val="07F41CF0"/>
    <w:rsid w:val="07F61040"/>
    <w:rsid w:val="07FC5C21"/>
    <w:rsid w:val="081B54CF"/>
    <w:rsid w:val="081B70BC"/>
    <w:rsid w:val="083A6C4A"/>
    <w:rsid w:val="0844216B"/>
    <w:rsid w:val="085547A4"/>
    <w:rsid w:val="085C7B8E"/>
    <w:rsid w:val="086C4388"/>
    <w:rsid w:val="089112ED"/>
    <w:rsid w:val="08A6123D"/>
    <w:rsid w:val="08B374B6"/>
    <w:rsid w:val="08BC34BB"/>
    <w:rsid w:val="08D04EA3"/>
    <w:rsid w:val="08F24A3C"/>
    <w:rsid w:val="08F75BBB"/>
    <w:rsid w:val="08FA1588"/>
    <w:rsid w:val="090207D6"/>
    <w:rsid w:val="09644C54"/>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534ED"/>
    <w:rsid w:val="0A7964DD"/>
    <w:rsid w:val="0A8D3DBE"/>
    <w:rsid w:val="0A9A5DF0"/>
    <w:rsid w:val="0ACE6829"/>
    <w:rsid w:val="0AD45182"/>
    <w:rsid w:val="0AD62B48"/>
    <w:rsid w:val="0AFA3582"/>
    <w:rsid w:val="0B473C64"/>
    <w:rsid w:val="0B70650A"/>
    <w:rsid w:val="0B7A69B0"/>
    <w:rsid w:val="0BB45F68"/>
    <w:rsid w:val="0BB93035"/>
    <w:rsid w:val="0BD92D6E"/>
    <w:rsid w:val="0BD95485"/>
    <w:rsid w:val="0BDB7D38"/>
    <w:rsid w:val="0BE973BA"/>
    <w:rsid w:val="0BFA3699"/>
    <w:rsid w:val="0C125258"/>
    <w:rsid w:val="0C177688"/>
    <w:rsid w:val="0C1D2B00"/>
    <w:rsid w:val="0C4D2770"/>
    <w:rsid w:val="0C5B0CCA"/>
    <w:rsid w:val="0C711B61"/>
    <w:rsid w:val="0C821608"/>
    <w:rsid w:val="0C945850"/>
    <w:rsid w:val="0C9B273A"/>
    <w:rsid w:val="0CBC5C8A"/>
    <w:rsid w:val="0CC04DC6"/>
    <w:rsid w:val="0CC9374C"/>
    <w:rsid w:val="0CCA5228"/>
    <w:rsid w:val="0CE1709F"/>
    <w:rsid w:val="0CFA729E"/>
    <w:rsid w:val="0D006A41"/>
    <w:rsid w:val="0D0522AA"/>
    <w:rsid w:val="0D077DD0"/>
    <w:rsid w:val="0D162709"/>
    <w:rsid w:val="0D186481"/>
    <w:rsid w:val="0D1E6F0B"/>
    <w:rsid w:val="0D421949"/>
    <w:rsid w:val="0D4536A9"/>
    <w:rsid w:val="0D5D20E6"/>
    <w:rsid w:val="0D723345"/>
    <w:rsid w:val="0D8B6C53"/>
    <w:rsid w:val="0D92142B"/>
    <w:rsid w:val="0D9553DC"/>
    <w:rsid w:val="0D964F5E"/>
    <w:rsid w:val="0DAE068F"/>
    <w:rsid w:val="0DAE649D"/>
    <w:rsid w:val="0DBB3044"/>
    <w:rsid w:val="0DD51C7C"/>
    <w:rsid w:val="0DD56120"/>
    <w:rsid w:val="0DD95C10"/>
    <w:rsid w:val="0DF51C0D"/>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34AB0"/>
    <w:rsid w:val="0EFD148A"/>
    <w:rsid w:val="0F0F5CAE"/>
    <w:rsid w:val="0F1242BB"/>
    <w:rsid w:val="0F3050A6"/>
    <w:rsid w:val="0F450AC6"/>
    <w:rsid w:val="0F465E76"/>
    <w:rsid w:val="0F706264"/>
    <w:rsid w:val="0F9A1418"/>
    <w:rsid w:val="0FA17752"/>
    <w:rsid w:val="0FAE612C"/>
    <w:rsid w:val="0FB22358"/>
    <w:rsid w:val="0FD04948"/>
    <w:rsid w:val="0FDC5544"/>
    <w:rsid w:val="0FF9577E"/>
    <w:rsid w:val="102F2DAB"/>
    <w:rsid w:val="10352EA6"/>
    <w:rsid w:val="108674CF"/>
    <w:rsid w:val="10922D88"/>
    <w:rsid w:val="109E0A4B"/>
    <w:rsid w:val="10A145F0"/>
    <w:rsid w:val="10A14840"/>
    <w:rsid w:val="10A23752"/>
    <w:rsid w:val="10D40911"/>
    <w:rsid w:val="10D80992"/>
    <w:rsid w:val="11243FFF"/>
    <w:rsid w:val="113718BF"/>
    <w:rsid w:val="11395884"/>
    <w:rsid w:val="11407F98"/>
    <w:rsid w:val="11557E4D"/>
    <w:rsid w:val="11565855"/>
    <w:rsid w:val="11665A0D"/>
    <w:rsid w:val="11733AE4"/>
    <w:rsid w:val="1188642D"/>
    <w:rsid w:val="11D01CF9"/>
    <w:rsid w:val="11D05C06"/>
    <w:rsid w:val="11EB7CC0"/>
    <w:rsid w:val="11F67404"/>
    <w:rsid w:val="12077CFA"/>
    <w:rsid w:val="121B43BF"/>
    <w:rsid w:val="12271A49"/>
    <w:rsid w:val="122907E8"/>
    <w:rsid w:val="122C7D0D"/>
    <w:rsid w:val="12352D67"/>
    <w:rsid w:val="124205D1"/>
    <w:rsid w:val="12635AA8"/>
    <w:rsid w:val="12696E37"/>
    <w:rsid w:val="126E62DF"/>
    <w:rsid w:val="127952CC"/>
    <w:rsid w:val="127E0B34"/>
    <w:rsid w:val="12855AA9"/>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4092680"/>
    <w:rsid w:val="14301B15"/>
    <w:rsid w:val="1433594E"/>
    <w:rsid w:val="14564D5E"/>
    <w:rsid w:val="14661880"/>
    <w:rsid w:val="14726477"/>
    <w:rsid w:val="14870CC8"/>
    <w:rsid w:val="148E7ADC"/>
    <w:rsid w:val="1492781C"/>
    <w:rsid w:val="1499025C"/>
    <w:rsid w:val="149B6797"/>
    <w:rsid w:val="149D66D9"/>
    <w:rsid w:val="149D7870"/>
    <w:rsid w:val="149E531C"/>
    <w:rsid w:val="14B678F8"/>
    <w:rsid w:val="14C41530"/>
    <w:rsid w:val="14E07884"/>
    <w:rsid w:val="14F15522"/>
    <w:rsid w:val="150337D5"/>
    <w:rsid w:val="1504174F"/>
    <w:rsid w:val="150F3CC6"/>
    <w:rsid w:val="152F6751"/>
    <w:rsid w:val="1553452D"/>
    <w:rsid w:val="15542020"/>
    <w:rsid w:val="156156EE"/>
    <w:rsid w:val="156F29B6"/>
    <w:rsid w:val="157E0E4B"/>
    <w:rsid w:val="158263AD"/>
    <w:rsid w:val="158C60B3"/>
    <w:rsid w:val="158F501B"/>
    <w:rsid w:val="159452FD"/>
    <w:rsid w:val="15A9794A"/>
    <w:rsid w:val="15AB60E4"/>
    <w:rsid w:val="15AC2665"/>
    <w:rsid w:val="15B036FB"/>
    <w:rsid w:val="15B14B22"/>
    <w:rsid w:val="15BA33B1"/>
    <w:rsid w:val="15CD0276"/>
    <w:rsid w:val="15DB3A80"/>
    <w:rsid w:val="15E16D7A"/>
    <w:rsid w:val="15E46F00"/>
    <w:rsid w:val="15FE0734"/>
    <w:rsid w:val="16041350"/>
    <w:rsid w:val="16151C72"/>
    <w:rsid w:val="161A23FF"/>
    <w:rsid w:val="161F43DC"/>
    <w:rsid w:val="16290B92"/>
    <w:rsid w:val="16297009"/>
    <w:rsid w:val="16343A70"/>
    <w:rsid w:val="16411B20"/>
    <w:rsid w:val="165A618B"/>
    <w:rsid w:val="165C2217"/>
    <w:rsid w:val="167069E6"/>
    <w:rsid w:val="167A1613"/>
    <w:rsid w:val="167D7D71"/>
    <w:rsid w:val="169E5ECA"/>
    <w:rsid w:val="16A3500D"/>
    <w:rsid w:val="16A90B55"/>
    <w:rsid w:val="16B36AE1"/>
    <w:rsid w:val="16C15493"/>
    <w:rsid w:val="16C855AF"/>
    <w:rsid w:val="16E42F30"/>
    <w:rsid w:val="16ED4897"/>
    <w:rsid w:val="16FE0496"/>
    <w:rsid w:val="16FE2244"/>
    <w:rsid w:val="172A0C99"/>
    <w:rsid w:val="173C0FBE"/>
    <w:rsid w:val="174C7453"/>
    <w:rsid w:val="17822E75"/>
    <w:rsid w:val="179A1DCD"/>
    <w:rsid w:val="179F296D"/>
    <w:rsid w:val="17A15E0B"/>
    <w:rsid w:val="17AF1790"/>
    <w:rsid w:val="17DE3E23"/>
    <w:rsid w:val="17E53404"/>
    <w:rsid w:val="17EC5092"/>
    <w:rsid w:val="1811244B"/>
    <w:rsid w:val="18187335"/>
    <w:rsid w:val="181D494B"/>
    <w:rsid w:val="183B7D55"/>
    <w:rsid w:val="183C2E3A"/>
    <w:rsid w:val="183D3240"/>
    <w:rsid w:val="18416A30"/>
    <w:rsid w:val="186E09C7"/>
    <w:rsid w:val="18937310"/>
    <w:rsid w:val="189E4F3F"/>
    <w:rsid w:val="18BE792B"/>
    <w:rsid w:val="18CB6A1D"/>
    <w:rsid w:val="18F224FA"/>
    <w:rsid w:val="18FC77C6"/>
    <w:rsid w:val="190D49C0"/>
    <w:rsid w:val="19147224"/>
    <w:rsid w:val="191D4341"/>
    <w:rsid w:val="19206CA1"/>
    <w:rsid w:val="19265A82"/>
    <w:rsid w:val="1938288F"/>
    <w:rsid w:val="19597C05"/>
    <w:rsid w:val="195C7136"/>
    <w:rsid w:val="19705D48"/>
    <w:rsid w:val="197762DD"/>
    <w:rsid w:val="19786A87"/>
    <w:rsid w:val="198B5F6F"/>
    <w:rsid w:val="19A05834"/>
    <w:rsid w:val="19A1648E"/>
    <w:rsid w:val="19B1359D"/>
    <w:rsid w:val="19B24E93"/>
    <w:rsid w:val="19B25567"/>
    <w:rsid w:val="19B7455F"/>
    <w:rsid w:val="19DB4ABE"/>
    <w:rsid w:val="1A015E61"/>
    <w:rsid w:val="1A0667DD"/>
    <w:rsid w:val="1A1B00A3"/>
    <w:rsid w:val="1A366BD3"/>
    <w:rsid w:val="1A402B73"/>
    <w:rsid w:val="1A766342"/>
    <w:rsid w:val="1A903AFB"/>
    <w:rsid w:val="1AA475A6"/>
    <w:rsid w:val="1AC11F06"/>
    <w:rsid w:val="1ACC0721"/>
    <w:rsid w:val="1B022F94"/>
    <w:rsid w:val="1B310517"/>
    <w:rsid w:val="1B3C1FFD"/>
    <w:rsid w:val="1B9118D8"/>
    <w:rsid w:val="1BA16335"/>
    <w:rsid w:val="1BA57132"/>
    <w:rsid w:val="1BA6218E"/>
    <w:rsid w:val="1BAD5FE6"/>
    <w:rsid w:val="1BB13D28"/>
    <w:rsid w:val="1BCE59A7"/>
    <w:rsid w:val="1BDF0508"/>
    <w:rsid w:val="1BE177E6"/>
    <w:rsid w:val="1BEE6D2B"/>
    <w:rsid w:val="1BF5598D"/>
    <w:rsid w:val="1C116575"/>
    <w:rsid w:val="1C163B8C"/>
    <w:rsid w:val="1C305105"/>
    <w:rsid w:val="1C4A1A87"/>
    <w:rsid w:val="1C547B70"/>
    <w:rsid w:val="1C700BEF"/>
    <w:rsid w:val="1C7B17FA"/>
    <w:rsid w:val="1C8431EB"/>
    <w:rsid w:val="1C896A53"/>
    <w:rsid w:val="1C972259"/>
    <w:rsid w:val="1C9D20E2"/>
    <w:rsid w:val="1CA05B4B"/>
    <w:rsid w:val="1CB11B06"/>
    <w:rsid w:val="1CBF2781"/>
    <w:rsid w:val="1CC306E9"/>
    <w:rsid w:val="1CD70D11"/>
    <w:rsid w:val="1CDF09E4"/>
    <w:rsid w:val="1CF42E6E"/>
    <w:rsid w:val="1CF70848"/>
    <w:rsid w:val="1D085BCA"/>
    <w:rsid w:val="1D104A7F"/>
    <w:rsid w:val="1D1074B6"/>
    <w:rsid w:val="1D3C4BFB"/>
    <w:rsid w:val="1D444728"/>
    <w:rsid w:val="1D7711E5"/>
    <w:rsid w:val="1D785D10"/>
    <w:rsid w:val="1D8D5398"/>
    <w:rsid w:val="1DC36C05"/>
    <w:rsid w:val="1DD26A50"/>
    <w:rsid w:val="1DE611EC"/>
    <w:rsid w:val="1DEB0CCB"/>
    <w:rsid w:val="1DFB128B"/>
    <w:rsid w:val="1E052B8D"/>
    <w:rsid w:val="1E0D7210"/>
    <w:rsid w:val="1E35555F"/>
    <w:rsid w:val="1E481B8A"/>
    <w:rsid w:val="1E641526"/>
    <w:rsid w:val="1E6B19BE"/>
    <w:rsid w:val="1E8A02A3"/>
    <w:rsid w:val="1E933BB9"/>
    <w:rsid w:val="1ECE2E43"/>
    <w:rsid w:val="1EE518CA"/>
    <w:rsid w:val="1EF1268E"/>
    <w:rsid w:val="1EFE4EDD"/>
    <w:rsid w:val="1F026649"/>
    <w:rsid w:val="1F11775E"/>
    <w:rsid w:val="1F1464D9"/>
    <w:rsid w:val="1F176598"/>
    <w:rsid w:val="1F417171"/>
    <w:rsid w:val="1F437CC6"/>
    <w:rsid w:val="1F444EB4"/>
    <w:rsid w:val="1F4F074B"/>
    <w:rsid w:val="1F5A6485"/>
    <w:rsid w:val="1F6D6E09"/>
    <w:rsid w:val="1F881E32"/>
    <w:rsid w:val="1F8D23B7"/>
    <w:rsid w:val="1FB35FEC"/>
    <w:rsid w:val="1FB45B95"/>
    <w:rsid w:val="1FC3519E"/>
    <w:rsid w:val="1FF57B15"/>
    <w:rsid w:val="202076CF"/>
    <w:rsid w:val="202D3B9A"/>
    <w:rsid w:val="20305F21"/>
    <w:rsid w:val="203B28A1"/>
    <w:rsid w:val="204A474C"/>
    <w:rsid w:val="20541126"/>
    <w:rsid w:val="20542ED4"/>
    <w:rsid w:val="2063580D"/>
    <w:rsid w:val="20644136"/>
    <w:rsid w:val="20695B32"/>
    <w:rsid w:val="207B343E"/>
    <w:rsid w:val="20801F1B"/>
    <w:rsid w:val="20994D8B"/>
    <w:rsid w:val="20B35E4D"/>
    <w:rsid w:val="20BB73F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F05CF"/>
    <w:rsid w:val="22205764"/>
    <w:rsid w:val="224D407F"/>
    <w:rsid w:val="225275BA"/>
    <w:rsid w:val="225E003A"/>
    <w:rsid w:val="227B299A"/>
    <w:rsid w:val="227E692E"/>
    <w:rsid w:val="22801FB0"/>
    <w:rsid w:val="22873A35"/>
    <w:rsid w:val="228E4923"/>
    <w:rsid w:val="228F6446"/>
    <w:rsid w:val="22910410"/>
    <w:rsid w:val="229210CE"/>
    <w:rsid w:val="22AE65BE"/>
    <w:rsid w:val="22B63195"/>
    <w:rsid w:val="22C70F1F"/>
    <w:rsid w:val="22DB079D"/>
    <w:rsid w:val="22DF73CD"/>
    <w:rsid w:val="22E5250A"/>
    <w:rsid w:val="22F369D5"/>
    <w:rsid w:val="22F616B5"/>
    <w:rsid w:val="22FD0E5C"/>
    <w:rsid w:val="230778C7"/>
    <w:rsid w:val="231400F2"/>
    <w:rsid w:val="231A510B"/>
    <w:rsid w:val="235F406A"/>
    <w:rsid w:val="236A7616"/>
    <w:rsid w:val="236F7F68"/>
    <w:rsid w:val="2374647C"/>
    <w:rsid w:val="237C3267"/>
    <w:rsid w:val="237C5CD4"/>
    <w:rsid w:val="23A21A79"/>
    <w:rsid w:val="23A3664D"/>
    <w:rsid w:val="23BC326A"/>
    <w:rsid w:val="23BD72DF"/>
    <w:rsid w:val="23DA1E7B"/>
    <w:rsid w:val="23E629DD"/>
    <w:rsid w:val="23E7405F"/>
    <w:rsid w:val="23EA5501"/>
    <w:rsid w:val="24156E1F"/>
    <w:rsid w:val="243E45C7"/>
    <w:rsid w:val="2475240E"/>
    <w:rsid w:val="247955FF"/>
    <w:rsid w:val="24961E78"/>
    <w:rsid w:val="249A6459"/>
    <w:rsid w:val="249F7859"/>
    <w:rsid w:val="24B56686"/>
    <w:rsid w:val="24D665AE"/>
    <w:rsid w:val="24DE36B4"/>
    <w:rsid w:val="25201F1F"/>
    <w:rsid w:val="254C15F2"/>
    <w:rsid w:val="255B2F57"/>
    <w:rsid w:val="256A6BDA"/>
    <w:rsid w:val="256E456D"/>
    <w:rsid w:val="258A399C"/>
    <w:rsid w:val="25B34B41"/>
    <w:rsid w:val="26086C3B"/>
    <w:rsid w:val="261920D8"/>
    <w:rsid w:val="261B0492"/>
    <w:rsid w:val="261D14CE"/>
    <w:rsid w:val="26254703"/>
    <w:rsid w:val="26415CA9"/>
    <w:rsid w:val="26492DAF"/>
    <w:rsid w:val="264D0AF2"/>
    <w:rsid w:val="26571970"/>
    <w:rsid w:val="26655E3B"/>
    <w:rsid w:val="26DC30FF"/>
    <w:rsid w:val="26E75394"/>
    <w:rsid w:val="270B4948"/>
    <w:rsid w:val="27215AAC"/>
    <w:rsid w:val="2723400E"/>
    <w:rsid w:val="273E668C"/>
    <w:rsid w:val="274041B2"/>
    <w:rsid w:val="27594AEA"/>
    <w:rsid w:val="275F5A8A"/>
    <w:rsid w:val="27767BD4"/>
    <w:rsid w:val="27B8643F"/>
    <w:rsid w:val="27C132F1"/>
    <w:rsid w:val="27CB7D80"/>
    <w:rsid w:val="27CD1F54"/>
    <w:rsid w:val="27D86AE1"/>
    <w:rsid w:val="27DD7C53"/>
    <w:rsid w:val="27E014F2"/>
    <w:rsid w:val="281F201A"/>
    <w:rsid w:val="283F090E"/>
    <w:rsid w:val="2844798D"/>
    <w:rsid w:val="28687E00"/>
    <w:rsid w:val="28691716"/>
    <w:rsid w:val="287B7E23"/>
    <w:rsid w:val="2897692D"/>
    <w:rsid w:val="289877FF"/>
    <w:rsid w:val="28C64B8B"/>
    <w:rsid w:val="28CD5F1A"/>
    <w:rsid w:val="28D366FF"/>
    <w:rsid w:val="28D9669A"/>
    <w:rsid w:val="28DF697D"/>
    <w:rsid w:val="28E16A93"/>
    <w:rsid w:val="291458F7"/>
    <w:rsid w:val="29243F86"/>
    <w:rsid w:val="292E52CB"/>
    <w:rsid w:val="297B7724"/>
    <w:rsid w:val="29826D04"/>
    <w:rsid w:val="29900559"/>
    <w:rsid w:val="29B6075C"/>
    <w:rsid w:val="29D532D8"/>
    <w:rsid w:val="29EE6148"/>
    <w:rsid w:val="29FB219D"/>
    <w:rsid w:val="2A157B78"/>
    <w:rsid w:val="2A5A558B"/>
    <w:rsid w:val="2A663F30"/>
    <w:rsid w:val="2A6B59EA"/>
    <w:rsid w:val="2A8D5961"/>
    <w:rsid w:val="2A957654"/>
    <w:rsid w:val="2AD92954"/>
    <w:rsid w:val="2AEA2DB3"/>
    <w:rsid w:val="2AEC6B2B"/>
    <w:rsid w:val="2B0B4446"/>
    <w:rsid w:val="2B0B5F38"/>
    <w:rsid w:val="2B230BF3"/>
    <w:rsid w:val="2B471FB3"/>
    <w:rsid w:val="2B676CD8"/>
    <w:rsid w:val="2B6E0B76"/>
    <w:rsid w:val="2B88437A"/>
    <w:rsid w:val="2B88534B"/>
    <w:rsid w:val="2BB4516F"/>
    <w:rsid w:val="2BCD2F8E"/>
    <w:rsid w:val="2BE55328"/>
    <w:rsid w:val="2BFF463C"/>
    <w:rsid w:val="2C0E487F"/>
    <w:rsid w:val="2C133886"/>
    <w:rsid w:val="2C161986"/>
    <w:rsid w:val="2C180916"/>
    <w:rsid w:val="2C1E35F3"/>
    <w:rsid w:val="2C210A56"/>
    <w:rsid w:val="2C35005E"/>
    <w:rsid w:val="2C4F5B19"/>
    <w:rsid w:val="2C505CDF"/>
    <w:rsid w:val="2C521589"/>
    <w:rsid w:val="2C526E62"/>
    <w:rsid w:val="2C5524AE"/>
    <w:rsid w:val="2C6E3292"/>
    <w:rsid w:val="2C7E4AF1"/>
    <w:rsid w:val="2C862B2D"/>
    <w:rsid w:val="2C8974AE"/>
    <w:rsid w:val="2C901738"/>
    <w:rsid w:val="2C9651E0"/>
    <w:rsid w:val="2C9E07D1"/>
    <w:rsid w:val="2CA034F5"/>
    <w:rsid w:val="2CA64AB8"/>
    <w:rsid w:val="2CC118F2"/>
    <w:rsid w:val="2CD34A44"/>
    <w:rsid w:val="2CD47877"/>
    <w:rsid w:val="2CE101E6"/>
    <w:rsid w:val="2CEB1DDF"/>
    <w:rsid w:val="2CF00E40"/>
    <w:rsid w:val="2CF96C08"/>
    <w:rsid w:val="2CFF066C"/>
    <w:rsid w:val="2D2360D5"/>
    <w:rsid w:val="2D3575D7"/>
    <w:rsid w:val="2D392A9A"/>
    <w:rsid w:val="2D3F2720"/>
    <w:rsid w:val="2D6A3D37"/>
    <w:rsid w:val="2D6F47E3"/>
    <w:rsid w:val="2D8017AD"/>
    <w:rsid w:val="2D9F4519"/>
    <w:rsid w:val="2DB43204"/>
    <w:rsid w:val="2DB54923"/>
    <w:rsid w:val="2DBF6A28"/>
    <w:rsid w:val="2DC75DE6"/>
    <w:rsid w:val="2DD04934"/>
    <w:rsid w:val="2DDB4BC1"/>
    <w:rsid w:val="2E0F2B31"/>
    <w:rsid w:val="2E220AB6"/>
    <w:rsid w:val="2E232138"/>
    <w:rsid w:val="2E255EB0"/>
    <w:rsid w:val="2E3A7D96"/>
    <w:rsid w:val="2E4427DA"/>
    <w:rsid w:val="2E5C5D76"/>
    <w:rsid w:val="2E5D389C"/>
    <w:rsid w:val="2E630C84"/>
    <w:rsid w:val="2E641B42"/>
    <w:rsid w:val="2E84600A"/>
    <w:rsid w:val="2E956466"/>
    <w:rsid w:val="2EA15273"/>
    <w:rsid w:val="2EBF37A7"/>
    <w:rsid w:val="2EBF4B0B"/>
    <w:rsid w:val="2ED26038"/>
    <w:rsid w:val="2ED86F63"/>
    <w:rsid w:val="2EED10C4"/>
    <w:rsid w:val="2EF7784D"/>
    <w:rsid w:val="2EFA10EB"/>
    <w:rsid w:val="2EFB21A9"/>
    <w:rsid w:val="2F1A353B"/>
    <w:rsid w:val="2F212B1B"/>
    <w:rsid w:val="2F330B37"/>
    <w:rsid w:val="2F3C1703"/>
    <w:rsid w:val="2F407445"/>
    <w:rsid w:val="2F544C9F"/>
    <w:rsid w:val="2F5702EB"/>
    <w:rsid w:val="2F6F0666"/>
    <w:rsid w:val="2F860BD0"/>
    <w:rsid w:val="2F904E2B"/>
    <w:rsid w:val="2F927575"/>
    <w:rsid w:val="2FF574A1"/>
    <w:rsid w:val="300246FB"/>
    <w:rsid w:val="301D42EF"/>
    <w:rsid w:val="30240B15"/>
    <w:rsid w:val="30250D25"/>
    <w:rsid w:val="3025488D"/>
    <w:rsid w:val="302B0671"/>
    <w:rsid w:val="3044084D"/>
    <w:rsid w:val="30644D23"/>
    <w:rsid w:val="30894E1C"/>
    <w:rsid w:val="308D7EEF"/>
    <w:rsid w:val="308E3881"/>
    <w:rsid w:val="30A848CD"/>
    <w:rsid w:val="30B05F05"/>
    <w:rsid w:val="30CD3408"/>
    <w:rsid w:val="30CF4EA4"/>
    <w:rsid w:val="30D616E4"/>
    <w:rsid w:val="30F57DBC"/>
    <w:rsid w:val="30FA3624"/>
    <w:rsid w:val="31002A27"/>
    <w:rsid w:val="310A4AEB"/>
    <w:rsid w:val="310D2023"/>
    <w:rsid w:val="313308E4"/>
    <w:rsid w:val="313D0B39"/>
    <w:rsid w:val="314D7BF8"/>
    <w:rsid w:val="3163741B"/>
    <w:rsid w:val="3177076A"/>
    <w:rsid w:val="31857392"/>
    <w:rsid w:val="318E1BB8"/>
    <w:rsid w:val="319475D5"/>
    <w:rsid w:val="319976C6"/>
    <w:rsid w:val="319A711F"/>
    <w:rsid w:val="31A15954"/>
    <w:rsid w:val="31AC5F7F"/>
    <w:rsid w:val="31D840B5"/>
    <w:rsid w:val="31E46E3B"/>
    <w:rsid w:val="320643AF"/>
    <w:rsid w:val="32130E41"/>
    <w:rsid w:val="322841C1"/>
    <w:rsid w:val="322D6302"/>
    <w:rsid w:val="32562ADC"/>
    <w:rsid w:val="326F46E0"/>
    <w:rsid w:val="3277206D"/>
    <w:rsid w:val="327A3BC6"/>
    <w:rsid w:val="327D450D"/>
    <w:rsid w:val="327F745D"/>
    <w:rsid w:val="3284589B"/>
    <w:rsid w:val="328E671A"/>
    <w:rsid w:val="32990C1B"/>
    <w:rsid w:val="32AA5062"/>
    <w:rsid w:val="32C24615"/>
    <w:rsid w:val="32CB013A"/>
    <w:rsid w:val="32D3412D"/>
    <w:rsid w:val="32E32F1F"/>
    <w:rsid w:val="32E4458C"/>
    <w:rsid w:val="32E8120D"/>
    <w:rsid w:val="32F347CF"/>
    <w:rsid w:val="32F848CB"/>
    <w:rsid w:val="33007B2E"/>
    <w:rsid w:val="330306C4"/>
    <w:rsid w:val="330B1B18"/>
    <w:rsid w:val="33292A5A"/>
    <w:rsid w:val="333368B2"/>
    <w:rsid w:val="33372EAB"/>
    <w:rsid w:val="3341378C"/>
    <w:rsid w:val="334C66DF"/>
    <w:rsid w:val="335C4122"/>
    <w:rsid w:val="335D1989"/>
    <w:rsid w:val="33786E01"/>
    <w:rsid w:val="337A0A4C"/>
    <w:rsid w:val="337A388B"/>
    <w:rsid w:val="33911204"/>
    <w:rsid w:val="33AF3D68"/>
    <w:rsid w:val="33AF6666"/>
    <w:rsid w:val="33BE6F4E"/>
    <w:rsid w:val="33C63C91"/>
    <w:rsid w:val="33CB572B"/>
    <w:rsid w:val="33CE657B"/>
    <w:rsid w:val="33EA3E24"/>
    <w:rsid w:val="33EC7B9C"/>
    <w:rsid w:val="33FB0977"/>
    <w:rsid w:val="34034EE6"/>
    <w:rsid w:val="340842AA"/>
    <w:rsid w:val="340D1F55"/>
    <w:rsid w:val="341C53BA"/>
    <w:rsid w:val="342C131A"/>
    <w:rsid w:val="34312EC5"/>
    <w:rsid w:val="344A041F"/>
    <w:rsid w:val="34560A62"/>
    <w:rsid w:val="34661EED"/>
    <w:rsid w:val="347C39A8"/>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A95FA6"/>
    <w:rsid w:val="35BC7A10"/>
    <w:rsid w:val="35BE2E72"/>
    <w:rsid w:val="35C32BDC"/>
    <w:rsid w:val="35D5640E"/>
    <w:rsid w:val="363F7DC0"/>
    <w:rsid w:val="364610BA"/>
    <w:rsid w:val="36724494"/>
    <w:rsid w:val="3679649B"/>
    <w:rsid w:val="367D0F7F"/>
    <w:rsid w:val="36826C31"/>
    <w:rsid w:val="368F0CBF"/>
    <w:rsid w:val="36916FED"/>
    <w:rsid w:val="36A469C4"/>
    <w:rsid w:val="36A521D9"/>
    <w:rsid w:val="36F55EAA"/>
    <w:rsid w:val="370132C0"/>
    <w:rsid w:val="370F0532"/>
    <w:rsid w:val="372B09DB"/>
    <w:rsid w:val="372B3383"/>
    <w:rsid w:val="37763F45"/>
    <w:rsid w:val="3784095E"/>
    <w:rsid w:val="37895E9F"/>
    <w:rsid w:val="37E40B8A"/>
    <w:rsid w:val="37EA2644"/>
    <w:rsid w:val="37EB1F18"/>
    <w:rsid w:val="38044D88"/>
    <w:rsid w:val="3806031D"/>
    <w:rsid w:val="382C513A"/>
    <w:rsid w:val="38417D8A"/>
    <w:rsid w:val="3842422E"/>
    <w:rsid w:val="38526F7A"/>
    <w:rsid w:val="387A2F34"/>
    <w:rsid w:val="387C555A"/>
    <w:rsid w:val="387E2D8D"/>
    <w:rsid w:val="389C521D"/>
    <w:rsid w:val="38B67A98"/>
    <w:rsid w:val="38E057F5"/>
    <w:rsid w:val="38E52970"/>
    <w:rsid w:val="38EA21D0"/>
    <w:rsid w:val="38F372D7"/>
    <w:rsid w:val="38F65019"/>
    <w:rsid w:val="38FB43DD"/>
    <w:rsid w:val="390F44C3"/>
    <w:rsid w:val="39641F82"/>
    <w:rsid w:val="39684912"/>
    <w:rsid w:val="397441F3"/>
    <w:rsid w:val="398919E9"/>
    <w:rsid w:val="39A16C97"/>
    <w:rsid w:val="39A24859"/>
    <w:rsid w:val="39A56B84"/>
    <w:rsid w:val="39A77BB2"/>
    <w:rsid w:val="39AD5743"/>
    <w:rsid w:val="39BE5B37"/>
    <w:rsid w:val="39CD1EE3"/>
    <w:rsid w:val="39CD78A2"/>
    <w:rsid w:val="39D1471A"/>
    <w:rsid w:val="39DA31B6"/>
    <w:rsid w:val="39ED6FFB"/>
    <w:rsid w:val="3A1D25B8"/>
    <w:rsid w:val="3A455B54"/>
    <w:rsid w:val="3A81200E"/>
    <w:rsid w:val="3A850402"/>
    <w:rsid w:val="3A9C399E"/>
    <w:rsid w:val="3AA52E29"/>
    <w:rsid w:val="3AA91B3C"/>
    <w:rsid w:val="3ABB7AA2"/>
    <w:rsid w:val="3ACE7FFB"/>
    <w:rsid w:val="3AD1189A"/>
    <w:rsid w:val="3AD62A0C"/>
    <w:rsid w:val="3AFD68A7"/>
    <w:rsid w:val="3B1F45BC"/>
    <w:rsid w:val="3B255741"/>
    <w:rsid w:val="3B345984"/>
    <w:rsid w:val="3B36794F"/>
    <w:rsid w:val="3B367AA6"/>
    <w:rsid w:val="3B437161"/>
    <w:rsid w:val="3B450A85"/>
    <w:rsid w:val="3B506C62"/>
    <w:rsid w:val="3B514FD2"/>
    <w:rsid w:val="3B693880"/>
    <w:rsid w:val="3B854AB6"/>
    <w:rsid w:val="3B8E1539"/>
    <w:rsid w:val="3B9D177C"/>
    <w:rsid w:val="3BA046F2"/>
    <w:rsid w:val="3BA50630"/>
    <w:rsid w:val="3BD80550"/>
    <w:rsid w:val="3BE31551"/>
    <w:rsid w:val="3BE56E1B"/>
    <w:rsid w:val="3BED2DB3"/>
    <w:rsid w:val="3C06053D"/>
    <w:rsid w:val="3C215F09"/>
    <w:rsid w:val="3C436B55"/>
    <w:rsid w:val="3C595E61"/>
    <w:rsid w:val="3C622D83"/>
    <w:rsid w:val="3C722AD6"/>
    <w:rsid w:val="3C7324DC"/>
    <w:rsid w:val="3CAA7145"/>
    <w:rsid w:val="3CB74ABF"/>
    <w:rsid w:val="3CC0618E"/>
    <w:rsid w:val="3CC35212"/>
    <w:rsid w:val="3CC828E4"/>
    <w:rsid w:val="3CD14C56"/>
    <w:rsid w:val="3CD25455"/>
    <w:rsid w:val="3CD4741F"/>
    <w:rsid w:val="3CD87391"/>
    <w:rsid w:val="3D1D70A7"/>
    <w:rsid w:val="3D2263DC"/>
    <w:rsid w:val="3D2C1009"/>
    <w:rsid w:val="3D502922"/>
    <w:rsid w:val="3D5A545D"/>
    <w:rsid w:val="3D605157"/>
    <w:rsid w:val="3DA212CB"/>
    <w:rsid w:val="3DE53203"/>
    <w:rsid w:val="3DE60DD6"/>
    <w:rsid w:val="3DEA0B3C"/>
    <w:rsid w:val="3E004349"/>
    <w:rsid w:val="3E0F7B1D"/>
    <w:rsid w:val="3E234AB8"/>
    <w:rsid w:val="3E32264F"/>
    <w:rsid w:val="3E4009FD"/>
    <w:rsid w:val="3E444130"/>
    <w:rsid w:val="3E524A87"/>
    <w:rsid w:val="3E5C1BAD"/>
    <w:rsid w:val="3E9230EE"/>
    <w:rsid w:val="3E9F6F17"/>
    <w:rsid w:val="3EA37CD2"/>
    <w:rsid w:val="3ED656D0"/>
    <w:rsid w:val="3EDF3E59"/>
    <w:rsid w:val="3EE06168"/>
    <w:rsid w:val="3EE85404"/>
    <w:rsid w:val="3EED2C7E"/>
    <w:rsid w:val="3F141725"/>
    <w:rsid w:val="3F1B1335"/>
    <w:rsid w:val="3F200257"/>
    <w:rsid w:val="3F286DBF"/>
    <w:rsid w:val="3F4D34B9"/>
    <w:rsid w:val="3F5C4CEB"/>
    <w:rsid w:val="3F8D1475"/>
    <w:rsid w:val="3F975C22"/>
    <w:rsid w:val="3FA70E1B"/>
    <w:rsid w:val="3FB5178A"/>
    <w:rsid w:val="3FC64109"/>
    <w:rsid w:val="3FCC77A7"/>
    <w:rsid w:val="3FD65247"/>
    <w:rsid w:val="3FD81621"/>
    <w:rsid w:val="3FDB385A"/>
    <w:rsid w:val="3FDF6807"/>
    <w:rsid w:val="3FE23C01"/>
    <w:rsid w:val="3FE3145D"/>
    <w:rsid w:val="3FE35525"/>
    <w:rsid w:val="3FE71217"/>
    <w:rsid w:val="3FFF4431"/>
    <w:rsid w:val="40061FE5"/>
    <w:rsid w:val="400E0CEC"/>
    <w:rsid w:val="4022565B"/>
    <w:rsid w:val="402266F3"/>
    <w:rsid w:val="403629A3"/>
    <w:rsid w:val="403B122D"/>
    <w:rsid w:val="404B007A"/>
    <w:rsid w:val="405A7C3B"/>
    <w:rsid w:val="405B7334"/>
    <w:rsid w:val="405C70C5"/>
    <w:rsid w:val="406B3BF6"/>
    <w:rsid w:val="40B65678"/>
    <w:rsid w:val="40C31C84"/>
    <w:rsid w:val="40CD2BBC"/>
    <w:rsid w:val="40CE74E8"/>
    <w:rsid w:val="40D05B99"/>
    <w:rsid w:val="40D55514"/>
    <w:rsid w:val="40D7128C"/>
    <w:rsid w:val="40FE0F0E"/>
    <w:rsid w:val="41390199"/>
    <w:rsid w:val="41561B7B"/>
    <w:rsid w:val="415D5C35"/>
    <w:rsid w:val="415F2382"/>
    <w:rsid w:val="41644CA3"/>
    <w:rsid w:val="417C604D"/>
    <w:rsid w:val="418238EE"/>
    <w:rsid w:val="418C651A"/>
    <w:rsid w:val="41C47F76"/>
    <w:rsid w:val="41DF75B5"/>
    <w:rsid w:val="41F3051E"/>
    <w:rsid w:val="421568CA"/>
    <w:rsid w:val="422229DB"/>
    <w:rsid w:val="422A6B5F"/>
    <w:rsid w:val="422B11FE"/>
    <w:rsid w:val="422F2C0A"/>
    <w:rsid w:val="423A4122"/>
    <w:rsid w:val="427C658F"/>
    <w:rsid w:val="42997BDD"/>
    <w:rsid w:val="42AC4D28"/>
    <w:rsid w:val="42B60CBA"/>
    <w:rsid w:val="42BA4570"/>
    <w:rsid w:val="42C43A92"/>
    <w:rsid w:val="42D00689"/>
    <w:rsid w:val="42DB62DB"/>
    <w:rsid w:val="42F40D87"/>
    <w:rsid w:val="43157031"/>
    <w:rsid w:val="431F6F1A"/>
    <w:rsid w:val="43204D6E"/>
    <w:rsid w:val="432E4410"/>
    <w:rsid w:val="433E0C67"/>
    <w:rsid w:val="434171A0"/>
    <w:rsid w:val="434F476D"/>
    <w:rsid w:val="43530C9D"/>
    <w:rsid w:val="43661D30"/>
    <w:rsid w:val="436C09A1"/>
    <w:rsid w:val="436E0D52"/>
    <w:rsid w:val="436F047F"/>
    <w:rsid w:val="436F39FE"/>
    <w:rsid w:val="436F7EA2"/>
    <w:rsid w:val="43863FBF"/>
    <w:rsid w:val="43BA63BC"/>
    <w:rsid w:val="43E56FFE"/>
    <w:rsid w:val="44071DF4"/>
    <w:rsid w:val="442347E8"/>
    <w:rsid w:val="44384517"/>
    <w:rsid w:val="44420629"/>
    <w:rsid w:val="445B2639"/>
    <w:rsid w:val="44676DCB"/>
    <w:rsid w:val="44894274"/>
    <w:rsid w:val="44C77869"/>
    <w:rsid w:val="44D51F86"/>
    <w:rsid w:val="44E70410"/>
    <w:rsid w:val="44FA2AC6"/>
    <w:rsid w:val="450E5B4A"/>
    <w:rsid w:val="452B604A"/>
    <w:rsid w:val="45363083"/>
    <w:rsid w:val="453C0257"/>
    <w:rsid w:val="45406B12"/>
    <w:rsid w:val="455A06DD"/>
    <w:rsid w:val="45752E50"/>
    <w:rsid w:val="458F482B"/>
    <w:rsid w:val="45B10696"/>
    <w:rsid w:val="45BC36A1"/>
    <w:rsid w:val="45DA2E00"/>
    <w:rsid w:val="45EF1111"/>
    <w:rsid w:val="460C7409"/>
    <w:rsid w:val="460D74FE"/>
    <w:rsid w:val="463833CE"/>
    <w:rsid w:val="463F1478"/>
    <w:rsid w:val="464A2500"/>
    <w:rsid w:val="464C0026"/>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D0F2A"/>
    <w:rsid w:val="47A72EC9"/>
    <w:rsid w:val="47B71E17"/>
    <w:rsid w:val="47CA7D9C"/>
    <w:rsid w:val="47CC40D8"/>
    <w:rsid w:val="47CD2511"/>
    <w:rsid w:val="48082673"/>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024B59"/>
    <w:rsid w:val="490B4F84"/>
    <w:rsid w:val="491D3EFC"/>
    <w:rsid w:val="491F1A22"/>
    <w:rsid w:val="493666B5"/>
    <w:rsid w:val="494877A6"/>
    <w:rsid w:val="495C0DBE"/>
    <w:rsid w:val="49663358"/>
    <w:rsid w:val="49724393"/>
    <w:rsid w:val="497C0C22"/>
    <w:rsid w:val="497F6965"/>
    <w:rsid w:val="49975BE8"/>
    <w:rsid w:val="49C425C9"/>
    <w:rsid w:val="49EF3581"/>
    <w:rsid w:val="49F36E3A"/>
    <w:rsid w:val="49F66C27"/>
    <w:rsid w:val="49FA5FEB"/>
    <w:rsid w:val="4A1C69A8"/>
    <w:rsid w:val="4A282B58"/>
    <w:rsid w:val="4A2C2648"/>
    <w:rsid w:val="4A372D9B"/>
    <w:rsid w:val="4A38723F"/>
    <w:rsid w:val="4A451346"/>
    <w:rsid w:val="4A5676C5"/>
    <w:rsid w:val="4A5A4C2D"/>
    <w:rsid w:val="4A791606"/>
    <w:rsid w:val="4AA541A9"/>
    <w:rsid w:val="4AC24D5B"/>
    <w:rsid w:val="4AD3077D"/>
    <w:rsid w:val="4AE04468"/>
    <w:rsid w:val="4B00188B"/>
    <w:rsid w:val="4B1F5D09"/>
    <w:rsid w:val="4B21248D"/>
    <w:rsid w:val="4B2B3A38"/>
    <w:rsid w:val="4B313C8F"/>
    <w:rsid w:val="4B6D633F"/>
    <w:rsid w:val="4B797CFE"/>
    <w:rsid w:val="4B841636"/>
    <w:rsid w:val="4B96714B"/>
    <w:rsid w:val="4BA95F1B"/>
    <w:rsid w:val="4BB16CD5"/>
    <w:rsid w:val="4BB5666E"/>
    <w:rsid w:val="4BB723FD"/>
    <w:rsid w:val="4BB870EB"/>
    <w:rsid w:val="4BE8259F"/>
    <w:rsid w:val="4BEE2F77"/>
    <w:rsid w:val="4BFD14B6"/>
    <w:rsid w:val="4C0F1BEA"/>
    <w:rsid w:val="4C181FF7"/>
    <w:rsid w:val="4C2C7B3F"/>
    <w:rsid w:val="4C3C28EB"/>
    <w:rsid w:val="4C7327B1"/>
    <w:rsid w:val="4C87625C"/>
    <w:rsid w:val="4CA56323"/>
    <w:rsid w:val="4CC50B32"/>
    <w:rsid w:val="4CEE4F6C"/>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DE90850"/>
    <w:rsid w:val="4E035C02"/>
    <w:rsid w:val="4E1A6C5C"/>
    <w:rsid w:val="4E1E6324"/>
    <w:rsid w:val="4E4F4B57"/>
    <w:rsid w:val="4E5C1A72"/>
    <w:rsid w:val="4E615284"/>
    <w:rsid w:val="4EA64556"/>
    <w:rsid w:val="4EAD29E4"/>
    <w:rsid w:val="4EC310A1"/>
    <w:rsid w:val="4F043B94"/>
    <w:rsid w:val="4F1B205A"/>
    <w:rsid w:val="4F2A7373"/>
    <w:rsid w:val="4F2E5442"/>
    <w:rsid w:val="4F2F1144"/>
    <w:rsid w:val="4F30313F"/>
    <w:rsid w:val="4F52580A"/>
    <w:rsid w:val="4F691C49"/>
    <w:rsid w:val="4F6A776F"/>
    <w:rsid w:val="4F702FD7"/>
    <w:rsid w:val="4F707F08"/>
    <w:rsid w:val="4F9273F2"/>
    <w:rsid w:val="4FD277EE"/>
    <w:rsid w:val="4FDA7D75"/>
    <w:rsid w:val="4FE439C5"/>
    <w:rsid w:val="4FF57980"/>
    <w:rsid w:val="50172112"/>
    <w:rsid w:val="501E6ED7"/>
    <w:rsid w:val="5035087B"/>
    <w:rsid w:val="507C775A"/>
    <w:rsid w:val="508D5E0B"/>
    <w:rsid w:val="508F1B83"/>
    <w:rsid w:val="50AC6291"/>
    <w:rsid w:val="50B25281"/>
    <w:rsid w:val="50D74B77"/>
    <w:rsid w:val="50E579F5"/>
    <w:rsid w:val="50E87836"/>
    <w:rsid w:val="50EA500B"/>
    <w:rsid w:val="50F83282"/>
    <w:rsid w:val="50FB4B23"/>
    <w:rsid w:val="51173459"/>
    <w:rsid w:val="51265C7E"/>
    <w:rsid w:val="512960E9"/>
    <w:rsid w:val="514814EC"/>
    <w:rsid w:val="5153670D"/>
    <w:rsid w:val="5157474A"/>
    <w:rsid w:val="515F1555"/>
    <w:rsid w:val="51A83B47"/>
    <w:rsid w:val="51AC22C1"/>
    <w:rsid w:val="51B17E6B"/>
    <w:rsid w:val="51CB2747"/>
    <w:rsid w:val="51CD131C"/>
    <w:rsid w:val="51D6014D"/>
    <w:rsid w:val="51DB032E"/>
    <w:rsid w:val="51EB4B97"/>
    <w:rsid w:val="51EE6435"/>
    <w:rsid w:val="51EF091F"/>
    <w:rsid w:val="5201260D"/>
    <w:rsid w:val="52072F1E"/>
    <w:rsid w:val="5217644D"/>
    <w:rsid w:val="522D1654"/>
    <w:rsid w:val="523C1C8B"/>
    <w:rsid w:val="523F4EE3"/>
    <w:rsid w:val="524620FA"/>
    <w:rsid w:val="526B7D82"/>
    <w:rsid w:val="5274360D"/>
    <w:rsid w:val="52756B57"/>
    <w:rsid w:val="52947CB3"/>
    <w:rsid w:val="52972F71"/>
    <w:rsid w:val="52BF7DD2"/>
    <w:rsid w:val="52DA5E34"/>
    <w:rsid w:val="530A3743"/>
    <w:rsid w:val="53395DD6"/>
    <w:rsid w:val="5347038D"/>
    <w:rsid w:val="534A6CD4"/>
    <w:rsid w:val="534E7AD3"/>
    <w:rsid w:val="538A6632"/>
    <w:rsid w:val="538B4884"/>
    <w:rsid w:val="53A63921"/>
    <w:rsid w:val="53AC47FA"/>
    <w:rsid w:val="53CC5791"/>
    <w:rsid w:val="53D95D45"/>
    <w:rsid w:val="53DA1367"/>
    <w:rsid w:val="53EB53BD"/>
    <w:rsid w:val="53F8359B"/>
    <w:rsid w:val="54505185"/>
    <w:rsid w:val="545671EC"/>
    <w:rsid w:val="54611097"/>
    <w:rsid w:val="5487370E"/>
    <w:rsid w:val="549B777E"/>
    <w:rsid w:val="54A67917"/>
    <w:rsid w:val="54B27D2C"/>
    <w:rsid w:val="54C4758E"/>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E6CAA"/>
    <w:rsid w:val="55DF5DA8"/>
    <w:rsid w:val="55EF136D"/>
    <w:rsid w:val="55F55C55"/>
    <w:rsid w:val="560F4191"/>
    <w:rsid w:val="56156687"/>
    <w:rsid w:val="56177EC9"/>
    <w:rsid w:val="5635492A"/>
    <w:rsid w:val="5684052B"/>
    <w:rsid w:val="56921A85"/>
    <w:rsid w:val="569976E5"/>
    <w:rsid w:val="56B764F3"/>
    <w:rsid w:val="56E16569"/>
    <w:rsid w:val="56F25D16"/>
    <w:rsid w:val="56F72230"/>
    <w:rsid w:val="56F770C8"/>
    <w:rsid w:val="56F95FA8"/>
    <w:rsid w:val="570F0DAD"/>
    <w:rsid w:val="57136DC9"/>
    <w:rsid w:val="571C1C97"/>
    <w:rsid w:val="571E3EBF"/>
    <w:rsid w:val="57342B3C"/>
    <w:rsid w:val="57394670"/>
    <w:rsid w:val="57413F62"/>
    <w:rsid w:val="57443D1C"/>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BF6D7E"/>
    <w:rsid w:val="58C139D3"/>
    <w:rsid w:val="58C93758"/>
    <w:rsid w:val="58DE5456"/>
    <w:rsid w:val="5939268C"/>
    <w:rsid w:val="59617E35"/>
    <w:rsid w:val="59654806"/>
    <w:rsid w:val="596E25BB"/>
    <w:rsid w:val="59722042"/>
    <w:rsid w:val="59777658"/>
    <w:rsid w:val="59796F2C"/>
    <w:rsid w:val="597C7E8C"/>
    <w:rsid w:val="598839CF"/>
    <w:rsid w:val="59901BF4"/>
    <w:rsid w:val="599B0A27"/>
    <w:rsid w:val="599E0ACF"/>
    <w:rsid w:val="59AD3D34"/>
    <w:rsid w:val="59B03888"/>
    <w:rsid w:val="59C503C4"/>
    <w:rsid w:val="59F91818"/>
    <w:rsid w:val="5A1504F5"/>
    <w:rsid w:val="5A172243"/>
    <w:rsid w:val="5A196ED2"/>
    <w:rsid w:val="5A3317D1"/>
    <w:rsid w:val="5A395B76"/>
    <w:rsid w:val="5A3A2881"/>
    <w:rsid w:val="5A432F55"/>
    <w:rsid w:val="5A5878B5"/>
    <w:rsid w:val="5AA2093F"/>
    <w:rsid w:val="5AA95EA4"/>
    <w:rsid w:val="5AD63E09"/>
    <w:rsid w:val="5AD703AE"/>
    <w:rsid w:val="5AF1353F"/>
    <w:rsid w:val="5B123195"/>
    <w:rsid w:val="5B223606"/>
    <w:rsid w:val="5B266C40"/>
    <w:rsid w:val="5B2A657A"/>
    <w:rsid w:val="5B4332B6"/>
    <w:rsid w:val="5B4B66A7"/>
    <w:rsid w:val="5B5E0F00"/>
    <w:rsid w:val="5B6E72A3"/>
    <w:rsid w:val="5B964CC3"/>
    <w:rsid w:val="5B9E7C72"/>
    <w:rsid w:val="5BA87F9D"/>
    <w:rsid w:val="5BAF4E87"/>
    <w:rsid w:val="5BDE39BF"/>
    <w:rsid w:val="5BE65C1B"/>
    <w:rsid w:val="5BFD68E7"/>
    <w:rsid w:val="5C1271C4"/>
    <w:rsid w:val="5C5A3EA2"/>
    <w:rsid w:val="5C675762"/>
    <w:rsid w:val="5C682BEC"/>
    <w:rsid w:val="5C773E55"/>
    <w:rsid w:val="5C9A1694"/>
    <w:rsid w:val="5C9D1184"/>
    <w:rsid w:val="5CA7123C"/>
    <w:rsid w:val="5CAE15E3"/>
    <w:rsid w:val="5CC42BB4"/>
    <w:rsid w:val="5CC826A5"/>
    <w:rsid w:val="5CDC7EFE"/>
    <w:rsid w:val="5CF77950"/>
    <w:rsid w:val="5D101956"/>
    <w:rsid w:val="5D441D14"/>
    <w:rsid w:val="5D65280D"/>
    <w:rsid w:val="5D972077"/>
    <w:rsid w:val="5DAE426C"/>
    <w:rsid w:val="5DAF467E"/>
    <w:rsid w:val="5DCD04E0"/>
    <w:rsid w:val="5DD03A54"/>
    <w:rsid w:val="5DD15BF4"/>
    <w:rsid w:val="5DD25BBB"/>
    <w:rsid w:val="5E1D1CEB"/>
    <w:rsid w:val="5E225DE5"/>
    <w:rsid w:val="5E23390B"/>
    <w:rsid w:val="5E311C0C"/>
    <w:rsid w:val="5E6A5C9B"/>
    <w:rsid w:val="5E860D80"/>
    <w:rsid w:val="5E895C8E"/>
    <w:rsid w:val="5EA87763"/>
    <w:rsid w:val="5EBD5B0D"/>
    <w:rsid w:val="5ED510A9"/>
    <w:rsid w:val="5EEC01A1"/>
    <w:rsid w:val="5F20216B"/>
    <w:rsid w:val="5F36439B"/>
    <w:rsid w:val="5F755A2A"/>
    <w:rsid w:val="5F814D8D"/>
    <w:rsid w:val="5F8959EF"/>
    <w:rsid w:val="5F920D48"/>
    <w:rsid w:val="5FA36AB1"/>
    <w:rsid w:val="5FA40A7B"/>
    <w:rsid w:val="5FA6034F"/>
    <w:rsid w:val="5FB07420"/>
    <w:rsid w:val="5FC04410"/>
    <w:rsid w:val="5FC652C4"/>
    <w:rsid w:val="5FC845C3"/>
    <w:rsid w:val="5FCB6F0A"/>
    <w:rsid w:val="5FE62E42"/>
    <w:rsid w:val="601C6864"/>
    <w:rsid w:val="601F4747"/>
    <w:rsid w:val="602F6597"/>
    <w:rsid w:val="6052321D"/>
    <w:rsid w:val="60696BC9"/>
    <w:rsid w:val="607F790E"/>
    <w:rsid w:val="608508AD"/>
    <w:rsid w:val="60A305F2"/>
    <w:rsid w:val="60A42170"/>
    <w:rsid w:val="60C5514D"/>
    <w:rsid w:val="60C86009"/>
    <w:rsid w:val="60E5134B"/>
    <w:rsid w:val="60FD45FF"/>
    <w:rsid w:val="6114463B"/>
    <w:rsid w:val="611A0FF5"/>
    <w:rsid w:val="612B3202"/>
    <w:rsid w:val="616008F1"/>
    <w:rsid w:val="61847169"/>
    <w:rsid w:val="618625DD"/>
    <w:rsid w:val="61903065"/>
    <w:rsid w:val="61932B55"/>
    <w:rsid w:val="61B7149D"/>
    <w:rsid w:val="61CF0031"/>
    <w:rsid w:val="620852F1"/>
    <w:rsid w:val="621048C9"/>
    <w:rsid w:val="6210694A"/>
    <w:rsid w:val="621231A6"/>
    <w:rsid w:val="621641CF"/>
    <w:rsid w:val="62210161"/>
    <w:rsid w:val="62703DA5"/>
    <w:rsid w:val="62861F1F"/>
    <w:rsid w:val="629139EC"/>
    <w:rsid w:val="62917095"/>
    <w:rsid w:val="62A16A87"/>
    <w:rsid w:val="62CF7FE7"/>
    <w:rsid w:val="62D423EB"/>
    <w:rsid w:val="62D94CCA"/>
    <w:rsid w:val="631D2A8C"/>
    <w:rsid w:val="63462575"/>
    <w:rsid w:val="63493E13"/>
    <w:rsid w:val="635A1B7D"/>
    <w:rsid w:val="63666773"/>
    <w:rsid w:val="63851E4D"/>
    <w:rsid w:val="638B7F88"/>
    <w:rsid w:val="63911317"/>
    <w:rsid w:val="63936E3D"/>
    <w:rsid w:val="63A64DC2"/>
    <w:rsid w:val="63A90E76"/>
    <w:rsid w:val="63B55005"/>
    <w:rsid w:val="63CB5CCC"/>
    <w:rsid w:val="63EB4ECB"/>
    <w:rsid w:val="63F975E8"/>
    <w:rsid w:val="63FA3360"/>
    <w:rsid w:val="640B731B"/>
    <w:rsid w:val="641073AB"/>
    <w:rsid w:val="641745A0"/>
    <w:rsid w:val="645C36D2"/>
    <w:rsid w:val="64671A02"/>
    <w:rsid w:val="64754794"/>
    <w:rsid w:val="64824B18"/>
    <w:rsid w:val="64881976"/>
    <w:rsid w:val="64942E6C"/>
    <w:rsid w:val="64AE3CB5"/>
    <w:rsid w:val="64B90B25"/>
    <w:rsid w:val="64CD637E"/>
    <w:rsid w:val="64DC03FF"/>
    <w:rsid w:val="64EF2799"/>
    <w:rsid w:val="64F425BA"/>
    <w:rsid w:val="650D6603"/>
    <w:rsid w:val="65202952"/>
    <w:rsid w:val="65210C32"/>
    <w:rsid w:val="652225D5"/>
    <w:rsid w:val="652439B2"/>
    <w:rsid w:val="652F2B95"/>
    <w:rsid w:val="65311E05"/>
    <w:rsid w:val="65451957"/>
    <w:rsid w:val="659770B8"/>
    <w:rsid w:val="65B46366"/>
    <w:rsid w:val="65BD63F3"/>
    <w:rsid w:val="65D025CA"/>
    <w:rsid w:val="65F570CF"/>
    <w:rsid w:val="66320B8F"/>
    <w:rsid w:val="663E7534"/>
    <w:rsid w:val="66661757"/>
    <w:rsid w:val="66763171"/>
    <w:rsid w:val="667C005C"/>
    <w:rsid w:val="66826386"/>
    <w:rsid w:val="66976C44"/>
    <w:rsid w:val="669B7B39"/>
    <w:rsid w:val="66AC7A81"/>
    <w:rsid w:val="66AE4D0B"/>
    <w:rsid w:val="66B5494D"/>
    <w:rsid w:val="66B84695"/>
    <w:rsid w:val="66D103A8"/>
    <w:rsid w:val="66DE0D17"/>
    <w:rsid w:val="66EF6A80"/>
    <w:rsid w:val="66F96425"/>
    <w:rsid w:val="66F978FF"/>
    <w:rsid w:val="66FB71D3"/>
    <w:rsid w:val="670C5884"/>
    <w:rsid w:val="670D5158"/>
    <w:rsid w:val="672D2BD5"/>
    <w:rsid w:val="67461D48"/>
    <w:rsid w:val="67472418"/>
    <w:rsid w:val="67486190"/>
    <w:rsid w:val="674A6CAF"/>
    <w:rsid w:val="676034DA"/>
    <w:rsid w:val="67694A84"/>
    <w:rsid w:val="67784F2E"/>
    <w:rsid w:val="678A67A9"/>
    <w:rsid w:val="678F1925"/>
    <w:rsid w:val="67942577"/>
    <w:rsid w:val="67A92539"/>
    <w:rsid w:val="67CA4EF1"/>
    <w:rsid w:val="67CD115B"/>
    <w:rsid w:val="67D61178"/>
    <w:rsid w:val="67E20393"/>
    <w:rsid w:val="67F76A7E"/>
    <w:rsid w:val="67F86871"/>
    <w:rsid w:val="684352D5"/>
    <w:rsid w:val="684D1CB0"/>
    <w:rsid w:val="685748DD"/>
    <w:rsid w:val="686F7E78"/>
    <w:rsid w:val="687E455F"/>
    <w:rsid w:val="687E630D"/>
    <w:rsid w:val="688B0A2A"/>
    <w:rsid w:val="68A5389A"/>
    <w:rsid w:val="68AF3CA2"/>
    <w:rsid w:val="68BB130F"/>
    <w:rsid w:val="68CB0E27"/>
    <w:rsid w:val="68CC560D"/>
    <w:rsid w:val="68E97265"/>
    <w:rsid w:val="68EF0FB9"/>
    <w:rsid w:val="69127871"/>
    <w:rsid w:val="691E189E"/>
    <w:rsid w:val="69236596"/>
    <w:rsid w:val="692635EB"/>
    <w:rsid w:val="69342E70"/>
    <w:rsid w:val="693B41FE"/>
    <w:rsid w:val="6951757E"/>
    <w:rsid w:val="69561384"/>
    <w:rsid w:val="69775165"/>
    <w:rsid w:val="69807E63"/>
    <w:rsid w:val="69B230A2"/>
    <w:rsid w:val="69E2224C"/>
    <w:rsid w:val="69F819AA"/>
    <w:rsid w:val="6A002D52"/>
    <w:rsid w:val="6A136F29"/>
    <w:rsid w:val="6A187723"/>
    <w:rsid w:val="6A1D1B56"/>
    <w:rsid w:val="6A1D2B18"/>
    <w:rsid w:val="6A595414"/>
    <w:rsid w:val="6A5A4A67"/>
    <w:rsid w:val="6A6E7FF3"/>
    <w:rsid w:val="6A700C09"/>
    <w:rsid w:val="6A8E3BBF"/>
    <w:rsid w:val="6AA67D9D"/>
    <w:rsid w:val="6AAD6A36"/>
    <w:rsid w:val="6ABC60FE"/>
    <w:rsid w:val="6AC57AA5"/>
    <w:rsid w:val="6ADC556D"/>
    <w:rsid w:val="6AE00FFB"/>
    <w:rsid w:val="6AE91C23"/>
    <w:rsid w:val="6B1D5B77"/>
    <w:rsid w:val="6B2D6ABE"/>
    <w:rsid w:val="6B3B6738"/>
    <w:rsid w:val="6B3D24B0"/>
    <w:rsid w:val="6B5F4FB5"/>
    <w:rsid w:val="6B685053"/>
    <w:rsid w:val="6B7F4739"/>
    <w:rsid w:val="6B8A4FC9"/>
    <w:rsid w:val="6B9A5FD4"/>
    <w:rsid w:val="6BA75B7B"/>
    <w:rsid w:val="6BC67FC5"/>
    <w:rsid w:val="6C033F85"/>
    <w:rsid w:val="6C042FCD"/>
    <w:rsid w:val="6C20148A"/>
    <w:rsid w:val="6C44786E"/>
    <w:rsid w:val="6C9431CC"/>
    <w:rsid w:val="6CAB1AEE"/>
    <w:rsid w:val="6CAE2F39"/>
    <w:rsid w:val="6CAF10DA"/>
    <w:rsid w:val="6CB513FE"/>
    <w:rsid w:val="6CBB03BB"/>
    <w:rsid w:val="6CD25442"/>
    <w:rsid w:val="6CDA06B8"/>
    <w:rsid w:val="6CE90CE7"/>
    <w:rsid w:val="6D0715F8"/>
    <w:rsid w:val="6D221DD5"/>
    <w:rsid w:val="6D426B56"/>
    <w:rsid w:val="6D505108"/>
    <w:rsid w:val="6D920165"/>
    <w:rsid w:val="6DBB5AC1"/>
    <w:rsid w:val="6DC75091"/>
    <w:rsid w:val="6DCF4F15"/>
    <w:rsid w:val="6E0468F3"/>
    <w:rsid w:val="6E0F7A08"/>
    <w:rsid w:val="6E38263C"/>
    <w:rsid w:val="6E526272"/>
    <w:rsid w:val="6E573B2B"/>
    <w:rsid w:val="6E6E0E91"/>
    <w:rsid w:val="6E721EAF"/>
    <w:rsid w:val="6E7D0394"/>
    <w:rsid w:val="6E94481B"/>
    <w:rsid w:val="6EA2373C"/>
    <w:rsid w:val="6ED0776A"/>
    <w:rsid w:val="6EDF387E"/>
    <w:rsid w:val="6F0357BE"/>
    <w:rsid w:val="6F0B01CF"/>
    <w:rsid w:val="6F241291"/>
    <w:rsid w:val="6F6F075E"/>
    <w:rsid w:val="6F7658CB"/>
    <w:rsid w:val="6F976FBE"/>
    <w:rsid w:val="6FA359EB"/>
    <w:rsid w:val="6FB42615"/>
    <w:rsid w:val="6FC36CFC"/>
    <w:rsid w:val="6FCA63E4"/>
    <w:rsid w:val="6FD24A6F"/>
    <w:rsid w:val="6FD26F3F"/>
    <w:rsid w:val="6FF218DD"/>
    <w:rsid w:val="6FF42BE0"/>
    <w:rsid w:val="6FFC41AF"/>
    <w:rsid w:val="703D168D"/>
    <w:rsid w:val="704C4F43"/>
    <w:rsid w:val="706C2EEF"/>
    <w:rsid w:val="706F20A9"/>
    <w:rsid w:val="70707EDF"/>
    <w:rsid w:val="70761F1B"/>
    <w:rsid w:val="707B1384"/>
    <w:rsid w:val="708C1ED2"/>
    <w:rsid w:val="70CB230C"/>
    <w:rsid w:val="70E32593"/>
    <w:rsid w:val="70E801A2"/>
    <w:rsid w:val="7104581E"/>
    <w:rsid w:val="71132E62"/>
    <w:rsid w:val="711D41EA"/>
    <w:rsid w:val="71222297"/>
    <w:rsid w:val="712D7C1F"/>
    <w:rsid w:val="714348B5"/>
    <w:rsid w:val="71554590"/>
    <w:rsid w:val="715874AB"/>
    <w:rsid w:val="715D01AD"/>
    <w:rsid w:val="71697CFB"/>
    <w:rsid w:val="71712C88"/>
    <w:rsid w:val="719941B8"/>
    <w:rsid w:val="719E357C"/>
    <w:rsid w:val="71A87F57"/>
    <w:rsid w:val="71BD1788"/>
    <w:rsid w:val="71C50B09"/>
    <w:rsid w:val="71F31C95"/>
    <w:rsid w:val="720F27CE"/>
    <w:rsid w:val="722515A8"/>
    <w:rsid w:val="723979C9"/>
    <w:rsid w:val="727265AC"/>
    <w:rsid w:val="727B1B10"/>
    <w:rsid w:val="727D13E4"/>
    <w:rsid w:val="72867BDE"/>
    <w:rsid w:val="728A58AF"/>
    <w:rsid w:val="72A526E9"/>
    <w:rsid w:val="72D71070"/>
    <w:rsid w:val="72EC1039"/>
    <w:rsid w:val="72F13B80"/>
    <w:rsid w:val="73004C2C"/>
    <w:rsid w:val="7304330F"/>
    <w:rsid w:val="732E5FCC"/>
    <w:rsid w:val="73337CF4"/>
    <w:rsid w:val="733817AF"/>
    <w:rsid w:val="733F2189"/>
    <w:rsid w:val="73412411"/>
    <w:rsid w:val="734463A5"/>
    <w:rsid w:val="73520AC2"/>
    <w:rsid w:val="7358775B"/>
    <w:rsid w:val="737B7DB9"/>
    <w:rsid w:val="73840550"/>
    <w:rsid w:val="739509AF"/>
    <w:rsid w:val="73BA729E"/>
    <w:rsid w:val="73C052CC"/>
    <w:rsid w:val="73D55C55"/>
    <w:rsid w:val="73DC3547"/>
    <w:rsid w:val="73ED2599"/>
    <w:rsid w:val="740D6797"/>
    <w:rsid w:val="74113F05"/>
    <w:rsid w:val="74163F16"/>
    <w:rsid w:val="741C69DA"/>
    <w:rsid w:val="742424F5"/>
    <w:rsid w:val="744103B3"/>
    <w:rsid w:val="7450221E"/>
    <w:rsid w:val="74566390"/>
    <w:rsid w:val="749F595E"/>
    <w:rsid w:val="74AA2238"/>
    <w:rsid w:val="74D15A17"/>
    <w:rsid w:val="74DF0134"/>
    <w:rsid w:val="74F87650"/>
    <w:rsid w:val="75114065"/>
    <w:rsid w:val="751A5610"/>
    <w:rsid w:val="751A7DE7"/>
    <w:rsid w:val="752C17D6"/>
    <w:rsid w:val="7539539D"/>
    <w:rsid w:val="75695C4F"/>
    <w:rsid w:val="759248B8"/>
    <w:rsid w:val="759C7DD3"/>
    <w:rsid w:val="75A153E9"/>
    <w:rsid w:val="75CB6E7D"/>
    <w:rsid w:val="75EA3234"/>
    <w:rsid w:val="75ED3231"/>
    <w:rsid w:val="75F61B52"/>
    <w:rsid w:val="75FC2C73"/>
    <w:rsid w:val="76047756"/>
    <w:rsid w:val="76155660"/>
    <w:rsid w:val="761B33ED"/>
    <w:rsid w:val="761E5D99"/>
    <w:rsid w:val="761F03BE"/>
    <w:rsid w:val="762B1157"/>
    <w:rsid w:val="764A5A81"/>
    <w:rsid w:val="766111DA"/>
    <w:rsid w:val="76612DCA"/>
    <w:rsid w:val="766528BB"/>
    <w:rsid w:val="767764CD"/>
    <w:rsid w:val="767B20DE"/>
    <w:rsid w:val="767B7C93"/>
    <w:rsid w:val="7694586D"/>
    <w:rsid w:val="769B430F"/>
    <w:rsid w:val="76B34C0F"/>
    <w:rsid w:val="76B4739E"/>
    <w:rsid w:val="76BF021D"/>
    <w:rsid w:val="76C75323"/>
    <w:rsid w:val="76D1655C"/>
    <w:rsid w:val="76D25D41"/>
    <w:rsid w:val="76E666DE"/>
    <w:rsid w:val="76E72AA0"/>
    <w:rsid w:val="7701090C"/>
    <w:rsid w:val="77151797"/>
    <w:rsid w:val="771A711A"/>
    <w:rsid w:val="771D4F43"/>
    <w:rsid w:val="772A600E"/>
    <w:rsid w:val="77336515"/>
    <w:rsid w:val="77362975"/>
    <w:rsid w:val="773C5143"/>
    <w:rsid w:val="774244C3"/>
    <w:rsid w:val="77444BC6"/>
    <w:rsid w:val="77577349"/>
    <w:rsid w:val="775A6197"/>
    <w:rsid w:val="777C4360"/>
    <w:rsid w:val="778D1016"/>
    <w:rsid w:val="77955421"/>
    <w:rsid w:val="77A411C1"/>
    <w:rsid w:val="77B238DE"/>
    <w:rsid w:val="77F71C38"/>
    <w:rsid w:val="780D57F6"/>
    <w:rsid w:val="78106856"/>
    <w:rsid w:val="781E4FE7"/>
    <w:rsid w:val="7884096A"/>
    <w:rsid w:val="78850FF2"/>
    <w:rsid w:val="789524E8"/>
    <w:rsid w:val="78A53442"/>
    <w:rsid w:val="78B611AB"/>
    <w:rsid w:val="78CA10FB"/>
    <w:rsid w:val="78E03E67"/>
    <w:rsid w:val="78F06D68"/>
    <w:rsid w:val="78F55DA6"/>
    <w:rsid w:val="790E548B"/>
    <w:rsid w:val="79236E7C"/>
    <w:rsid w:val="792A1B99"/>
    <w:rsid w:val="793F6C2A"/>
    <w:rsid w:val="794013BD"/>
    <w:rsid w:val="79494E01"/>
    <w:rsid w:val="796B1B89"/>
    <w:rsid w:val="797B008A"/>
    <w:rsid w:val="798516DF"/>
    <w:rsid w:val="798C015E"/>
    <w:rsid w:val="79921C19"/>
    <w:rsid w:val="79C1605A"/>
    <w:rsid w:val="79C618C2"/>
    <w:rsid w:val="79CB3FC0"/>
    <w:rsid w:val="79D73ACF"/>
    <w:rsid w:val="79E46056"/>
    <w:rsid w:val="7A0C534E"/>
    <w:rsid w:val="7A222CE3"/>
    <w:rsid w:val="7A4961A5"/>
    <w:rsid w:val="7A735C4D"/>
    <w:rsid w:val="7A8C2B0C"/>
    <w:rsid w:val="7A8E7C8A"/>
    <w:rsid w:val="7A9F01F0"/>
    <w:rsid w:val="7AFD610D"/>
    <w:rsid w:val="7B0152A5"/>
    <w:rsid w:val="7B0408F4"/>
    <w:rsid w:val="7B112B38"/>
    <w:rsid w:val="7B1741A3"/>
    <w:rsid w:val="7B1A26B7"/>
    <w:rsid w:val="7B2A5E81"/>
    <w:rsid w:val="7B2C7E4B"/>
    <w:rsid w:val="7B2F16E9"/>
    <w:rsid w:val="7B3F423B"/>
    <w:rsid w:val="7B7567C0"/>
    <w:rsid w:val="7B7B66DC"/>
    <w:rsid w:val="7B7D2454"/>
    <w:rsid w:val="7B7E25C3"/>
    <w:rsid w:val="7B9072BC"/>
    <w:rsid w:val="7B944A08"/>
    <w:rsid w:val="7B9B28DB"/>
    <w:rsid w:val="7B9F57C7"/>
    <w:rsid w:val="7BB802ED"/>
    <w:rsid w:val="7C0634F8"/>
    <w:rsid w:val="7C077F70"/>
    <w:rsid w:val="7C0861C2"/>
    <w:rsid w:val="7C266648"/>
    <w:rsid w:val="7C2823C0"/>
    <w:rsid w:val="7C563402"/>
    <w:rsid w:val="7C5E2286"/>
    <w:rsid w:val="7C686C61"/>
    <w:rsid w:val="7C6A0C2B"/>
    <w:rsid w:val="7C765D1B"/>
    <w:rsid w:val="7C7B659E"/>
    <w:rsid w:val="7C7E0232"/>
    <w:rsid w:val="7C95557C"/>
    <w:rsid w:val="7C9712F4"/>
    <w:rsid w:val="7C9B0FDB"/>
    <w:rsid w:val="7CBA4D6C"/>
    <w:rsid w:val="7CC85951"/>
    <w:rsid w:val="7CCC5441"/>
    <w:rsid w:val="7CD23C7F"/>
    <w:rsid w:val="7CD24BAE"/>
    <w:rsid w:val="7CE56503"/>
    <w:rsid w:val="7D033147"/>
    <w:rsid w:val="7D1066E2"/>
    <w:rsid w:val="7D1B3CD3"/>
    <w:rsid w:val="7D227CB6"/>
    <w:rsid w:val="7D300C5A"/>
    <w:rsid w:val="7D3139AC"/>
    <w:rsid w:val="7D4C0330"/>
    <w:rsid w:val="7D811B7B"/>
    <w:rsid w:val="7D836171"/>
    <w:rsid w:val="7DA8199C"/>
    <w:rsid w:val="7DB84FA7"/>
    <w:rsid w:val="7DBA0B43"/>
    <w:rsid w:val="7DBD3D6D"/>
    <w:rsid w:val="7DFC3B04"/>
    <w:rsid w:val="7E1773F8"/>
    <w:rsid w:val="7E26089F"/>
    <w:rsid w:val="7E261FC8"/>
    <w:rsid w:val="7E3E4800"/>
    <w:rsid w:val="7E4E27F0"/>
    <w:rsid w:val="7E696CC0"/>
    <w:rsid w:val="7E7B41B8"/>
    <w:rsid w:val="7E7F0292"/>
    <w:rsid w:val="7E835AFC"/>
    <w:rsid w:val="7E851714"/>
    <w:rsid w:val="7E88060D"/>
    <w:rsid w:val="7E966D9F"/>
    <w:rsid w:val="7EA45F4A"/>
    <w:rsid w:val="7EE02B0F"/>
    <w:rsid w:val="7EE94CE8"/>
    <w:rsid w:val="7EF16259"/>
    <w:rsid w:val="7EF163A6"/>
    <w:rsid w:val="7F0D7FB9"/>
    <w:rsid w:val="7F115666"/>
    <w:rsid w:val="7F2272AB"/>
    <w:rsid w:val="7F2B0D53"/>
    <w:rsid w:val="7F4E65E2"/>
    <w:rsid w:val="7F6A7194"/>
    <w:rsid w:val="7F7F5D50"/>
    <w:rsid w:val="7F9A5B2F"/>
    <w:rsid w:val="7FA0125F"/>
    <w:rsid w:val="7FA043A1"/>
    <w:rsid w:val="7FD12D6F"/>
    <w:rsid w:val="7FD278E7"/>
    <w:rsid w:val="7FD44B5D"/>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3"/>
    <w:link w:val="20"/>
    <w:qFormat/>
    <w:uiPriority w:val="0"/>
    <w:rPr>
      <w:b/>
      <w:bCs/>
    </w:rPr>
  </w:style>
  <w:style w:type="paragraph" w:styleId="11">
    <w:name w:val="Body Text First Indent 2"/>
    <w:basedOn w:val="4"/>
    <w:qFormat/>
    <w:uiPriority w:val="0"/>
    <w:pPr>
      <w:ind w:firstLine="420" w:firstLineChars="200"/>
    </w:pPr>
    <w:rPr>
      <w:rFonts w:ascii="Calibri" w:hAnsi="Calibri"/>
      <w:szCs w:val="2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character" w:styleId="17">
    <w:name w:val="annotation reference"/>
    <w:basedOn w:val="14"/>
    <w:qFormat/>
    <w:uiPriority w:val="0"/>
    <w:rPr>
      <w:sz w:val="21"/>
      <w:szCs w:val="21"/>
    </w:rPr>
  </w:style>
  <w:style w:type="character" w:customStyle="1" w:styleId="18">
    <w:name w:val="批注框文本 Char"/>
    <w:basedOn w:val="14"/>
    <w:link w:val="5"/>
    <w:qFormat/>
    <w:uiPriority w:val="0"/>
    <w:rPr>
      <w:rFonts w:ascii="Times New Roman" w:hAnsi="Times New Roman"/>
      <w:kern w:val="2"/>
      <w:sz w:val="18"/>
      <w:szCs w:val="18"/>
    </w:rPr>
  </w:style>
  <w:style w:type="character" w:customStyle="1" w:styleId="19">
    <w:name w:val="批注文字 Char"/>
    <w:basedOn w:val="14"/>
    <w:link w:val="3"/>
    <w:qFormat/>
    <w:uiPriority w:val="0"/>
    <w:rPr>
      <w:rFonts w:ascii="Times New Roman" w:hAnsi="Times New Roman"/>
      <w:kern w:val="2"/>
      <w:sz w:val="21"/>
      <w:szCs w:val="22"/>
    </w:rPr>
  </w:style>
  <w:style w:type="character" w:customStyle="1" w:styleId="20">
    <w:name w:val="批注主题 Char"/>
    <w:basedOn w:val="19"/>
    <w:link w:val="10"/>
    <w:qFormat/>
    <w:uiPriority w:val="0"/>
  </w:style>
  <w:style w:type="character" w:customStyle="1" w:styleId="21">
    <w:name w:val="font51"/>
    <w:basedOn w:val="14"/>
    <w:qFormat/>
    <w:uiPriority w:val="0"/>
    <w:rPr>
      <w:rFonts w:hint="eastAsia" w:ascii="宋体" w:hAnsi="宋体" w:eastAsia="宋体" w:cs="宋体"/>
      <w:color w:val="000000"/>
      <w:sz w:val="20"/>
      <w:szCs w:val="20"/>
      <w:u w:val="none"/>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character" w:customStyle="1" w:styleId="23">
    <w:name w:val="font31"/>
    <w:basedOn w:val="14"/>
    <w:qFormat/>
    <w:uiPriority w:val="0"/>
    <w:rPr>
      <w:rFonts w:hint="eastAsia" w:ascii="宋体" w:hAnsi="宋体" w:eastAsia="宋体" w:cs="宋体"/>
      <w:color w:val="000000"/>
      <w:sz w:val="20"/>
      <w:szCs w:val="20"/>
      <w:u w:val="none"/>
    </w:rPr>
  </w:style>
  <w:style w:type="character" w:customStyle="1" w:styleId="24">
    <w:name w:val="font21"/>
    <w:qFormat/>
    <w:uiPriority w:val="0"/>
    <w:rPr>
      <w:rFonts w:hint="eastAsia" w:ascii="宋体" w:hAnsi="宋体" w:eastAsia="宋体" w:cs="宋体"/>
      <w:color w:val="000000"/>
      <w:sz w:val="20"/>
      <w:szCs w:val="20"/>
      <w:u w:val="none"/>
    </w:rPr>
  </w:style>
  <w:style w:type="character" w:customStyle="1" w:styleId="25">
    <w:name w:val="font41"/>
    <w:basedOn w:val="14"/>
    <w:qFormat/>
    <w:uiPriority w:val="0"/>
    <w:rPr>
      <w:rFonts w:hint="eastAsia" w:ascii="宋体" w:hAnsi="宋体" w:eastAsia="宋体" w:cs="宋体"/>
      <w:b/>
      <w:bCs/>
      <w:color w:val="000000"/>
      <w:sz w:val="18"/>
      <w:szCs w:val="18"/>
      <w:u w:val="none"/>
    </w:rPr>
  </w:style>
  <w:style w:type="character" w:customStyle="1" w:styleId="26">
    <w:name w:val="font11"/>
    <w:basedOn w:val="14"/>
    <w:qFormat/>
    <w:uiPriority w:val="0"/>
    <w:rPr>
      <w:rFonts w:hint="eastAsia" w:ascii="仿宋" w:hAnsi="仿宋" w:eastAsia="仿宋" w:cs="仿宋"/>
      <w:color w:val="000000"/>
      <w:sz w:val="28"/>
      <w:szCs w:val="28"/>
      <w:u w:val="none"/>
    </w:rPr>
  </w:style>
  <w:style w:type="table" w:customStyle="1" w:styleId="2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43</Pages>
  <Words>25266</Words>
  <Characters>26891</Characters>
  <Lines>1</Lines>
  <Paragraphs>1</Paragraphs>
  <TotalTime>1</TotalTime>
  <ScaleCrop>false</ScaleCrop>
  <LinksUpToDate>false</LinksUpToDate>
  <CharactersWithSpaces>28940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2022-07-02T01:45:00Z</cp:lastPrinted>
  <dcterms:modified xsi:type="dcterms:W3CDTF">2023-08-02T09:22:39Z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F06476C999714E83BD453945B9F21708</vt:lpwstr>
  </property>
</Properties>
</file>