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EE067C">
      <w:pPr>
        <w:jc w:val="both"/>
        <w:rPr>
          <w:rFonts w:hint="eastAsia" w:ascii="仿宋" w:hAnsi="仿宋" w:eastAsia="仿宋" w:cs="仿宋"/>
          <w:color w:val="auto"/>
          <w:highlight w:val="none"/>
          <w:shd w:val="clear" w:color="auto" w:fill="auto"/>
          <w:lang w:val="en-US" w:eastAsia="zh-CN"/>
        </w:rPr>
      </w:pPr>
      <w:r>
        <w:rPr>
          <w:rFonts w:hint="eastAsia" w:ascii="仿宋" w:hAnsi="仿宋" w:eastAsia="仿宋" w:cs="仿宋"/>
          <w:color w:val="auto"/>
          <w:kern w:val="0"/>
          <w:sz w:val="24"/>
          <w:szCs w:val="24"/>
          <w:highlight w:val="none"/>
          <w:shd w:val="clear" w:color="auto" w:fill="auto"/>
        </w:rPr>
        <w:drawing>
          <wp:anchor distT="0" distB="0" distL="114300" distR="114300" simplePos="0" relativeHeight="251659264" behindDoc="0" locked="0" layoutInCell="1" allowOverlap="1">
            <wp:simplePos x="0" y="0"/>
            <wp:positionH relativeFrom="column">
              <wp:posOffset>1153160</wp:posOffset>
            </wp:positionH>
            <wp:positionV relativeFrom="paragraph">
              <wp:posOffset>85090</wp:posOffset>
            </wp:positionV>
            <wp:extent cx="4288790" cy="690245"/>
            <wp:effectExtent l="0" t="0" r="16510" b="14605"/>
            <wp:wrapNone/>
            <wp:docPr id="3"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86619fd34e89ba868d862bb3661be41"/>
                    <pic:cNvPicPr>
                      <a:picLocks noChangeAspect="1"/>
                    </pic:cNvPicPr>
                  </pic:nvPicPr>
                  <pic:blipFill>
                    <a:blip r:embed="rId10"/>
                    <a:stretch>
                      <a:fillRect/>
                    </a:stretch>
                  </pic:blipFill>
                  <pic:spPr>
                    <a:xfrm>
                      <a:off x="0" y="0"/>
                      <a:ext cx="4288790" cy="690245"/>
                    </a:xfrm>
                    <a:prstGeom prst="rect">
                      <a:avLst/>
                    </a:prstGeom>
                    <a:noFill/>
                    <a:ln>
                      <a:noFill/>
                    </a:ln>
                  </pic:spPr>
                </pic:pic>
              </a:graphicData>
            </a:graphic>
          </wp:anchor>
        </w:drawing>
      </w:r>
      <w:r>
        <w:rPr>
          <w:rFonts w:hint="eastAsia" w:ascii="仿宋" w:hAnsi="仿宋" w:eastAsia="仿宋" w:cs="仿宋"/>
          <w:color w:val="auto"/>
          <w:highlight w:val="none"/>
          <w:shd w:val="clear" w:color="auto" w:fill="auto"/>
          <w:lang w:val="en-US" w:eastAsia="zh-CN"/>
        </w:rPr>
        <w:t xml:space="preserve"> </w:t>
      </w:r>
    </w:p>
    <w:p w14:paraId="4315B033">
      <w:pPr>
        <w:jc w:val="both"/>
        <w:rPr>
          <w:rFonts w:hint="eastAsia" w:ascii="仿宋" w:hAnsi="仿宋" w:eastAsia="仿宋" w:cs="仿宋"/>
          <w:color w:val="auto"/>
          <w:highlight w:val="none"/>
          <w:shd w:val="clear" w:color="auto" w:fill="auto"/>
          <w:lang w:val="en-US" w:eastAsia="zh-CN"/>
        </w:rPr>
      </w:pPr>
    </w:p>
    <w:p w14:paraId="0BB7AA22">
      <w:pPr>
        <w:jc w:val="both"/>
        <w:rPr>
          <w:rFonts w:hint="eastAsia" w:ascii="仿宋" w:hAnsi="仿宋" w:eastAsia="仿宋" w:cs="仿宋"/>
          <w:color w:val="auto"/>
          <w:highlight w:val="none"/>
          <w:shd w:val="clear" w:color="auto" w:fill="auto"/>
          <w:lang w:val="en-US" w:eastAsia="zh-CN"/>
        </w:rPr>
      </w:pPr>
    </w:p>
    <w:p w14:paraId="64061991">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u w:val="single"/>
          <w:shd w:val="clear" w:color="auto" w:fill="auto"/>
          <w:lang w:val="en-US" w:eastAsia="zh-CN"/>
        </w:rPr>
      </w:pPr>
      <w:bookmarkStart w:id="0" w:name="_Toc10535"/>
      <w:bookmarkStart w:id="1" w:name="_Toc19409"/>
      <w:bookmarkStart w:id="2" w:name="_Toc32493"/>
    </w:p>
    <w:p w14:paraId="3C28265C">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u w:val="single"/>
          <w:shd w:val="clear" w:color="auto" w:fill="auto"/>
          <w:lang w:val="en-US" w:eastAsia="zh-CN"/>
        </w:rPr>
      </w:pPr>
    </w:p>
    <w:bookmarkEnd w:id="0"/>
    <w:bookmarkEnd w:id="1"/>
    <w:bookmarkEnd w:id="2"/>
    <w:p w14:paraId="1139208A">
      <w:pPr>
        <w:pStyle w:val="3"/>
        <w:jc w:val="center"/>
        <w:rPr>
          <w:rFonts w:hint="eastAsia" w:ascii="仿宋" w:hAnsi="仿宋" w:eastAsia="仿宋" w:cs="仿宋"/>
          <w:b/>
          <w:color w:val="auto"/>
          <w:sz w:val="52"/>
          <w:szCs w:val="52"/>
          <w:highlight w:val="none"/>
          <w:u w:val="none"/>
          <w:shd w:val="clear" w:color="auto" w:fill="auto"/>
          <w:lang w:val="en-US" w:eastAsia="zh-CN"/>
        </w:rPr>
      </w:pPr>
      <w:r>
        <w:rPr>
          <w:rFonts w:hint="eastAsia" w:ascii="仿宋" w:hAnsi="仿宋" w:eastAsia="仿宋" w:cs="仿宋"/>
          <w:b/>
          <w:color w:val="auto"/>
          <w:sz w:val="52"/>
          <w:szCs w:val="52"/>
          <w:highlight w:val="none"/>
          <w:u w:val="none"/>
          <w:shd w:val="clear" w:color="auto" w:fill="auto"/>
          <w:lang w:val="en-US" w:eastAsia="zh-CN"/>
        </w:rPr>
        <w:t>东莞市常平镇环保专业基地洗水、印花污水处理厂-3号水池、配水井土方工程</w:t>
      </w:r>
    </w:p>
    <w:p w14:paraId="5727F768">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lang w:val="en-US" w:eastAsia="zh-CN"/>
        </w:rPr>
      </w:pPr>
    </w:p>
    <w:p w14:paraId="372E33F2">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lang w:val="en-US" w:eastAsia="zh-CN"/>
        </w:rPr>
      </w:pPr>
      <w:bookmarkStart w:id="3" w:name="_Toc2067"/>
      <w:bookmarkStart w:id="4" w:name="_Toc14634"/>
      <w:bookmarkStart w:id="5" w:name="_Toc31924"/>
      <w:bookmarkStart w:id="6" w:name="_Toc18118"/>
      <w:bookmarkStart w:id="7" w:name="_Toc24567"/>
      <w:bookmarkStart w:id="8" w:name="_Toc24212"/>
      <w:bookmarkStart w:id="9" w:name="_Toc6217"/>
      <w:bookmarkStart w:id="10" w:name="_Toc10358"/>
      <w:bookmarkStart w:id="11" w:name="_Toc8826"/>
      <w:r>
        <w:rPr>
          <w:rFonts w:hint="eastAsia" w:ascii="仿宋" w:hAnsi="仿宋" w:eastAsia="仿宋" w:cs="仿宋"/>
          <w:b/>
          <w:color w:val="auto"/>
          <w:sz w:val="52"/>
          <w:szCs w:val="52"/>
          <w:highlight w:val="none"/>
          <w:lang w:val="en-US" w:eastAsia="zh-CN"/>
        </w:rPr>
        <w:t>施</w:t>
      </w:r>
      <w:bookmarkEnd w:id="3"/>
      <w:bookmarkEnd w:id="4"/>
      <w:bookmarkEnd w:id="5"/>
      <w:bookmarkEnd w:id="6"/>
      <w:bookmarkEnd w:id="7"/>
      <w:bookmarkEnd w:id="8"/>
      <w:bookmarkEnd w:id="9"/>
      <w:bookmarkEnd w:id="10"/>
      <w:bookmarkEnd w:id="11"/>
    </w:p>
    <w:p w14:paraId="0D9957AE">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lang w:val="en-US" w:eastAsia="zh-CN"/>
        </w:rPr>
      </w:pPr>
      <w:bookmarkStart w:id="12" w:name="_Toc12678"/>
      <w:bookmarkStart w:id="13" w:name="_Toc3908"/>
      <w:bookmarkStart w:id="14" w:name="_Toc30225"/>
      <w:bookmarkStart w:id="15" w:name="_Toc27315"/>
      <w:bookmarkStart w:id="16" w:name="_Toc4393"/>
      <w:bookmarkStart w:id="17" w:name="_Toc24146"/>
      <w:bookmarkStart w:id="18" w:name="_Toc32424"/>
      <w:bookmarkStart w:id="19" w:name="_Toc28560"/>
      <w:bookmarkStart w:id="20" w:name="_Toc9520"/>
      <w:r>
        <w:rPr>
          <w:rFonts w:hint="eastAsia" w:ascii="仿宋" w:hAnsi="仿宋" w:eastAsia="仿宋" w:cs="仿宋"/>
          <w:b/>
          <w:color w:val="auto"/>
          <w:sz w:val="52"/>
          <w:szCs w:val="52"/>
          <w:highlight w:val="none"/>
          <w:lang w:val="en-US" w:eastAsia="zh-CN"/>
        </w:rPr>
        <w:t>工</w:t>
      </w:r>
      <w:bookmarkEnd w:id="12"/>
      <w:bookmarkEnd w:id="13"/>
      <w:bookmarkEnd w:id="14"/>
      <w:bookmarkEnd w:id="15"/>
      <w:bookmarkEnd w:id="16"/>
      <w:bookmarkEnd w:id="17"/>
      <w:bookmarkEnd w:id="18"/>
      <w:bookmarkEnd w:id="19"/>
      <w:bookmarkEnd w:id="20"/>
    </w:p>
    <w:p w14:paraId="5145F8B4">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lang w:val="en-US" w:eastAsia="zh-CN"/>
        </w:rPr>
      </w:pPr>
      <w:bookmarkStart w:id="21" w:name="_Toc18181"/>
      <w:bookmarkStart w:id="22" w:name="_Toc6056"/>
      <w:bookmarkStart w:id="23" w:name="_Toc2432"/>
      <w:bookmarkStart w:id="24" w:name="_Toc9022"/>
      <w:bookmarkStart w:id="25" w:name="_Toc15712"/>
      <w:bookmarkStart w:id="26" w:name="_Toc26242"/>
      <w:bookmarkStart w:id="27" w:name="_Toc4950"/>
      <w:bookmarkStart w:id="28" w:name="_Toc17792"/>
      <w:bookmarkStart w:id="29" w:name="_Toc2197"/>
      <w:r>
        <w:rPr>
          <w:rFonts w:hint="eastAsia" w:ascii="仿宋" w:hAnsi="仿宋" w:eastAsia="仿宋" w:cs="仿宋"/>
          <w:b/>
          <w:color w:val="auto"/>
          <w:sz w:val="52"/>
          <w:szCs w:val="52"/>
          <w:highlight w:val="none"/>
          <w:lang w:val="en-US" w:eastAsia="zh-CN"/>
        </w:rPr>
        <w:t>合</w:t>
      </w:r>
      <w:bookmarkEnd w:id="21"/>
      <w:bookmarkEnd w:id="22"/>
      <w:bookmarkEnd w:id="23"/>
      <w:bookmarkEnd w:id="24"/>
      <w:bookmarkEnd w:id="25"/>
      <w:bookmarkEnd w:id="26"/>
      <w:bookmarkEnd w:id="27"/>
      <w:bookmarkEnd w:id="28"/>
      <w:bookmarkEnd w:id="29"/>
    </w:p>
    <w:p w14:paraId="36950808">
      <w:pPr>
        <w:jc w:val="center"/>
        <w:rPr>
          <w:rFonts w:hint="eastAsia" w:ascii="仿宋" w:hAnsi="仿宋" w:eastAsia="仿宋" w:cs="仿宋"/>
          <w:b/>
          <w:bCs/>
          <w:color w:val="auto"/>
          <w:sz w:val="24"/>
          <w:szCs w:val="28"/>
          <w:highlight w:val="none"/>
          <w:shd w:val="clear" w:color="auto" w:fill="auto"/>
          <w:lang w:val="en-US" w:eastAsia="zh-CN"/>
        </w:rPr>
      </w:pPr>
      <w:bookmarkStart w:id="30" w:name="_Toc15392"/>
      <w:bookmarkStart w:id="31" w:name="_Toc5666"/>
      <w:bookmarkStart w:id="32" w:name="_Toc10166"/>
      <w:bookmarkStart w:id="33" w:name="_Toc9857"/>
      <w:bookmarkStart w:id="34" w:name="_Toc3433"/>
      <w:bookmarkStart w:id="35" w:name="_Toc19297"/>
      <w:bookmarkStart w:id="36" w:name="_Toc8334"/>
      <w:bookmarkStart w:id="37" w:name="_Toc923"/>
      <w:bookmarkStart w:id="38" w:name="_Toc15857"/>
      <w:r>
        <w:rPr>
          <w:rFonts w:hint="eastAsia" w:ascii="仿宋" w:hAnsi="仿宋" w:eastAsia="仿宋" w:cs="仿宋"/>
          <w:b/>
          <w:color w:val="auto"/>
          <w:sz w:val="52"/>
          <w:szCs w:val="52"/>
          <w:highlight w:val="none"/>
          <w:lang w:val="en-US" w:eastAsia="zh-CN"/>
        </w:rPr>
        <w:t>同</w:t>
      </w:r>
      <w:bookmarkEnd w:id="30"/>
      <w:bookmarkEnd w:id="31"/>
      <w:bookmarkEnd w:id="32"/>
      <w:bookmarkEnd w:id="33"/>
      <w:bookmarkEnd w:id="34"/>
      <w:bookmarkEnd w:id="35"/>
      <w:bookmarkEnd w:id="36"/>
      <w:bookmarkEnd w:id="37"/>
      <w:bookmarkEnd w:id="38"/>
      <w:r>
        <w:rPr>
          <w:rFonts w:hint="eastAsia" w:ascii="仿宋" w:hAnsi="仿宋" w:eastAsia="仿宋" w:cs="仿宋"/>
          <w:b/>
          <w:bCs/>
          <w:color w:val="auto"/>
          <w:sz w:val="24"/>
          <w:szCs w:val="28"/>
          <w:highlight w:val="none"/>
          <w:shd w:val="clear" w:color="auto" w:fill="auto"/>
          <w:lang w:val="en-US" w:eastAsia="zh-CN"/>
        </w:rPr>
        <w:t xml:space="preserve"> </w:t>
      </w:r>
    </w:p>
    <w:p w14:paraId="078DC770">
      <w:pPr>
        <w:jc w:val="both"/>
        <w:rPr>
          <w:rFonts w:hint="eastAsia" w:ascii="仿宋" w:hAnsi="仿宋" w:eastAsia="仿宋" w:cs="仿宋"/>
          <w:color w:val="auto"/>
          <w:highlight w:val="none"/>
          <w:shd w:val="clear" w:color="auto" w:fill="auto"/>
          <w:lang w:val="en-US" w:eastAsia="zh-CN"/>
        </w:rPr>
      </w:pPr>
    </w:p>
    <w:p w14:paraId="7FFB6E08">
      <w:pPr>
        <w:pStyle w:val="14"/>
        <w:rPr>
          <w:rFonts w:hint="eastAsia"/>
          <w:color w:val="auto"/>
          <w:lang w:val="en-US" w:eastAsia="zh-CN"/>
        </w:rPr>
      </w:pPr>
    </w:p>
    <w:p w14:paraId="00A5B211">
      <w:pPr>
        <w:jc w:val="both"/>
        <w:rPr>
          <w:rFonts w:hint="eastAsia" w:ascii="仿宋" w:hAnsi="仿宋" w:eastAsia="仿宋" w:cs="仿宋"/>
          <w:color w:val="auto"/>
          <w:highlight w:val="none"/>
          <w:shd w:val="clear" w:color="auto" w:fill="auto"/>
          <w:lang w:val="en-US" w:eastAsia="zh-CN"/>
        </w:rPr>
      </w:pPr>
    </w:p>
    <w:p w14:paraId="55527CD0">
      <w:pPr>
        <w:jc w:val="both"/>
        <w:rPr>
          <w:rFonts w:hint="eastAsia" w:ascii="仿宋" w:hAnsi="仿宋" w:eastAsia="仿宋" w:cs="仿宋"/>
          <w:color w:val="auto"/>
          <w:highlight w:val="none"/>
          <w:shd w:val="clear" w:color="auto" w:fill="auto"/>
          <w:lang w:val="en-US" w:eastAsia="zh-CN"/>
        </w:rPr>
      </w:pPr>
    </w:p>
    <w:p w14:paraId="3C1B4BC5">
      <w:pPr>
        <w:jc w:val="both"/>
        <w:rPr>
          <w:rFonts w:hint="eastAsia" w:ascii="仿宋" w:hAnsi="仿宋" w:eastAsia="仿宋" w:cs="仿宋"/>
          <w:color w:val="auto"/>
          <w:highlight w:val="none"/>
          <w:shd w:val="clear" w:color="auto" w:fill="auto"/>
          <w:lang w:val="en-US" w:eastAsia="zh-CN"/>
        </w:rPr>
      </w:pPr>
    </w:p>
    <w:p w14:paraId="6FF55CFE">
      <w:pPr>
        <w:keepNext w:val="0"/>
        <w:keepLines w:val="0"/>
        <w:pageBreakBefore w:val="0"/>
        <w:widowControl w:val="0"/>
        <w:kinsoku/>
        <w:wordWrap/>
        <w:overflowPunct/>
        <w:topLinePunct w:val="0"/>
        <w:autoSpaceDE/>
        <w:autoSpaceDN/>
        <w:bidi w:val="0"/>
        <w:adjustRightInd/>
        <w:snapToGrid/>
        <w:ind w:left="0" w:leftChars="0" w:firstLine="1898" w:firstLineChars="678"/>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合同编号：</w:t>
      </w:r>
    </w:p>
    <w:p w14:paraId="66E385D1">
      <w:pPr>
        <w:keepNext w:val="0"/>
        <w:keepLines w:val="0"/>
        <w:pageBreakBefore w:val="0"/>
        <w:widowControl w:val="0"/>
        <w:kinsoku/>
        <w:wordWrap/>
        <w:overflowPunct/>
        <w:topLinePunct w:val="0"/>
        <w:autoSpaceDE/>
        <w:autoSpaceDN/>
        <w:bidi w:val="0"/>
        <w:adjustRightInd/>
        <w:snapToGrid/>
        <w:ind w:left="0" w:leftChars="0" w:firstLine="1898" w:firstLineChars="678"/>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val="en-US" w:eastAsia="zh-CN"/>
        </w:rPr>
        <w:t>发包</w:t>
      </w:r>
      <w:r>
        <w:rPr>
          <w:rFonts w:hint="eastAsia" w:ascii="仿宋" w:hAnsi="仿宋" w:eastAsia="仿宋" w:cs="仿宋"/>
          <w:b w:val="0"/>
          <w:bCs w:val="0"/>
          <w:color w:val="auto"/>
          <w:sz w:val="28"/>
          <w:szCs w:val="28"/>
          <w:highlight w:val="none"/>
          <w:shd w:val="clear" w:color="auto" w:fill="auto"/>
          <w:lang w:val="en-US" w:eastAsia="zh-CN"/>
        </w:rPr>
        <w:t>方）：东莞市中泰建安工程有限公司</w:t>
      </w:r>
    </w:p>
    <w:p w14:paraId="76B9E795">
      <w:pPr>
        <w:keepNext w:val="0"/>
        <w:keepLines w:val="0"/>
        <w:pageBreakBefore w:val="0"/>
        <w:widowControl w:val="0"/>
        <w:kinsoku/>
        <w:wordWrap/>
        <w:overflowPunct/>
        <w:topLinePunct w:val="0"/>
        <w:autoSpaceDE/>
        <w:autoSpaceDN/>
        <w:bidi w:val="0"/>
        <w:adjustRightInd/>
        <w:snapToGrid/>
        <w:ind w:left="0" w:leftChars="0" w:firstLine="1898" w:firstLineChars="678"/>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乙方（承包方）：</w:t>
      </w:r>
    </w:p>
    <w:p w14:paraId="119D52D7">
      <w:pPr>
        <w:keepNext w:val="0"/>
        <w:keepLines w:val="0"/>
        <w:pageBreakBefore w:val="0"/>
        <w:widowControl w:val="0"/>
        <w:kinsoku/>
        <w:wordWrap/>
        <w:overflowPunct/>
        <w:topLinePunct w:val="0"/>
        <w:autoSpaceDE/>
        <w:autoSpaceDN/>
        <w:bidi w:val="0"/>
        <w:adjustRightInd/>
        <w:snapToGrid/>
        <w:ind w:left="0" w:leftChars="0" w:firstLine="1898" w:firstLineChars="678"/>
        <w:jc w:val="both"/>
        <w:textAlignment w:val="auto"/>
        <w:rPr>
          <w:rFonts w:hint="eastAsia" w:ascii="仿宋" w:hAnsi="仿宋" w:eastAsia="仿宋" w:cs="仿宋"/>
          <w:b w:val="0"/>
          <w:bCs w:val="0"/>
          <w:color w:val="auto"/>
          <w:sz w:val="28"/>
          <w:szCs w:val="28"/>
          <w:highlight w:val="none"/>
          <w:u w:val="none"/>
          <w:shd w:val="clear" w:color="auto" w:fill="auto"/>
          <w:lang w:val="en-US" w:eastAsia="zh-CN"/>
        </w:rPr>
      </w:pPr>
      <w:r>
        <w:rPr>
          <w:rFonts w:hint="eastAsia" w:ascii="仿宋" w:hAnsi="仿宋" w:eastAsia="仿宋" w:cs="仿宋"/>
          <w:b w:val="0"/>
          <w:bCs w:val="0"/>
          <w:color w:val="auto"/>
          <w:sz w:val="28"/>
          <w:szCs w:val="28"/>
          <w:highlight w:val="none"/>
          <w:u w:val="none"/>
          <w:shd w:val="clear" w:color="auto" w:fill="auto"/>
          <w:lang w:val="en-US" w:eastAsia="zh-CN"/>
        </w:rPr>
        <w:t>签订日期：202</w:t>
      </w:r>
      <w:r>
        <w:rPr>
          <w:rFonts w:hint="eastAsia" w:ascii="仿宋" w:hAnsi="仿宋" w:eastAsia="仿宋" w:cs="仿宋"/>
          <w:b w:val="0"/>
          <w:bCs w:val="0"/>
          <w:color w:val="auto"/>
          <w:sz w:val="28"/>
          <w:szCs w:val="28"/>
          <w:highlight w:val="none"/>
          <w:u w:val="single"/>
          <w:shd w:val="clear" w:color="auto" w:fill="auto"/>
          <w:lang w:val="en-US" w:eastAsia="zh-CN"/>
        </w:rPr>
        <w:t>5</w:t>
      </w:r>
      <w:r>
        <w:rPr>
          <w:rFonts w:hint="eastAsia" w:ascii="仿宋" w:hAnsi="仿宋" w:eastAsia="仿宋" w:cs="仿宋"/>
          <w:b w:val="0"/>
          <w:bCs w:val="0"/>
          <w:color w:val="auto"/>
          <w:sz w:val="28"/>
          <w:szCs w:val="28"/>
          <w:highlight w:val="none"/>
          <w:u w:val="none"/>
          <w:shd w:val="clear" w:color="auto" w:fill="auto"/>
          <w:lang w:val="en-US" w:eastAsia="zh-CN"/>
        </w:rPr>
        <w:t>年</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月</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日</w:t>
      </w:r>
    </w:p>
    <w:p w14:paraId="5D95EA6F">
      <w:pPr>
        <w:keepNext w:val="0"/>
        <w:keepLines w:val="0"/>
        <w:pageBreakBefore w:val="0"/>
        <w:widowControl w:val="0"/>
        <w:kinsoku/>
        <w:wordWrap/>
        <w:overflowPunct/>
        <w:topLinePunct w:val="0"/>
        <w:autoSpaceDE/>
        <w:autoSpaceDN/>
        <w:bidi w:val="0"/>
        <w:adjustRightInd/>
        <w:snapToGrid/>
        <w:ind w:left="0" w:leftChars="0" w:firstLine="1898" w:firstLineChars="678"/>
        <w:jc w:val="both"/>
        <w:textAlignment w:val="auto"/>
        <w:rPr>
          <w:rFonts w:hint="eastAsia" w:ascii="仿宋" w:hAnsi="仿宋" w:eastAsia="仿宋" w:cs="仿宋"/>
          <w:b/>
          <w:bCs/>
          <w:color w:val="auto"/>
          <w:kern w:val="2"/>
          <w:sz w:val="32"/>
          <w:szCs w:val="32"/>
          <w:highlight w:val="none"/>
          <w:u w:val="none"/>
          <w:shd w:val="clear" w:color="auto" w:fill="auto"/>
          <w:lang w:val="en-US" w:eastAsia="zh-CN" w:bidi="ar-SA"/>
        </w:rPr>
        <w:sectPr>
          <w:headerReference r:id="rId3" w:type="default"/>
          <w:footerReference r:id="rId4" w:type="default"/>
          <w:pgSz w:w="11906" w:h="16838"/>
          <w:pgMar w:top="1440" w:right="846" w:bottom="898" w:left="118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 w:hAnsi="仿宋" w:eastAsia="仿宋" w:cs="仿宋"/>
          <w:b w:val="0"/>
          <w:bCs w:val="0"/>
          <w:color w:val="auto"/>
          <w:sz w:val="28"/>
          <w:szCs w:val="28"/>
          <w:highlight w:val="none"/>
          <w:u w:val="none"/>
          <w:shd w:val="clear" w:color="auto" w:fill="auto"/>
          <w:lang w:val="en-US" w:eastAsia="zh-CN"/>
        </w:rPr>
        <w:t>签订地点：广东东莞南城。</w:t>
      </w:r>
    </w:p>
    <w:sdt>
      <w:sdtPr>
        <w:rPr>
          <w:rFonts w:hint="eastAsia" w:ascii="仿宋" w:hAnsi="仿宋" w:eastAsia="仿宋" w:cs="仿宋"/>
          <w:color w:val="auto"/>
          <w:kern w:val="2"/>
          <w:sz w:val="21"/>
          <w:szCs w:val="22"/>
          <w:highlight w:val="none"/>
          <w:lang w:val="en-US" w:eastAsia="zh-CN" w:bidi="ar-SA"/>
        </w:rPr>
        <w:id w:val="147456128"/>
        <w15:color w:val="DBDBDB"/>
        <w:docPartObj>
          <w:docPartGallery w:val="Table of Contents"/>
          <w:docPartUnique/>
        </w:docPartObj>
      </w:sdtPr>
      <w:sdtEndPr>
        <w:rPr>
          <w:rFonts w:hint="eastAsia" w:ascii="仿宋" w:hAnsi="仿宋" w:eastAsia="仿宋" w:cs="仿宋"/>
          <w:b/>
          <w:color w:val="auto"/>
          <w:kern w:val="2"/>
          <w:sz w:val="21"/>
          <w:szCs w:val="22"/>
          <w:highlight w:val="none"/>
          <w:lang w:val="en-US" w:eastAsia="zh-CN" w:bidi="ar-SA"/>
        </w:rPr>
      </w:sdtEndPr>
      <w:sdtContent>
        <w:p w14:paraId="78B71477">
          <w:pPr>
            <w:spacing w:before="0" w:beforeLines="0" w:after="0" w:afterLines="0" w:line="240" w:lineRule="auto"/>
            <w:ind w:left="0" w:leftChars="0" w:right="0" w:rightChars="0" w:firstLine="0" w:firstLineChars="0"/>
            <w:jc w:val="center"/>
            <w:rPr>
              <w:rFonts w:hint="eastAsia" w:ascii="仿宋" w:hAnsi="仿宋" w:eastAsia="仿宋" w:cs="仿宋"/>
              <w:color w:val="auto"/>
              <w:highlight w:val="none"/>
            </w:rPr>
          </w:pPr>
          <w:bookmarkStart w:id="39" w:name="_Toc21482"/>
          <w:r>
            <w:rPr>
              <w:rFonts w:hint="eastAsia" w:ascii="仿宋" w:hAnsi="仿宋" w:eastAsia="仿宋" w:cs="仿宋"/>
              <w:color w:val="auto"/>
              <w:sz w:val="21"/>
              <w:highlight w:val="none"/>
            </w:rPr>
            <w:t>目录</w:t>
          </w:r>
        </w:p>
        <w:p w14:paraId="3DDC2EF9">
          <w:pPr>
            <w:pStyle w:val="10"/>
            <w:tabs>
              <w:tab w:val="right" w:leader="dot" w:pos="8820"/>
            </w:tabs>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TOC \o "1-2" \h \u </w:instrText>
          </w:r>
          <w:r>
            <w:rPr>
              <w:rFonts w:hint="eastAsia" w:ascii="仿宋" w:hAnsi="仿宋" w:eastAsia="仿宋" w:cs="仿宋"/>
              <w:color w:val="auto"/>
              <w:highlight w:val="none"/>
            </w:rPr>
            <w:fldChar w:fldCharType="separate"/>
          </w:r>
        </w:p>
        <w:p w14:paraId="5DEA2C2B">
          <w:pPr>
            <w:pStyle w:val="10"/>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_Toc4007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kern w:val="0"/>
              <w:szCs w:val="28"/>
              <w:highlight w:val="none"/>
              <w:shd w:val="clear" w:fill="auto"/>
              <w:lang w:val="en-US" w:eastAsia="zh-CN"/>
            </w:rPr>
            <w:t xml:space="preserve">第一部分 </w:t>
          </w:r>
          <w:r>
            <w:rPr>
              <w:rFonts w:hint="eastAsia" w:ascii="仿宋" w:hAnsi="仿宋" w:eastAsia="仿宋" w:cs="仿宋"/>
              <w:bCs/>
              <w:i w:val="0"/>
              <w:iCs w:val="0"/>
              <w:color w:val="auto"/>
              <w:kern w:val="0"/>
              <w:szCs w:val="28"/>
              <w:highlight w:val="none"/>
              <w:shd w:val="clear" w:color="auto" w:fill="auto"/>
              <w:lang w:val="en-US" w:eastAsia="zh-CN"/>
            </w:rPr>
            <w:t>合同专用条款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_Toc4007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3DCCBE95">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_Toc17579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第一章</w:t>
          </w:r>
          <w:r>
            <w:rPr>
              <w:rFonts w:hint="eastAsia" w:ascii="仿宋" w:hAnsi="仿宋" w:eastAsia="仿宋" w:cs="仿宋"/>
              <w:bCs/>
              <w:i w:val="0"/>
              <w:iCs w:val="0"/>
              <w:color w:val="auto"/>
              <w:szCs w:val="28"/>
              <w:highlight w:val="none"/>
              <w:shd w:val="clear" w:color="auto" w:fill="auto"/>
            </w:rPr>
            <w:t>、项目概况</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_Toc17579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375B21DC">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_Toc16762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第二章、承包方式</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_Toc16762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1C91403E">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_Toc29805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第三章、承包范围及主要工程内容</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_Toc29805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73583E80">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_Toc10400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第四章、工期</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_Toc10400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4</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380FE92B">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_Toc2381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第五章、工程质量标准</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_Toc2381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4</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73B42D63">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_Toc553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第六章、合同价款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_Toc553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4</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77D5DADD">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_Toc20193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第七章、计量计价方式及结算方式</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_Toc20193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6</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16D116B5">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_Toc27395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第八章、付款方式（每个组团独立付款）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_Toc27395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7</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1253B760">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_Toc22317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第九章、双方责任和权利</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_Toc22317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8</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592C0810">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_Toc15027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第十章、甲供材料设备</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_Toc15027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9</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15916EDC">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_Toc4245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第十二章、其他</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_Toc4245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9</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351A758A">
          <w:pPr>
            <w:pStyle w:val="10"/>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_Toc1733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kern w:val="0"/>
              <w:szCs w:val="28"/>
              <w:highlight w:val="none"/>
              <w:shd w:val="clear" w:fill="auto"/>
              <w:lang w:val="en-US" w:eastAsia="zh-CN"/>
            </w:rPr>
            <w:t xml:space="preserve">第二部分 </w:t>
          </w:r>
          <w:r>
            <w:rPr>
              <w:rFonts w:hint="eastAsia" w:ascii="仿宋" w:hAnsi="仿宋" w:eastAsia="仿宋" w:cs="仿宋"/>
              <w:bCs/>
              <w:i w:val="0"/>
              <w:iCs w:val="0"/>
              <w:color w:val="auto"/>
              <w:kern w:val="0"/>
              <w:szCs w:val="28"/>
              <w:highlight w:val="none"/>
              <w:shd w:val="clear" w:color="auto" w:fill="auto"/>
              <w:lang w:val="en-US" w:eastAsia="zh-CN"/>
            </w:rPr>
            <w:t>合同通用条款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_Toc1733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10</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304C1593">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_Toc4154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第一章、承包方式</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_Toc4154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10</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58DF5646">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_Toc7619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第二章、承包范围及主要工程内容</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_Toc7619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10</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10397422">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_Toc28064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第三章、工期</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_Toc28064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11</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21523DDA">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_Toc29199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第四章、工程质量标准</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_Toc29199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13</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7C9A4F9A">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_Toc12383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第五章、合同价款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_Toc12383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14</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6E50E405">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_Toc23429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第六章、计量计价方式及结算方式</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_Toc23429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15</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41068EF7">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_Toc3326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第七章、付款方式</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_Toc3326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20</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6356DC9D">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_Toc28744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第八章、双方责任和权利</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_Toc28744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23</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6729DE33">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_Toc28158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第九章、安全生产、文明施工要求</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_Toc28158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30</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071C3622">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_Toc4623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第十章、甲供材料设备</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_Toc4623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30</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767FBA85">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_Toc21107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第十一章、验收及保修</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_Toc21107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32</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28A6B950">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_Toc16116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第十二章、保险</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_Toc16116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32</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6D66B280">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_Toc5657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第十三章、奖罚条款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_Toc5657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33</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530C4C0F">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_Toc2468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第十四章、违约条款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_Toc2468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36</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691D2C41">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_Toc5952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第十五章、廉洁条款</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_Toc5952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39</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102F6E04">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\l _Toc31778 </w:instrText>
          </w:r>
          <w:r>
            <w:rPr>
              <w:rFonts w:hint="eastAsia" w:ascii="仿宋" w:hAnsi="仿宋" w:eastAsia="仿宋" w:cs="仿宋"/>
              <w:color w:val="auto"/>
              <w:highlight w:val="none"/>
            </w:rPr>
            <w:fldChar w:fldCharType="separate"/>
          </w:r>
          <w:r>
            <w:rPr>
              <w:rFonts w:hint="eastAsia" w:ascii="仿宋" w:hAnsi="仿宋" w:eastAsia="仿宋" w:cs="仿宋"/>
              <w:bCs/>
              <w:i w:val="0"/>
              <w:iCs w:val="0"/>
              <w:color w:val="auto"/>
              <w:szCs w:val="28"/>
              <w:highlight w:val="none"/>
              <w:shd w:val="clear" w:color="auto" w:fill="auto"/>
              <w:lang w:val="en-US" w:eastAsia="zh-CN"/>
            </w:rPr>
            <w:t>第十六章、其他</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_Toc31778 \h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39</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14:paraId="189320E0">
          <w:pPr>
            <w:rPr>
              <w:rFonts w:hint="eastAsia" w:ascii="仿宋" w:hAnsi="仿宋" w:eastAsia="仿宋" w:cs="仿宋"/>
              <w:b/>
              <w:bCs/>
              <w:i w:val="0"/>
              <w:iCs w:val="0"/>
              <w:color w:val="auto"/>
              <w:kern w:val="0"/>
              <w:sz w:val="28"/>
              <w:szCs w:val="28"/>
              <w:highlight w:val="none"/>
              <w:u w:val="none"/>
              <w:shd w:val="clear" w:color="auto" w:fill="auto"/>
              <w:lang w:val="en-US" w:eastAsia="zh-CN"/>
            </w:rPr>
          </w:pPr>
          <w:r>
            <w:rPr>
              <w:rFonts w:hint="eastAsia" w:ascii="仿宋" w:hAnsi="仿宋" w:eastAsia="仿宋" w:cs="仿宋"/>
              <w:color w:val="auto"/>
              <w:highlight w:val="none"/>
            </w:rPr>
            <w:fldChar w:fldCharType="end"/>
          </w:r>
        </w:p>
      </w:sdtContent>
    </w:sdt>
    <w:p w14:paraId="33BF56B0">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0" w:rightChars="0"/>
        <w:jc w:val="both"/>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p>
    <w:p w14:paraId="69FE0F17">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0" w:rightChars="0"/>
        <w:jc w:val="both"/>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p>
    <w:p w14:paraId="2F56BA95">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right="0" w:rightChars="0" w:firstLine="562" w:firstLineChars="200"/>
        <w:jc w:val="center"/>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sectPr>
          <w:footerReference r:id="rId5" w:type="default"/>
          <w:pgSz w:w="11906" w:h="16839"/>
          <w:pgMar w:top="1134" w:right="1286" w:bottom="850" w:left="1800" w:header="0" w:footer="0" w:gutter="0"/>
          <w:pgNumType w:fmt="decimal" w:start="1"/>
          <w:cols w:space="720" w:num="1"/>
        </w:sectPr>
      </w:pPr>
    </w:p>
    <w:p w14:paraId="4024AFD5">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right="0" w:rightChars="0" w:firstLine="562" w:firstLineChars="200"/>
        <w:jc w:val="center"/>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bookmarkStart w:id="40" w:name="_Toc4007"/>
      <w:r>
        <w:rPr>
          <w:rFonts w:hint="eastAsia" w:ascii="仿宋" w:hAnsi="仿宋" w:eastAsia="仿宋" w:cs="仿宋"/>
          <w:b/>
          <w:bCs/>
          <w:i w:val="0"/>
          <w:iCs w:val="0"/>
          <w:color w:val="auto"/>
          <w:kern w:val="0"/>
          <w:sz w:val="28"/>
          <w:szCs w:val="28"/>
          <w:highlight w:val="none"/>
          <w:u w:val="none"/>
          <w:shd w:val="clear" w:color="auto" w:fill="auto"/>
          <w:lang w:val="en-US" w:eastAsia="zh-CN"/>
        </w:rPr>
        <w:t>合同专用条款</w:t>
      </w:r>
      <w:bookmarkEnd w:id="39"/>
      <w:bookmarkEnd w:id="40"/>
    </w:p>
    <w:p w14:paraId="7F368EA5">
      <w:pPr>
        <w:keepNext w:val="0"/>
        <w:keepLines w:val="0"/>
        <w:pageBreakBefore w:val="0"/>
        <w:widowControl w:val="0"/>
        <w:tabs>
          <w:tab w:val="left" w:pos="6272"/>
        </w:tabs>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eastAsia="zh-CN"/>
        </w:rPr>
      </w:pPr>
      <w:r>
        <w:rPr>
          <w:rFonts w:hint="eastAsia" w:ascii="仿宋" w:hAnsi="仿宋" w:eastAsia="仿宋" w:cs="仿宋"/>
          <w:i w:val="0"/>
          <w:iCs w:val="0"/>
          <w:color w:val="auto"/>
          <w:kern w:val="0"/>
          <w:sz w:val="28"/>
          <w:szCs w:val="28"/>
          <w:highlight w:val="none"/>
          <w:shd w:val="clear" w:color="auto" w:fill="auto"/>
        </w:rPr>
        <w:t>根据《中华人民共和国民法典》《中华人民共和国建筑法》《建设工程质量管理条例》及有关法律、法规，</w:t>
      </w:r>
      <w:r>
        <w:rPr>
          <w:rFonts w:hint="eastAsia" w:ascii="仿宋" w:hAnsi="仿宋" w:eastAsia="仿宋" w:cs="仿宋"/>
          <w:i w:val="0"/>
          <w:iCs w:val="0"/>
          <w:color w:val="auto"/>
          <w:kern w:val="0"/>
          <w:sz w:val="28"/>
          <w:szCs w:val="28"/>
          <w:highlight w:val="none"/>
          <w:shd w:val="clear" w:color="auto" w:fill="auto"/>
          <w:lang w:val="en-US" w:eastAsia="zh-CN"/>
        </w:rPr>
        <w:t>在乙方确认并承诺自身满足本项目所在地住建主管部门资质和要求的前提下，</w:t>
      </w:r>
      <w:r>
        <w:rPr>
          <w:rFonts w:hint="eastAsia" w:ascii="仿宋" w:hAnsi="仿宋" w:eastAsia="仿宋" w:cs="仿宋"/>
          <w:i w:val="0"/>
          <w:iCs w:val="0"/>
          <w:color w:val="auto"/>
          <w:kern w:val="0"/>
          <w:sz w:val="28"/>
          <w:szCs w:val="28"/>
          <w:highlight w:val="none"/>
          <w:shd w:val="clear" w:color="auto" w:fill="auto"/>
        </w:rPr>
        <w:t>甲乙双方在平等、自愿、公平和诚实信用的基础上，就乙方承包</w:t>
      </w:r>
      <w:r>
        <w:rPr>
          <w:rFonts w:hint="eastAsia" w:ascii="仿宋" w:hAnsi="仿宋" w:eastAsia="仿宋" w:cs="仿宋"/>
          <w:b/>
          <w:bCs/>
          <w:i w:val="0"/>
          <w:iCs w:val="0"/>
          <w:color w:val="auto"/>
          <w:sz w:val="28"/>
          <w:szCs w:val="28"/>
          <w:highlight w:val="none"/>
          <w:u w:val="single"/>
          <w:shd w:val="clear" w:color="auto" w:fill="auto"/>
          <w:lang w:val="en-US" w:eastAsia="zh-CN"/>
        </w:rPr>
        <w:t>东莞市常平镇环保专业基地洗水、印花污水处理厂-3号水池、配水井土方工程</w:t>
      </w:r>
      <w:r>
        <w:rPr>
          <w:rFonts w:hint="eastAsia" w:ascii="仿宋" w:hAnsi="仿宋" w:eastAsia="仿宋" w:cs="仿宋"/>
          <w:i w:val="0"/>
          <w:iCs w:val="0"/>
          <w:color w:val="auto"/>
          <w:kern w:val="0"/>
          <w:sz w:val="28"/>
          <w:szCs w:val="28"/>
          <w:highlight w:val="none"/>
          <w:shd w:val="clear" w:color="auto" w:fill="auto"/>
        </w:rPr>
        <w:t>（以下简称“</w:t>
      </w:r>
      <w:r>
        <w:rPr>
          <w:rFonts w:hint="eastAsia" w:ascii="仿宋" w:hAnsi="仿宋" w:eastAsia="仿宋" w:cs="仿宋"/>
          <w:i w:val="0"/>
          <w:iCs w:val="0"/>
          <w:color w:val="auto"/>
          <w:kern w:val="0"/>
          <w:sz w:val="28"/>
          <w:szCs w:val="28"/>
          <w:highlight w:val="none"/>
          <w:shd w:val="clear" w:color="auto" w:fill="auto"/>
          <w:lang w:eastAsia="zh-CN"/>
        </w:rPr>
        <w:t>本</w:t>
      </w:r>
      <w:r>
        <w:rPr>
          <w:rFonts w:hint="eastAsia" w:ascii="仿宋" w:hAnsi="仿宋" w:eastAsia="仿宋" w:cs="仿宋"/>
          <w:i w:val="0"/>
          <w:iCs w:val="0"/>
          <w:color w:val="auto"/>
          <w:kern w:val="0"/>
          <w:sz w:val="28"/>
          <w:szCs w:val="28"/>
          <w:highlight w:val="none"/>
          <w:shd w:val="clear" w:color="auto" w:fill="auto"/>
          <w:lang w:val="en-US" w:eastAsia="zh-CN"/>
        </w:rPr>
        <w:t>工程</w:t>
      </w:r>
      <w:r>
        <w:rPr>
          <w:rFonts w:hint="eastAsia" w:ascii="仿宋" w:hAnsi="仿宋" w:eastAsia="仿宋" w:cs="仿宋"/>
          <w:i w:val="0"/>
          <w:iCs w:val="0"/>
          <w:color w:val="auto"/>
          <w:kern w:val="0"/>
          <w:sz w:val="28"/>
          <w:szCs w:val="28"/>
          <w:highlight w:val="none"/>
          <w:shd w:val="clear" w:color="auto" w:fill="auto"/>
        </w:rPr>
        <w:t>”）</w:t>
      </w:r>
      <w:r>
        <w:rPr>
          <w:rFonts w:hint="eastAsia" w:ascii="仿宋" w:hAnsi="仿宋" w:eastAsia="仿宋" w:cs="仿宋"/>
          <w:i w:val="0"/>
          <w:iCs w:val="0"/>
          <w:color w:val="auto"/>
          <w:kern w:val="0"/>
          <w:sz w:val="28"/>
          <w:szCs w:val="28"/>
          <w:highlight w:val="none"/>
          <w:shd w:val="clear" w:color="auto" w:fill="auto"/>
          <w:lang w:val="en-US" w:eastAsia="zh-CN"/>
        </w:rPr>
        <w:t>的</w:t>
      </w:r>
      <w:r>
        <w:rPr>
          <w:rFonts w:hint="eastAsia" w:ascii="仿宋" w:hAnsi="仿宋" w:eastAsia="仿宋" w:cs="仿宋"/>
          <w:i w:val="0"/>
          <w:iCs w:val="0"/>
          <w:color w:val="auto"/>
          <w:kern w:val="0"/>
          <w:sz w:val="28"/>
          <w:szCs w:val="28"/>
          <w:highlight w:val="none"/>
          <w:shd w:val="clear" w:color="auto" w:fill="auto"/>
        </w:rPr>
        <w:t>有关事项协商一致，特签订本合同以共同遵守。</w:t>
      </w:r>
      <w:r>
        <w:rPr>
          <w:rFonts w:hint="eastAsia" w:ascii="仿宋" w:hAnsi="仿宋" w:eastAsia="仿宋" w:cs="仿宋"/>
          <w:i w:val="0"/>
          <w:iCs w:val="0"/>
          <w:color w:val="auto"/>
          <w:kern w:val="0"/>
          <w:sz w:val="28"/>
          <w:szCs w:val="28"/>
          <w:highlight w:val="none"/>
          <w:shd w:val="clear" w:color="auto" w:fill="auto"/>
          <w:lang w:eastAsia="zh-CN"/>
        </w:rPr>
        <w:t>（</w:t>
      </w:r>
      <w:r>
        <w:rPr>
          <w:rFonts w:hint="eastAsia" w:ascii="仿宋" w:hAnsi="仿宋" w:eastAsia="仿宋" w:cs="仿宋"/>
          <w:i w:val="0"/>
          <w:iCs w:val="0"/>
          <w:color w:val="auto"/>
          <w:kern w:val="0"/>
          <w:sz w:val="28"/>
          <w:szCs w:val="28"/>
          <w:highlight w:val="none"/>
          <w:shd w:val="clear" w:color="auto" w:fill="auto"/>
          <w:lang w:val="en-US" w:eastAsia="zh-CN"/>
        </w:rPr>
        <w:t>本合同范围内，对以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A3"/>
      </w:r>
      <w:r>
        <w:rPr>
          <w:rFonts w:hint="eastAsia" w:ascii="仿宋" w:hAnsi="仿宋" w:eastAsia="仿宋" w:cs="仿宋"/>
          <w:i w:val="0"/>
          <w:iCs w:val="0"/>
          <w:color w:val="auto"/>
          <w:kern w:val="0"/>
          <w:sz w:val="28"/>
          <w:szCs w:val="28"/>
          <w:highlight w:val="none"/>
          <w:shd w:val="clear" w:color="auto" w:fill="auto"/>
          <w:lang w:val="en-US" w:eastAsia="zh-CN"/>
        </w:rPr>
        <w:t>或</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开头的内容为准。</w:t>
      </w:r>
      <w:r>
        <w:rPr>
          <w:rFonts w:hint="eastAsia" w:ascii="仿宋" w:hAnsi="仿宋" w:eastAsia="仿宋" w:cs="仿宋"/>
          <w:i w:val="0"/>
          <w:iCs w:val="0"/>
          <w:color w:val="auto"/>
          <w:kern w:val="0"/>
          <w:sz w:val="28"/>
          <w:szCs w:val="28"/>
          <w:highlight w:val="none"/>
          <w:shd w:val="clear" w:color="auto" w:fill="auto"/>
          <w:lang w:eastAsia="zh-CN"/>
        </w:rPr>
        <w:t>）</w:t>
      </w:r>
    </w:p>
    <w:p w14:paraId="37693EAC">
      <w:pPr>
        <w:keepNext w:val="0"/>
        <w:keepLines w:val="0"/>
        <w:pageBreakBefore w:val="0"/>
        <w:widowControl w:val="0"/>
        <w:kinsoku/>
        <w:wordWrap/>
        <w:overflowPunct/>
        <w:topLinePunct w:val="0"/>
        <w:autoSpaceDE/>
        <w:autoSpaceDN/>
        <w:bidi w:val="0"/>
        <w:adjustRightInd w:val="0"/>
        <w:snapToGrid w:val="0"/>
        <w:spacing w:before="146" w:beforeLines="50" w:line="500" w:lineRule="exact"/>
        <w:ind w:left="-199" w:leftChars="-95"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rPr>
      </w:pPr>
      <w:bookmarkStart w:id="41" w:name="_Toc1208"/>
      <w:bookmarkStart w:id="42" w:name="_Toc17579"/>
      <w:bookmarkStart w:id="43" w:name="_Toc26146"/>
      <w:r>
        <w:rPr>
          <w:rFonts w:hint="eastAsia" w:ascii="仿宋" w:hAnsi="仿宋" w:eastAsia="仿宋" w:cs="仿宋"/>
          <w:b/>
          <w:bCs/>
          <w:i w:val="0"/>
          <w:iCs w:val="0"/>
          <w:color w:val="auto"/>
          <w:sz w:val="28"/>
          <w:szCs w:val="28"/>
          <w:highlight w:val="none"/>
          <w:shd w:val="clear" w:color="auto" w:fill="auto"/>
          <w:lang w:val="en-US" w:eastAsia="zh-CN"/>
        </w:rPr>
        <w:t>第一章</w:t>
      </w:r>
      <w:r>
        <w:rPr>
          <w:rFonts w:hint="eastAsia" w:ascii="仿宋" w:hAnsi="仿宋" w:eastAsia="仿宋" w:cs="仿宋"/>
          <w:b/>
          <w:bCs/>
          <w:i w:val="0"/>
          <w:iCs w:val="0"/>
          <w:color w:val="auto"/>
          <w:sz w:val="28"/>
          <w:szCs w:val="28"/>
          <w:highlight w:val="none"/>
          <w:shd w:val="clear" w:color="auto" w:fill="auto"/>
        </w:rPr>
        <w:t>、项目概况</w:t>
      </w:r>
      <w:bookmarkEnd w:id="41"/>
      <w:bookmarkEnd w:id="42"/>
      <w:bookmarkEnd w:id="43"/>
    </w:p>
    <w:p w14:paraId="14593C81">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15" w:rightChars="-7" w:firstLine="501" w:firstLineChars="179"/>
        <w:textAlignment w:val="auto"/>
        <w:rPr>
          <w:rFonts w:hint="eastAsia" w:ascii="仿宋" w:hAnsi="仿宋" w:eastAsia="仿宋" w:cs="仿宋"/>
          <w:b w:val="0"/>
          <w:bCs w:val="0"/>
          <w:i w:val="0"/>
          <w:iCs w:val="0"/>
          <w:color w:val="auto"/>
          <w:sz w:val="28"/>
          <w:szCs w:val="28"/>
          <w:highlight w:val="none"/>
          <w:u w:val="single"/>
          <w:shd w:val="clear" w:color="auto" w:fill="auto"/>
          <w:lang w:eastAsia="zh-CN"/>
        </w:rPr>
      </w:pPr>
      <w:r>
        <w:rPr>
          <w:rFonts w:hint="eastAsia" w:ascii="仿宋" w:hAnsi="仿宋" w:eastAsia="仿宋" w:cs="仿宋"/>
          <w:i w:val="0"/>
          <w:iCs w:val="0"/>
          <w:color w:val="auto"/>
          <w:sz w:val="28"/>
          <w:szCs w:val="28"/>
          <w:highlight w:val="none"/>
          <w:shd w:val="clear" w:color="auto" w:fill="auto"/>
        </w:rPr>
        <w:t>1.1项目名称：</w:t>
      </w:r>
      <w:r>
        <w:rPr>
          <w:rFonts w:hint="eastAsia" w:ascii="仿宋" w:hAnsi="仿宋" w:eastAsia="仿宋" w:cs="仿宋"/>
          <w:i w:val="0"/>
          <w:iCs w:val="0"/>
          <w:color w:val="auto"/>
          <w:sz w:val="28"/>
          <w:szCs w:val="28"/>
          <w:highlight w:val="none"/>
          <w:u w:val="single"/>
          <w:shd w:val="clear" w:color="auto" w:fill="auto"/>
          <w:lang w:val="en-US" w:eastAsia="zh-CN"/>
        </w:rPr>
        <w:t>东莞市常平镇环保专业基地洗水、印花污水处理厂-3号水池、配水井建设工程</w:t>
      </w:r>
      <w:r>
        <w:rPr>
          <w:rFonts w:hint="eastAsia" w:ascii="仿宋" w:hAnsi="仿宋" w:eastAsia="仿宋" w:cs="仿宋"/>
          <w:b/>
          <w:bCs/>
          <w:i w:val="0"/>
          <w:iCs w:val="0"/>
          <w:color w:val="auto"/>
          <w:sz w:val="28"/>
          <w:szCs w:val="28"/>
          <w:highlight w:val="none"/>
          <w:u w:val="single"/>
          <w:shd w:val="clear" w:color="auto" w:fill="auto"/>
          <w:lang w:eastAsia="zh-CN"/>
        </w:rPr>
        <w:t>（</w:t>
      </w:r>
      <w:r>
        <w:rPr>
          <w:rFonts w:hint="eastAsia" w:ascii="仿宋" w:hAnsi="仿宋" w:eastAsia="仿宋" w:cs="仿宋"/>
          <w:b w:val="0"/>
          <w:bCs w:val="0"/>
          <w:i w:val="0"/>
          <w:iCs w:val="0"/>
          <w:color w:val="auto"/>
          <w:sz w:val="28"/>
          <w:szCs w:val="28"/>
          <w:highlight w:val="none"/>
          <w:u w:val="single"/>
          <w:shd w:val="clear" w:color="auto" w:fill="auto"/>
          <w:lang w:val="en-US" w:eastAsia="zh-CN"/>
        </w:rPr>
        <w:t>简称“本项目”</w:t>
      </w:r>
      <w:r>
        <w:rPr>
          <w:rFonts w:hint="eastAsia" w:ascii="仿宋" w:hAnsi="仿宋" w:eastAsia="仿宋" w:cs="仿宋"/>
          <w:b w:val="0"/>
          <w:bCs w:val="0"/>
          <w:i w:val="0"/>
          <w:iCs w:val="0"/>
          <w:color w:val="auto"/>
          <w:sz w:val="28"/>
          <w:szCs w:val="28"/>
          <w:highlight w:val="none"/>
          <w:u w:val="single"/>
          <w:shd w:val="clear" w:color="auto" w:fill="auto"/>
          <w:lang w:eastAsia="zh-CN"/>
        </w:rPr>
        <w:t>）</w:t>
      </w:r>
    </w:p>
    <w:p w14:paraId="231E8FD0">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15" w:rightChars="-7" w:firstLine="501" w:firstLineChars="179"/>
        <w:textAlignment w:val="auto"/>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shd w:val="clear" w:color="auto" w:fill="auto"/>
        </w:rPr>
        <w:t>1.2</w:t>
      </w:r>
      <w:r>
        <w:rPr>
          <w:rFonts w:hint="eastAsia" w:ascii="仿宋" w:hAnsi="仿宋" w:eastAsia="仿宋" w:cs="仿宋"/>
          <w:i w:val="0"/>
          <w:iCs w:val="0"/>
          <w:color w:val="auto"/>
          <w:sz w:val="28"/>
          <w:szCs w:val="28"/>
          <w:highlight w:val="none"/>
          <w:shd w:val="clear" w:color="auto" w:fill="auto"/>
          <w:lang w:val="en-US" w:eastAsia="zh-CN"/>
        </w:rPr>
        <w:t>本</w:t>
      </w:r>
      <w:r>
        <w:rPr>
          <w:rFonts w:hint="eastAsia" w:ascii="仿宋" w:hAnsi="仿宋" w:eastAsia="仿宋" w:cs="仿宋"/>
          <w:i w:val="0"/>
          <w:iCs w:val="0"/>
          <w:color w:val="auto"/>
          <w:sz w:val="28"/>
          <w:szCs w:val="28"/>
          <w:highlight w:val="none"/>
          <w:shd w:val="clear" w:color="auto" w:fill="auto"/>
        </w:rPr>
        <w:t>项目地址：</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i w:val="0"/>
          <w:iCs w:val="0"/>
          <w:color w:val="auto"/>
          <w:sz w:val="28"/>
          <w:szCs w:val="28"/>
          <w:highlight w:val="none"/>
          <w:u w:val="single"/>
          <w:shd w:val="clear" w:color="auto" w:fill="auto"/>
          <w:lang w:eastAsia="zh-CN"/>
        </w:rPr>
        <w:t>东莞市常平镇司马村谢常路麦马新街常平环保专业基地内</w:t>
      </w:r>
      <w:r>
        <w:rPr>
          <w:rFonts w:hint="eastAsia" w:ascii="仿宋" w:hAnsi="仿宋" w:eastAsia="仿宋" w:cs="仿宋"/>
          <w:i w:val="0"/>
          <w:iCs w:val="0"/>
          <w:color w:val="auto"/>
          <w:sz w:val="28"/>
          <w:szCs w:val="28"/>
          <w:highlight w:val="none"/>
          <w:u w:val="single"/>
          <w:shd w:val="clear" w:color="auto" w:fill="auto"/>
          <w:lang w:val="en-US" w:eastAsia="zh-CN"/>
        </w:rPr>
        <w:t xml:space="preserve">甲方指定地点 </w:t>
      </w:r>
    </w:p>
    <w:p w14:paraId="46FF9E4A">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1.3甲方提供的本工程施工条件、界面及主要设施：</w:t>
      </w:r>
      <w:r>
        <w:rPr>
          <w:rFonts w:hint="eastAsia" w:ascii="仿宋" w:hAnsi="仿宋" w:eastAsia="仿宋" w:cs="仿宋"/>
          <w:i w:val="0"/>
          <w:iCs w:val="0"/>
          <w:color w:val="FF0000"/>
          <w:sz w:val="28"/>
          <w:szCs w:val="28"/>
          <w:highlight w:val="none"/>
          <w:u w:val="single"/>
          <w:shd w:val="clear" w:color="auto" w:fill="auto"/>
          <w:lang w:val="en-US" w:eastAsia="zh-CN"/>
        </w:rPr>
        <w:t>以甲方提供的现场既有设施为准。</w:t>
      </w:r>
      <w:r>
        <w:rPr>
          <w:rFonts w:hint="eastAsia" w:ascii="仿宋" w:hAnsi="仿宋" w:eastAsia="仿宋" w:cs="仿宋"/>
          <w:i w:val="0"/>
          <w:iCs w:val="0"/>
          <w:color w:val="auto"/>
          <w:sz w:val="28"/>
          <w:szCs w:val="28"/>
          <w:highlight w:val="none"/>
          <w:u w:val="single"/>
          <w:shd w:val="clear" w:color="auto" w:fill="auto"/>
          <w:lang w:val="en-US" w:eastAsia="zh-CN"/>
        </w:rPr>
        <w:t>现场施工的临时水源、电源，本工程施工的水费、电费由甲方承担（水电接线由乙方负责），但乙方人员的生活电费由乙方承担且已含于各项合同价中，不另行单列计费；防扬尘网材料由乙方提供，乙方负责其施工区域的防扬尘网的铺设。</w:t>
      </w:r>
    </w:p>
    <w:p w14:paraId="4566030F">
      <w:pPr>
        <w:keepNext w:val="0"/>
        <w:keepLines w:val="0"/>
        <w:pageBreakBefore w:val="0"/>
        <w:widowControl w:val="0"/>
        <w:kinsoku/>
        <w:wordWrap/>
        <w:overflowPunct/>
        <w:topLinePunct w:val="0"/>
        <w:autoSpaceDE/>
        <w:autoSpaceDN/>
        <w:bidi w:val="0"/>
        <w:adjustRightInd w:val="0"/>
        <w:snapToGrid w:val="0"/>
        <w:spacing w:before="146" w:beforeLines="50" w:line="500" w:lineRule="exact"/>
        <w:ind w:left="-199" w:leftChars="-95"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44" w:name="_Toc16762"/>
      <w:r>
        <w:rPr>
          <w:rFonts w:hint="eastAsia" w:ascii="仿宋" w:hAnsi="仿宋" w:eastAsia="仿宋" w:cs="仿宋"/>
          <w:b/>
          <w:bCs/>
          <w:i w:val="0"/>
          <w:iCs w:val="0"/>
          <w:color w:val="auto"/>
          <w:sz w:val="28"/>
          <w:szCs w:val="28"/>
          <w:highlight w:val="none"/>
          <w:shd w:val="clear" w:color="auto" w:fill="auto"/>
          <w:lang w:val="en-US" w:eastAsia="zh-CN"/>
        </w:rPr>
        <w:t>第二章、承包方式</w:t>
      </w:r>
      <w:bookmarkEnd w:id="44"/>
    </w:p>
    <w:p w14:paraId="61DE4DCE">
      <w:pPr>
        <w:keepNext w:val="0"/>
        <w:keepLines w:val="0"/>
        <w:pageBreakBefore w:val="0"/>
        <w:widowControl w:val="0"/>
        <w:tabs>
          <w:tab w:val="left" w:pos="6780"/>
        </w:tabs>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2.1乙方对本工程</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u w:val="none"/>
          <w:shd w:val="clear" w:color="auto" w:fill="auto"/>
          <w:lang w:val="en-US" w:eastAsia="zh-CN"/>
        </w:rPr>
        <w:t>包工包料包机械/</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u w:val="none"/>
          <w:shd w:val="clear" w:color="auto" w:fill="auto"/>
          <w:lang w:val="en-US" w:eastAsia="zh-CN"/>
        </w:rPr>
        <w:t>包工包部分材料（仅不含甲供材）/</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u w:val="none"/>
          <w:shd w:val="clear" w:color="auto" w:fill="auto"/>
          <w:lang w:val="en-US" w:eastAsia="zh-CN"/>
        </w:rPr>
        <w:t>包工</w:t>
      </w:r>
      <w:r>
        <w:rPr>
          <w:rFonts w:hint="eastAsia" w:ascii="仿宋" w:hAnsi="仿宋" w:eastAsia="仿宋" w:cs="仿宋"/>
          <w:color w:val="auto"/>
          <w:sz w:val="28"/>
          <w:szCs w:val="28"/>
          <w:highlight w:val="none"/>
          <w:lang w:val="en-US" w:eastAsia="zh-CN"/>
        </w:rPr>
        <w:t>，包洗车费、包泥尾堆码及盖土网、包泥尾一切费用、包本工程全部建筑垃圾外运、包质量、包安全与文明施工、包进度、包相关施工措施、包验收合格、包场地清理、包大门外路面清理、包管理费与利润包成品保护、包协调解决</w:t>
      </w:r>
      <w:r>
        <w:rPr>
          <w:rFonts w:hint="eastAsia" w:ascii="仿宋" w:hAnsi="仿宋" w:eastAsia="仿宋" w:cs="仿宋"/>
          <w:i w:val="0"/>
          <w:iCs w:val="0"/>
          <w:color w:val="auto"/>
          <w:kern w:val="0"/>
          <w:sz w:val="28"/>
          <w:szCs w:val="28"/>
          <w:highlight w:val="none"/>
          <w:shd w:val="clear" w:color="auto" w:fill="auto"/>
          <w:lang w:val="en-US" w:eastAsia="zh-CN"/>
        </w:rPr>
        <w:t>本工程涉及的各类关系（包括但不限于政府主管部门、</w:t>
      </w:r>
      <w:r>
        <w:rPr>
          <w:rFonts w:hint="eastAsia" w:ascii="仿宋" w:hAnsi="仿宋" w:eastAsia="仿宋" w:cs="仿宋"/>
          <w:color w:val="auto"/>
          <w:sz w:val="28"/>
          <w:szCs w:val="28"/>
          <w:highlight w:val="none"/>
          <w:lang w:val="en-US" w:eastAsia="zh-CN"/>
        </w:rPr>
        <w:t>社区、村委、</w:t>
      </w:r>
      <w:r>
        <w:rPr>
          <w:rFonts w:hint="eastAsia" w:ascii="仿宋" w:hAnsi="仿宋" w:eastAsia="仿宋" w:cs="仿宋"/>
          <w:i w:val="0"/>
          <w:iCs w:val="0"/>
          <w:color w:val="auto"/>
          <w:kern w:val="0"/>
          <w:sz w:val="28"/>
          <w:szCs w:val="28"/>
          <w:highlight w:val="none"/>
          <w:shd w:val="clear" w:color="auto" w:fill="auto"/>
          <w:lang w:val="en-US" w:eastAsia="zh-CN"/>
        </w:rPr>
        <w:t>周边居民等</w:t>
      </w:r>
      <w:r>
        <w:rPr>
          <w:rFonts w:hint="eastAsia" w:ascii="仿宋" w:hAnsi="仿宋" w:eastAsia="仿宋" w:cs="仿宋"/>
          <w:color w:val="auto"/>
          <w:sz w:val="28"/>
          <w:szCs w:val="28"/>
          <w:highlight w:val="none"/>
          <w:lang w:val="en-US" w:eastAsia="zh-CN"/>
        </w:rPr>
        <w:t>各种关系）、包不可抗力因素以外的</w:t>
      </w:r>
      <w:r>
        <w:rPr>
          <w:rFonts w:hint="eastAsia" w:ascii="仿宋" w:hAnsi="仿宋" w:eastAsia="仿宋" w:cs="仿宋"/>
          <w:i w:val="0"/>
          <w:iCs w:val="0"/>
          <w:color w:val="auto"/>
          <w:kern w:val="0"/>
          <w:sz w:val="28"/>
          <w:szCs w:val="28"/>
          <w:highlight w:val="none"/>
          <w:shd w:val="clear" w:color="auto" w:fill="auto"/>
          <w:lang w:val="en-US" w:eastAsia="zh-CN"/>
        </w:rPr>
        <w:t>本工程施工过程中所涉及的一切风险因素及全部内容及费用。</w:t>
      </w:r>
    </w:p>
    <w:p w14:paraId="51D31826">
      <w:pPr>
        <w:keepNext w:val="0"/>
        <w:keepLines w:val="0"/>
        <w:pageBreakBefore w:val="0"/>
        <w:widowControl w:val="0"/>
        <w:tabs>
          <w:tab w:val="left" w:pos="6780"/>
        </w:tabs>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2.2本工程竣工图由</w:t>
      </w:r>
      <w:r>
        <w:rPr>
          <w:rFonts w:hint="eastAsia" w:ascii="仿宋" w:hAnsi="仿宋" w:eastAsia="仿宋" w:cs="仿宋"/>
          <w:color w:val="auto"/>
          <w:sz w:val="28"/>
          <w:szCs w:val="28"/>
          <w:highlight w:val="none"/>
          <w:lang w:val="en-US" w:eastAsia="zh-CN"/>
        </w:rPr>
        <w:sym w:font="Wingdings 2" w:char="0052"/>
      </w:r>
      <w:r>
        <w:rPr>
          <w:rFonts w:hint="eastAsia" w:ascii="仿宋" w:hAnsi="仿宋" w:eastAsia="仿宋" w:cs="仿宋"/>
          <w:color w:val="auto"/>
          <w:sz w:val="28"/>
          <w:szCs w:val="28"/>
          <w:highlight w:val="none"/>
          <w:lang w:val="en-US" w:eastAsia="zh-CN"/>
        </w:rPr>
        <w:t>甲方绘制/</w:t>
      </w:r>
      <w:r>
        <w:rPr>
          <w:rFonts w:hint="eastAsia" w:ascii="仿宋" w:hAnsi="仿宋" w:eastAsia="仿宋" w:cs="仿宋"/>
          <w:color w:val="auto"/>
          <w:sz w:val="28"/>
          <w:szCs w:val="28"/>
          <w:highlight w:val="none"/>
          <w:lang w:val="en-US" w:eastAsia="zh-CN"/>
        </w:rPr>
        <w:sym w:font="Wingdings 2" w:char="00A3"/>
      </w:r>
      <w:r>
        <w:rPr>
          <w:rFonts w:hint="eastAsia" w:ascii="仿宋" w:hAnsi="仿宋" w:eastAsia="仿宋" w:cs="仿宋"/>
          <w:color w:val="auto"/>
          <w:sz w:val="28"/>
          <w:szCs w:val="28"/>
          <w:highlight w:val="none"/>
          <w:lang w:val="en-US" w:eastAsia="zh-CN"/>
        </w:rPr>
        <w:t>乙方绘制。</w:t>
      </w:r>
    </w:p>
    <w:p w14:paraId="435567D3">
      <w:pPr>
        <w:keepNext w:val="0"/>
        <w:keepLines w:val="0"/>
        <w:pageBreakBefore w:val="0"/>
        <w:widowControl w:val="0"/>
        <w:kinsoku/>
        <w:wordWrap/>
        <w:overflowPunct/>
        <w:topLinePunct w:val="0"/>
        <w:autoSpaceDE/>
        <w:autoSpaceDN/>
        <w:bidi w:val="0"/>
        <w:adjustRightInd w:val="0"/>
        <w:snapToGrid w:val="0"/>
        <w:spacing w:before="146" w:beforeLines="50" w:line="500" w:lineRule="exact"/>
        <w:ind w:left="-199" w:leftChars="-95"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45" w:name="_Toc27213"/>
      <w:bookmarkStart w:id="46" w:name="_Toc9670"/>
      <w:bookmarkStart w:id="47" w:name="_Toc29805"/>
      <w:r>
        <w:rPr>
          <w:rFonts w:hint="eastAsia" w:ascii="仿宋" w:hAnsi="仿宋" w:eastAsia="仿宋" w:cs="仿宋"/>
          <w:b/>
          <w:bCs/>
          <w:i w:val="0"/>
          <w:iCs w:val="0"/>
          <w:color w:val="auto"/>
          <w:sz w:val="28"/>
          <w:szCs w:val="28"/>
          <w:highlight w:val="none"/>
          <w:shd w:val="clear" w:color="auto" w:fill="auto"/>
          <w:lang w:val="en-US" w:eastAsia="zh-CN"/>
        </w:rPr>
        <w:t>第三章、承包范围及主要工程内容</w:t>
      </w:r>
      <w:bookmarkEnd w:id="45"/>
      <w:bookmarkEnd w:id="46"/>
      <w:bookmarkEnd w:id="47"/>
    </w:p>
    <w:p w14:paraId="24DEA16C">
      <w:pPr>
        <w:keepNext w:val="0"/>
        <w:keepLines w:val="0"/>
        <w:pageBreakBefore w:val="0"/>
        <w:widowControl w:val="0"/>
        <w:tabs>
          <w:tab w:val="left" w:pos="6780"/>
        </w:tabs>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3.1本项目用地红线范围内及本工程图纸（即甲方确认的广州市创景市政工程设计有限公司设计的二0二五年三月版本工程施工图，详见附件《图纸目录清单》，含设计变更）范围、及经甲方权限领导审批的本工程与本项目其他专业施工界限文件（如有）内的全部土方等相关工程由乙方施工（具体施工范围按甲方要求），过程中产生的全部人员报酬、材料（本合同约定的甲供材除外）、机具、施工管理等由乙方解决。</w:t>
      </w:r>
    </w:p>
    <w:p w14:paraId="1EFC5687">
      <w:pPr>
        <w:keepNext w:val="0"/>
        <w:keepLines w:val="0"/>
        <w:pageBreakBefore w:val="0"/>
        <w:widowControl w:val="0"/>
        <w:tabs>
          <w:tab w:val="left" w:pos="6780"/>
        </w:tabs>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val="en-US" w:eastAsia="zh-CN"/>
        </w:rPr>
        <w:t>3</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eastAsia" w:ascii="仿宋" w:hAnsi="仿宋" w:eastAsia="仿宋" w:cs="仿宋"/>
          <w:b w:val="0"/>
          <w:bCs w:val="0"/>
          <w:i w:val="0"/>
          <w:iCs w:val="0"/>
          <w:color w:val="auto"/>
          <w:sz w:val="28"/>
          <w:szCs w:val="28"/>
          <w:highlight w:val="none"/>
          <w:shd w:val="clear" w:color="auto" w:fill="auto"/>
        </w:rPr>
        <w:t>乙方</w:t>
      </w:r>
      <w:r>
        <w:rPr>
          <w:rFonts w:hint="eastAsia" w:ascii="仿宋" w:hAnsi="仿宋" w:eastAsia="仿宋" w:cs="仿宋"/>
          <w:b w:val="0"/>
          <w:bCs w:val="0"/>
          <w:i w:val="0"/>
          <w:iCs w:val="0"/>
          <w:color w:val="auto"/>
          <w:sz w:val="28"/>
          <w:szCs w:val="28"/>
          <w:highlight w:val="none"/>
          <w:shd w:val="clear" w:color="auto" w:fill="auto"/>
          <w:lang w:val="en-US" w:eastAsia="zh-CN"/>
        </w:rPr>
        <w:t>承包</w:t>
      </w:r>
      <w:r>
        <w:rPr>
          <w:rFonts w:hint="eastAsia" w:ascii="仿宋" w:hAnsi="仿宋" w:eastAsia="仿宋" w:cs="仿宋"/>
          <w:b w:val="0"/>
          <w:bCs w:val="0"/>
          <w:i w:val="0"/>
          <w:iCs w:val="0"/>
          <w:color w:val="auto"/>
          <w:sz w:val="28"/>
          <w:szCs w:val="28"/>
          <w:highlight w:val="none"/>
          <w:shd w:val="clear" w:color="auto" w:fill="auto"/>
        </w:rPr>
        <w:t>的内容</w:t>
      </w:r>
      <w:r>
        <w:rPr>
          <w:rFonts w:hint="eastAsia" w:ascii="仿宋" w:hAnsi="仿宋" w:eastAsia="仿宋" w:cs="仿宋"/>
          <w:b w:val="0"/>
          <w:bCs w:val="0"/>
          <w:i w:val="0"/>
          <w:iCs w:val="0"/>
          <w:color w:val="auto"/>
          <w:sz w:val="28"/>
          <w:szCs w:val="28"/>
          <w:highlight w:val="none"/>
          <w:shd w:val="clear" w:color="auto" w:fill="auto"/>
          <w:lang w:val="en-US" w:eastAsia="zh-CN"/>
        </w:rPr>
        <w:t>包括但不限于</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b w:val="0"/>
          <w:bCs w:val="0"/>
          <w:i w:val="0"/>
          <w:iCs w:val="0"/>
          <w:color w:val="auto"/>
          <w:sz w:val="28"/>
          <w:szCs w:val="28"/>
          <w:highlight w:val="none"/>
          <w:shd w:val="clear" w:color="auto" w:fill="auto"/>
          <w:lang w:val="en-US" w:eastAsia="zh-CN"/>
        </w:rPr>
        <w:t>场地平整，</w:t>
      </w:r>
      <w:r>
        <w:rPr>
          <w:rFonts w:hint="eastAsia" w:ascii="仿宋" w:hAnsi="仿宋" w:eastAsia="仿宋" w:cs="仿宋"/>
          <w:b w:val="0"/>
          <w:bCs w:val="0"/>
          <w:i w:val="0"/>
          <w:iCs w:val="0"/>
          <w:color w:val="auto"/>
          <w:sz w:val="28"/>
          <w:szCs w:val="28"/>
          <w:highlight w:val="none"/>
          <w:u w:val="none"/>
          <w:shd w:val="clear" w:color="auto" w:fill="auto"/>
        </w:rPr>
        <w:t>大土（石）方开挖及回填</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基础土（石）方开挖及回填</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配合甲方的锚杆支护工程进度</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场地平整</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修边坡</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挖水沟</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场内修路及土方回填，余方弃置（含运输</w:t>
      </w:r>
      <w:r>
        <w:rPr>
          <w:rFonts w:hint="eastAsia" w:ascii="仿宋" w:hAnsi="仿宋" w:eastAsia="仿宋" w:cs="仿宋"/>
          <w:b w:val="0"/>
          <w:bCs w:val="0"/>
          <w:i w:val="0"/>
          <w:iCs w:val="0"/>
          <w:color w:val="auto"/>
          <w:sz w:val="28"/>
          <w:szCs w:val="28"/>
          <w:highlight w:val="none"/>
          <w:u w:val="none"/>
          <w:shd w:val="clear" w:color="auto" w:fill="auto"/>
          <w:lang w:val="en-US" w:eastAsia="zh-CN"/>
        </w:rPr>
        <w:t>至</w:t>
      </w:r>
      <w:r>
        <w:rPr>
          <w:rFonts w:hint="eastAsia" w:ascii="仿宋" w:hAnsi="仿宋" w:eastAsia="仿宋" w:cs="仿宋"/>
          <w:b w:val="0"/>
          <w:bCs w:val="0"/>
          <w:i w:val="0"/>
          <w:iCs w:val="0"/>
          <w:color w:val="auto"/>
          <w:sz w:val="28"/>
          <w:szCs w:val="28"/>
          <w:highlight w:val="none"/>
          <w:u w:val="none"/>
          <w:shd w:val="clear" w:color="auto" w:fill="auto"/>
        </w:rPr>
        <w:t>弃置场地，如因实际情况改变导致运输距离增减的，工程结算价不作调整，不属于增加工程）</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场地内有原建筑砼地面和钢筋砼基础的破除</w:t>
      </w:r>
      <w:r>
        <w:rPr>
          <w:rFonts w:hint="eastAsia" w:ascii="仿宋" w:hAnsi="仿宋" w:eastAsia="仿宋" w:cs="仿宋"/>
          <w:b w:val="0"/>
          <w:bCs w:val="0"/>
          <w:i w:val="0"/>
          <w:iCs w:val="0"/>
          <w:color w:val="auto"/>
          <w:sz w:val="28"/>
          <w:szCs w:val="28"/>
          <w:highlight w:val="none"/>
          <w:u w:val="none"/>
          <w:shd w:val="clear" w:color="auto" w:fill="auto"/>
          <w:lang w:eastAsia="zh-CN"/>
        </w:rPr>
        <w:t>，处理、解决</w:t>
      </w:r>
      <w:r>
        <w:rPr>
          <w:rFonts w:hint="eastAsia" w:ascii="仿宋" w:hAnsi="仿宋" w:eastAsia="仿宋" w:cs="仿宋"/>
          <w:b w:val="0"/>
          <w:bCs w:val="0"/>
          <w:i w:val="0"/>
          <w:iCs w:val="0"/>
          <w:color w:val="auto"/>
          <w:sz w:val="28"/>
          <w:szCs w:val="28"/>
          <w:highlight w:val="none"/>
          <w:u w:val="none"/>
          <w:shd w:val="clear" w:color="auto" w:fill="auto"/>
        </w:rPr>
        <w:t>乙方机械、车辆上路后的社会关系等</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亦包括</w:t>
      </w:r>
      <w:r>
        <w:rPr>
          <w:rFonts w:hint="eastAsia" w:ascii="仿宋" w:hAnsi="仿宋" w:eastAsia="仿宋" w:cs="仿宋"/>
          <w:b w:val="0"/>
          <w:bCs w:val="0"/>
          <w:i w:val="0"/>
          <w:iCs w:val="0"/>
          <w:color w:val="auto"/>
          <w:sz w:val="28"/>
          <w:szCs w:val="28"/>
          <w:highlight w:val="none"/>
          <w:u w:val="none"/>
          <w:shd w:val="clear" w:color="auto" w:fill="auto"/>
          <w:lang w:eastAsia="zh-CN"/>
        </w:rPr>
        <w:t>基坑、槽内人工清槽工作，房心回填土机械分层压实、平整；</w:t>
      </w:r>
      <w:r>
        <w:rPr>
          <w:rFonts w:hint="eastAsia" w:ascii="仿宋" w:hAnsi="仿宋" w:eastAsia="仿宋" w:cs="仿宋"/>
          <w:b w:val="0"/>
          <w:bCs w:val="0"/>
          <w:i w:val="0"/>
          <w:iCs w:val="0"/>
          <w:color w:val="auto"/>
          <w:sz w:val="28"/>
          <w:szCs w:val="28"/>
          <w:highlight w:val="none"/>
          <w:u w:val="none"/>
          <w:shd w:val="clear" w:color="auto" w:fill="auto"/>
          <w:lang w:val="en-US" w:eastAsia="zh-CN"/>
        </w:rPr>
        <w:t>包括</w:t>
      </w:r>
      <w:r>
        <w:rPr>
          <w:rFonts w:hint="eastAsia" w:ascii="仿宋" w:hAnsi="仿宋" w:eastAsia="仿宋" w:cs="仿宋"/>
          <w:b w:val="0"/>
          <w:bCs w:val="0"/>
          <w:i w:val="0"/>
          <w:iCs w:val="0"/>
          <w:color w:val="auto"/>
          <w:sz w:val="28"/>
          <w:szCs w:val="28"/>
          <w:highlight w:val="none"/>
          <w:u w:val="none"/>
          <w:shd w:val="clear" w:color="auto" w:fill="auto"/>
          <w:lang w:eastAsia="zh-CN"/>
        </w:rPr>
        <w:t>因梁柱混凝土结构致使大型机械（如压路机）无法</w:t>
      </w:r>
      <w:r>
        <w:rPr>
          <w:rFonts w:hint="eastAsia" w:ascii="仿宋" w:hAnsi="仿宋" w:eastAsia="仿宋" w:cs="仿宋"/>
          <w:b w:val="0"/>
          <w:bCs w:val="0"/>
          <w:i w:val="0"/>
          <w:iCs w:val="0"/>
          <w:color w:val="auto"/>
          <w:sz w:val="28"/>
          <w:szCs w:val="28"/>
          <w:highlight w:val="none"/>
          <w:u w:val="none"/>
          <w:shd w:val="clear" w:color="auto" w:fill="auto"/>
          <w:lang w:val="en-US" w:eastAsia="zh-CN"/>
        </w:rPr>
        <w:t>施工</w:t>
      </w:r>
      <w:r>
        <w:rPr>
          <w:rFonts w:hint="eastAsia" w:ascii="仿宋" w:hAnsi="仿宋" w:eastAsia="仿宋" w:cs="仿宋"/>
          <w:b w:val="0"/>
          <w:bCs w:val="0"/>
          <w:i w:val="0"/>
          <w:iCs w:val="0"/>
          <w:color w:val="auto"/>
          <w:sz w:val="28"/>
          <w:szCs w:val="28"/>
          <w:highlight w:val="none"/>
          <w:u w:val="none"/>
          <w:shd w:val="clear" w:color="auto" w:fill="auto"/>
          <w:lang w:eastAsia="zh-CN"/>
        </w:rPr>
        <w:t>部位</w:t>
      </w:r>
      <w:r>
        <w:rPr>
          <w:rFonts w:hint="eastAsia" w:ascii="仿宋" w:hAnsi="仿宋" w:eastAsia="仿宋" w:cs="仿宋"/>
          <w:b w:val="0"/>
          <w:bCs w:val="0"/>
          <w:i w:val="0"/>
          <w:iCs w:val="0"/>
          <w:color w:val="auto"/>
          <w:sz w:val="28"/>
          <w:szCs w:val="28"/>
          <w:highlight w:val="none"/>
          <w:u w:val="none"/>
          <w:shd w:val="clear" w:color="auto" w:fill="auto"/>
          <w:lang w:val="en-US" w:eastAsia="zh-CN"/>
        </w:rPr>
        <w:t>而用</w:t>
      </w:r>
      <w:r>
        <w:rPr>
          <w:rFonts w:hint="eastAsia" w:ascii="仿宋" w:hAnsi="仿宋" w:eastAsia="仿宋" w:cs="仿宋"/>
          <w:b w:val="0"/>
          <w:bCs w:val="0"/>
          <w:i w:val="0"/>
          <w:iCs w:val="0"/>
          <w:color w:val="auto"/>
          <w:sz w:val="28"/>
          <w:szCs w:val="28"/>
          <w:highlight w:val="none"/>
          <w:u w:val="none"/>
          <w:shd w:val="clear" w:color="auto" w:fill="auto"/>
          <w:lang w:eastAsia="zh-CN"/>
        </w:rPr>
        <w:t>人工打夯压实平整工作；</w:t>
      </w:r>
      <w:r>
        <w:rPr>
          <w:rFonts w:hint="eastAsia" w:ascii="仿宋" w:hAnsi="仿宋" w:eastAsia="仿宋" w:cs="仿宋"/>
          <w:b w:val="0"/>
          <w:bCs w:val="0"/>
          <w:i w:val="0"/>
          <w:iCs w:val="0"/>
          <w:color w:val="auto"/>
          <w:sz w:val="28"/>
          <w:szCs w:val="28"/>
          <w:highlight w:val="none"/>
          <w:u w:val="none"/>
          <w:shd w:val="clear" w:color="auto" w:fill="auto"/>
          <w:lang w:val="en-US" w:eastAsia="zh-CN"/>
        </w:rPr>
        <w:t>包括</w:t>
      </w:r>
      <w:r>
        <w:rPr>
          <w:rFonts w:hint="eastAsia" w:ascii="仿宋" w:hAnsi="仿宋" w:eastAsia="仿宋" w:cs="仿宋"/>
          <w:b w:val="0"/>
          <w:bCs w:val="0"/>
          <w:i w:val="0"/>
          <w:iCs w:val="0"/>
          <w:color w:val="auto"/>
          <w:sz w:val="28"/>
          <w:szCs w:val="28"/>
          <w:highlight w:val="none"/>
          <w:u w:val="none"/>
          <w:shd w:val="clear" w:color="auto" w:fill="auto"/>
        </w:rPr>
        <w:t>本工程涉及的各项验收工作以及承包范围内的相关安全文明施工及其配合工作</w:t>
      </w:r>
      <w:r>
        <w:rPr>
          <w:rFonts w:hint="eastAsia" w:ascii="仿宋" w:hAnsi="仿宋" w:eastAsia="仿宋" w:cs="仿宋"/>
          <w:b w:val="0"/>
          <w:bCs w:val="0"/>
          <w:i w:val="0"/>
          <w:iCs w:val="0"/>
          <w:color w:val="auto"/>
          <w:sz w:val="28"/>
          <w:szCs w:val="28"/>
          <w:highlight w:val="none"/>
          <w:u w:val="none"/>
          <w:shd w:val="clear" w:color="auto" w:fill="auto"/>
          <w:lang w:val="en-US" w:eastAsia="zh-CN"/>
        </w:rPr>
        <w:t>。本工程图纸内出现漏项、错项、无重大工程量变更的图纸调整、图纸及清单未列明但属于本工程合理施工范围或基于完成本工程所需进行的施工范围等情形均属于乙方施工范围；上述所有内容产生的各项费用均包含在合同单价内，不属于增加工程，除非双方额外签证，否则结算时工程价款不作调整。</w:t>
      </w:r>
    </w:p>
    <w:p w14:paraId="50F7354D">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u w:val="single"/>
          <w:shd w:val="clear" w:color="auto" w:fill="auto"/>
        </w:rPr>
      </w:pPr>
      <w:r>
        <w:rPr>
          <w:rFonts w:hint="eastAsia" w:ascii="仿宋" w:hAnsi="仿宋" w:eastAsia="仿宋" w:cs="仿宋"/>
          <w:b w:val="0"/>
          <w:bCs w:val="0"/>
          <w:i w:val="0"/>
          <w:iCs w:val="0"/>
          <w:color w:val="auto"/>
          <w:sz w:val="28"/>
          <w:szCs w:val="28"/>
          <w:highlight w:val="none"/>
          <w:shd w:val="clear" w:color="auto" w:fill="auto"/>
          <w:lang w:val="en-US" w:eastAsia="zh-CN"/>
        </w:rPr>
        <w:t>3</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b w:val="0"/>
          <w:bCs w:val="0"/>
          <w:i w:val="0"/>
          <w:iCs w:val="0"/>
          <w:color w:val="auto"/>
          <w:sz w:val="28"/>
          <w:szCs w:val="28"/>
          <w:highlight w:val="none"/>
          <w:shd w:val="clear" w:color="auto" w:fill="auto"/>
          <w:lang w:val="en-US" w:eastAsia="zh-CN"/>
        </w:rPr>
        <w:t>3</w:t>
      </w:r>
      <w:r>
        <w:rPr>
          <w:rFonts w:hint="eastAsia" w:ascii="仿宋" w:hAnsi="仿宋" w:eastAsia="仿宋" w:cs="仿宋"/>
          <w:b w:val="0"/>
          <w:bCs w:val="0"/>
          <w:i w:val="0"/>
          <w:iCs w:val="0"/>
          <w:color w:val="auto"/>
          <w:sz w:val="28"/>
          <w:szCs w:val="28"/>
          <w:highlight w:val="none"/>
          <w:shd w:val="clear" w:color="auto" w:fill="auto"/>
        </w:rPr>
        <w:t>乙方自备</w:t>
      </w:r>
      <w:r>
        <w:rPr>
          <w:rFonts w:hint="eastAsia" w:ascii="仿宋" w:hAnsi="仿宋" w:eastAsia="仿宋" w:cs="仿宋"/>
          <w:b w:val="0"/>
          <w:bCs w:val="0"/>
          <w:i w:val="0"/>
          <w:iCs w:val="0"/>
          <w:color w:val="auto"/>
          <w:sz w:val="28"/>
          <w:szCs w:val="28"/>
          <w:highlight w:val="none"/>
          <w:shd w:val="clear" w:color="auto" w:fill="auto"/>
          <w:lang w:val="en-US" w:eastAsia="zh-CN"/>
        </w:rPr>
        <w:t>的</w:t>
      </w:r>
      <w:r>
        <w:rPr>
          <w:rFonts w:hint="eastAsia" w:ascii="仿宋" w:hAnsi="仿宋" w:eastAsia="仿宋" w:cs="仿宋"/>
          <w:b w:val="0"/>
          <w:bCs w:val="0"/>
          <w:i w:val="0"/>
          <w:iCs w:val="0"/>
          <w:color w:val="auto"/>
          <w:sz w:val="28"/>
          <w:szCs w:val="28"/>
          <w:highlight w:val="none"/>
          <w:shd w:val="clear" w:color="auto" w:fill="auto"/>
        </w:rPr>
        <w:t>施工材料</w:t>
      </w:r>
      <w:r>
        <w:rPr>
          <w:rFonts w:hint="eastAsia" w:ascii="仿宋" w:hAnsi="仿宋" w:eastAsia="仿宋" w:cs="仿宋"/>
          <w:b w:val="0"/>
          <w:bCs w:val="0"/>
          <w:i w:val="0"/>
          <w:iCs w:val="0"/>
          <w:color w:val="auto"/>
          <w:sz w:val="28"/>
          <w:szCs w:val="28"/>
          <w:highlight w:val="none"/>
          <w:shd w:val="clear" w:color="auto" w:fill="auto"/>
          <w:lang w:val="en-US" w:eastAsia="zh-CN"/>
        </w:rPr>
        <w:t>如下</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防尘</w:t>
      </w:r>
      <w:r>
        <w:rPr>
          <w:rFonts w:hint="eastAsia" w:ascii="仿宋" w:hAnsi="仿宋" w:eastAsia="仿宋" w:cs="仿宋"/>
          <w:i w:val="0"/>
          <w:iCs w:val="0"/>
          <w:color w:val="auto"/>
          <w:sz w:val="28"/>
          <w:szCs w:val="28"/>
          <w:highlight w:val="none"/>
          <w:u w:val="none"/>
          <w:shd w:val="clear" w:color="auto" w:fill="auto"/>
        </w:rPr>
        <w:t>网、铺路钢板及</w:t>
      </w:r>
      <w:r>
        <w:rPr>
          <w:rFonts w:hint="eastAsia" w:ascii="仿宋" w:hAnsi="仿宋" w:eastAsia="仿宋" w:cs="仿宋"/>
          <w:b w:val="0"/>
          <w:bCs w:val="0"/>
          <w:i w:val="0"/>
          <w:iCs w:val="0"/>
          <w:color w:val="auto"/>
          <w:sz w:val="28"/>
          <w:szCs w:val="28"/>
          <w:highlight w:val="none"/>
          <w:shd w:val="clear" w:color="auto" w:fill="auto"/>
          <w:lang w:val="en-US" w:eastAsia="zh-CN"/>
        </w:rPr>
        <w:t>完成</w:t>
      </w:r>
      <w:r>
        <w:rPr>
          <w:rFonts w:hint="eastAsia" w:ascii="仿宋" w:hAnsi="仿宋" w:eastAsia="仿宋" w:cs="仿宋"/>
          <w:b w:val="0"/>
          <w:bCs w:val="0"/>
          <w:i w:val="0"/>
          <w:iCs w:val="0"/>
          <w:color w:val="auto"/>
          <w:sz w:val="28"/>
          <w:szCs w:val="28"/>
          <w:highlight w:val="none"/>
          <w:u w:val="none"/>
          <w:shd w:val="clear" w:color="auto" w:fill="auto"/>
          <w:lang w:val="en-US" w:eastAsia="zh-CN"/>
        </w:rPr>
        <w:t>本工程</w:t>
      </w:r>
      <w:r>
        <w:rPr>
          <w:rFonts w:hint="eastAsia" w:ascii="仿宋" w:hAnsi="仿宋" w:eastAsia="仿宋" w:cs="仿宋"/>
          <w:b w:val="0"/>
          <w:bCs w:val="0"/>
          <w:i w:val="0"/>
          <w:iCs w:val="0"/>
          <w:color w:val="auto"/>
          <w:sz w:val="28"/>
          <w:szCs w:val="28"/>
          <w:highlight w:val="none"/>
          <w:u w:val="none"/>
          <w:shd w:val="clear" w:color="auto" w:fill="auto"/>
        </w:rPr>
        <w:t>所用材料(本合同约定的甲供材除外)</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相关</w:t>
      </w:r>
      <w:r>
        <w:rPr>
          <w:rFonts w:hint="eastAsia" w:ascii="仿宋" w:hAnsi="仿宋" w:eastAsia="仿宋" w:cs="仿宋"/>
          <w:b w:val="0"/>
          <w:bCs w:val="0"/>
          <w:i w:val="0"/>
          <w:iCs w:val="0"/>
          <w:color w:val="auto"/>
          <w:sz w:val="28"/>
          <w:szCs w:val="28"/>
          <w:highlight w:val="none"/>
          <w:shd w:val="clear" w:color="auto" w:fill="auto"/>
        </w:rPr>
        <w:t>费用及二次搬运费已包</w:t>
      </w:r>
      <w:r>
        <w:rPr>
          <w:rFonts w:hint="eastAsia" w:ascii="仿宋" w:hAnsi="仿宋" w:eastAsia="仿宋" w:cs="仿宋"/>
          <w:b w:val="0"/>
          <w:bCs w:val="0"/>
          <w:i w:val="0"/>
          <w:iCs w:val="0"/>
          <w:color w:val="auto"/>
          <w:sz w:val="28"/>
          <w:szCs w:val="28"/>
          <w:highlight w:val="none"/>
          <w:shd w:val="clear" w:color="auto" w:fill="auto"/>
          <w:lang w:val="en-US" w:eastAsia="zh-CN"/>
        </w:rPr>
        <w:t>含</w:t>
      </w:r>
      <w:r>
        <w:rPr>
          <w:rFonts w:hint="eastAsia" w:ascii="仿宋" w:hAnsi="仿宋" w:eastAsia="仿宋" w:cs="仿宋"/>
          <w:b w:val="0"/>
          <w:bCs w:val="0"/>
          <w:i w:val="0"/>
          <w:iCs w:val="0"/>
          <w:color w:val="auto"/>
          <w:sz w:val="28"/>
          <w:szCs w:val="28"/>
          <w:highlight w:val="none"/>
          <w:shd w:val="clear" w:color="auto" w:fill="auto"/>
        </w:rPr>
        <w:t>在合同</w:t>
      </w:r>
      <w:r>
        <w:rPr>
          <w:rFonts w:hint="eastAsia" w:ascii="仿宋" w:hAnsi="仿宋" w:eastAsia="仿宋" w:cs="仿宋"/>
          <w:b w:val="0"/>
          <w:bCs w:val="0"/>
          <w:i w:val="0"/>
          <w:iCs w:val="0"/>
          <w:color w:val="auto"/>
          <w:sz w:val="28"/>
          <w:szCs w:val="28"/>
          <w:highlight w:val="none"/>
          <w:shd w:val="clear" w:color="auto" w:fill="auto"/>
          <w:lang w:val="en-US" w:eastAsia="zh-CN"/>
        </w:rPr>
        <w:t>单</w:t>
      </w:r>
      <w:r>
        <w:rPr>
          <w:rFonts w:hint="eastAsia" w:ascii="仿宋" w:hAnsi="仿宋" w:eastAsia="仿宋" w:cs="仿宋"/>
          <w:b w:val="0"/>
          <w:bCs w:val="0"/>
          <w:i w:val="0"/>
          <w:iCs w:val="0"/>
          <w:color w:val="auto"/>
          <w:sz w:val="28"/>
          <w:szCs w:val="28"/>
          <w:highlight w:val="none"/>
          <w:shd w:val="clear" w:color="auto" w:fill="auto"/>
        </w:rPr>
        <w:t>价内。</w:t>
      </w:r>
    </w:p>
    <w:p w14:paraId="71A8CDFA">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jc w:val="both"/>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val="en-US" w:eastAsia="zh-CN"/>
        </w:rPr>
        <w:t>3</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rPr>
        <w:t>乙方自备的施工机具</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动力能源如下</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i w:val="0"/>
          <w:iCs w:val="0"/>
          <w:color w:val="auto"/>
          <w:sz w:val="28"/>
          <w:szCs w:val="28"/>
          <w:highlight w:val="none"/>
          <w:u w:val="none"/>
          <w:shd w:val="clear" w:color="auto" w:fill="auto"/>
        </w:rPr>
        <w:t>推土机、铲运机、挖土机、挖掘机、装载机等一切与乙方承包范围相关所必须配备的</w:t>
      </w:r>
      <w:r>
        <w:rPr>
          <w:rFonts w:hint="eastAsia" w:ascii="仿宋" w:hAnsi="仿宋" w:eastAsia="仿宋" w:cs="仿宋"/>
          <w:i w:val="0"/>
          <w:iCs w:val="0"/>
          <w:color w:val="auto"/>
          <w:sz w:val="28"/>
          <w:szCs w:val="28"/>
          <w:highlight w:val="none"/>
          <w:u w:val="none"/>
          <w:shd w:val="clear" w:color="auto" w:fill="auto"/>
          <w:lang w:val="en-US" w:eastAsia="zh-CN"/>
        </w:rPr>
        <w:t>机械</w:t>
      </w:r>
      <w:r>
        <w:rPr>
          <w:rFonts w:hint="eastAsia" w:ascii="仿宋" w:hAnsi="仿宋" w:eastAsia="仿宋" w:cs="仿宋"/>
          <w:i w:val="0"/>
          <w:iCs w:val="0"/>
          <w:color w:val="auto"/>
          <w:sz w:val="28"/>
          <w:szCs w:val="28"/>
          <w:highlight w:val="none"/>
          <w:u w:val="none"/>
          <w:shd w:val="clear" w:color="auto" w:fill="auto"/>
        </w:rPr>
        <w:t>设备</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rPr>
        <w:t>小型机具及燃油、动力能源。其费用已包括在合同</w:t>
      </w:r>
      <w:r>
        <w:rPr>
          <w:rFonts w:hint="eastAsia" w:ascii="仿宋" w:hAnsi="仿宋" w:eastAsia="仿宋" w:cs="仿宋"/>
          <w:i w:val="0"/>
          <w:iCs w:val="0"/>
          <w:color w:val="auto"/>
          <w:sz w:val="28"/>
          <w:szCs w:val="28"/>
          <w:highlight w:val="none"/>
          <w:u w:val="none"/>
          <w:shd w:val="clear" w:color="auto" w:fill="auto"/>
          <w:lang w:val="en-US" w:eastAsia="zh-CN"/>
        </w:rPr>
        <w:t>单</w:t>
      </w:r>
      <w:r>
        <w:rPr>
          <w:rFonts w:hint="eastAsia" w:ascii="仿宋" w:hAnsi="仿宋" w:eastAsia="仿宋" w:cs="仿宋"/>
          <w:i w:val="0"/>
          <w:iCs w:val="0"/>
          <w:color w:val="auto"/>
          <w:sz w:val="28"/>
          <w:szCs w:val="28"/>
          <w:highlight w:val="none"/>
          <w:u w:val="none"/>
          <w:shd w:val="clear" w:color="auto" w:fill="auto"/>
        </w:rPr>
        <w:t>价内，乙方自带设备的维修保养及工具器的消耗、购置与租赁等费用由乙方自行承担。</w:t>
      </w:r>
    </w:p>
    <w:p w14:paraId="32E97E87">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val="en-US" w:eastAsia="zh-CN"/>
        </w:rPr>
        <w:t>3</w:t>
      </w:r>
      <w:r>
        <w:rPr>
          <w:rFonts w:hint="eastAsia" w:ascii="仿宋" w:hAnsi="仿宋" w:eastAsia="仿宋" w:cs="仿宋"/>
          <w:i w:val="0"/>
          <w:iCs w:val="0"/>
          <w:color w:val="auto"/>
          <w:sz w:val="28"/>
          <w:szCs w:val="28"/>
          <w:highlight w:val="none"/>
          <w:shd w:val="clear" w:color="auto" w:fill="auto"/>
        </w:rPr>
        <w:t>.</w:t>
      </w:r>
      <w:r>
        <w:rPr>
          <w:rFonts w:hint="eastAsia" w:ascii="仿宋" w:hAnsi="仿宋" w:eastAsia="仿宋" w:cs="仿宋"/>
          <w:i w:val="0"/>
          <w:iCs w:val="0"/>
          <w:color w:val="auto"/>
          <w:sz w:val="28"/>
          <w:szCs w:val="28"/>
          <w:highlight w:val="none"/>
          <w:shd w:val="clear" w:color="auto" w:fill="auto"/>
          <w:lang w:val="en-US" w:eastAsia="zh-CN"/>
        </w:rPr>
        <w:t>5</w:t>
      </w:r>
      <w:r>
        <w:rPr>
          <w:rFonts w:hint="eastAsia" w:ascii="仿宋" w:hAnsi="仿宋" w:eastAsia="仿宋" w:cs="仿宋"/>
          <w:i w:val="0"/>
          <w:iCs w:val="0"/>
          <w:color w:val="auto"/>
          <w:sz w:val="28"/>
          <w:szCs w:val="28"/>
          <w:highlight w:val="none"/>
          <w:u w:val="none"/>
          <w:shd w:val="clear" w:color="auto" w:fill="auto"/>
        </w:rPr>
        <w:t>基坑土方分层回填，30cm/层，并采用挖掘机液压振动夯方式分层夯实，压实系数≥94%</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具体开挖深度、宽度按甲方提供的施工图纸、相关文件要求及建设单位要求执行</w:t>
      </w:r>
      <w:r>
        <w:rPr>
          <w:rFonts w:hint="eastAsia" w:ascii="仿宋" w:hAnsi="仿宋" w:eastAsia="仿宋" w:cs="仿宋"/>
          <w:i w:val="0"/>
          <w:iCs w:val="0"/>
          <w:color w:val="auto"/>
          <w:sz w:val="28"/>
          <w:szCs w:val="28"/>
          <w:highlight w:val="none"/>
          <w:shd w:val="clear" w:color="auto" w:fill="auto"/>
          <w:lang w:eastAsia="zh-CN"/>
        </w:rPr>
        <w:t>。</w:t>
      </w:r>
    </w:p>
    <w:p w14:paraId="0882539D">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val="en-US" w:eastAsia="zh-CN"/>
        </w:rPr>
        <w:t>3</w:t>
      </w:r>
      <w:r>
        <w:rPr>
          <w:rFonts w:hint="eastAsia" w:ascii="仿宋" w:hAnsi="仿宋" w:eastAsia="仿宋" w:cs="仿宋"/>
          <w:i w:val="0"/>
          <w:iCs w:val="0"/>
          <w:color w:val="auto"/>
          <w:sz w:val="28"/>
          <w:szCs w:val="28"/>
          <w:highlight w:val="none"/>
          <w:shd w:val="clear" w:color="auto" w:fill="auto"/>
        </w:rPr>
        <w:t>.</w:t>
      </w:r>
      <w:r>
        <w:rPr>
          <w:rFonts w:hint="eastAsia" w:ascii="仿宋" w:hAnsi="仿宋" w:eastAsia="仿宋" w:cs="仿宋"/>
          <w:i w:val="0"/>
          <w:iCs w:val="0"/>
          <w:color w:val="auto"/>
          <w:sz w:val="28"/>
          <w:szCs w:val="28"/>
          <w:highlight w:val="none"/>
          <w:shd w:val="clear" w:color="auto" w:fill="auto"/>
          <w:lang w:val="en-US" w:eastAsia="zh-CN"/>
        </w:rPr>
        <w:t>6</w:t>
      </w:r>
      <w:r>
        <w:rPr>
          <w:rFonts w:hint="eastAsia" w:ascii="仿宋" w:hAnsi="仿宋" w:eastAsia="仿宋" w:cs="仿宋"/>
          <w:i w:val="0"/>
          <w:iCs w:val="0"/>
          <w:color w:val="auto"/>
          <w:sz w:val="28"/>
          <w:szCs w:val="28"/>
          <w:highlight w:val="none"/>
          <w:shd w:val="clear" w:color="auto" w:fill="auto"/>
        </w:rPr>
        <w:t>施工过程中的地下水</w:t>
      </w:r>
      <w:r>
        <w:rPr>
          <w:rFonts w:hint="eastAsia" w:ascii="仿宋" w:hAnsi="仿宋" w:eastAsia="仿宋" w:cs="仿宋"/>
          <w:i w:val="0"/>
          <w:iCs w:val="0"/>
          <w:color w:val="auto"/>
          <w:sz w:val="28"/>
          <w:szCs w:val="28"/>
          <w:highlight w:val="none"/>
          <w:shd w:val="clear" w:color="auto" w:fill="auto"/>
          <w:lang w:val="en-US" w:eastAsia="zh-CN"/>
        </w:rPr>
        <w:t>及天气原因造成乙方工作面需要抽水时</w:t>
      </w:r>
      <w:r>
        <w:rPr>
          <w:rFonts w:hint="eastAsia" w:ascii="仿宋" w:hAnsi="仿宋" w:eastAsia="仿宋" w:cs="仿宋"/>
          <w:i w:val="0"/>
          <w:iCs w:val="0"/>
          <w:color w:val="auto"/>
          <w:sz w:val="28"/>
          <w:szCs w:val="28"/>
          <w:highlight w:val="none"/>
          <w:shd w:val="clear" w:color="auto" w:fill="auto"/>
        </w:rPr>
        <w:t>，由甲方提供抽水设备，乙方负责抽水</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不另计费。</w:t>
      </w:r>
      <w:r>
        <w:rPr>
          <w:rFonts w:hint="eastAsia" w:ascii="仿宋" w:hAnsi="仿宋" w:eastAsia="仿宋" w:cs="仿宋"/>
          <w:i w:val="0"/>
          <w:iCs w:val="0"/>
          <w:color w:val="auto"/>
          <w:sz w:val="28"/>
          <w:szCs w:val="28"/>
          <w:highlight w:val="none"/>
          <w:shd w:val="clear" w:color="auto" w:fill="auto"/>
        </w:rPr>
        <w:t xml:space="preserve">        </w:t>
      </w:r>
    </w:p>
    <w:p w14:paraId="47E23F9A">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3</w:t>
      </w:r>
      <w:r>
        <w:rPr>
          <w:rFonts w:hint="eastAsia" w:ascii="仿宋" w:hAnsi="仿宋" w:eastAsia="仿宋" w:cs="仿宋"/>
          <w:i w:val="0"/>
          <w:iCs w:val="0"/>
          <w:color w:val="auto"/>
          <w:sz w:val="28"/>
          <w:szCs w:val="28"/>
          <w:highlight w:val="none"/>
          <w:shd w:val="clear" w:color="auto" w:fill="auto"/>
        </w:rPr>
        <w:t>.</w:t>
      </w:r>
      <w:r>
        <w:rPr>
          <w:rFonts w:hint="eastAsia" w:ascii="仿宋" w:hAnsi="仿宋" w:eastAsia="仿宋" w:cs="仿宋"/>
          <w:i w:val="0"/>
          <w:iCs w:val="0"/>
          <w:color w:val="auto"/>
          <w:sz w:val="28"/>
          <w:szCs w:val="28"/>
          <w:highlight w:val="none"/>
          <w:shd w:val="clear" w:color="auto" w:fill="auto"/>
          <w:lang w:val="en-US" w:eastAsia="zh-CN"/>
        </w:rPr>
        <w:t>7乙方负责</w:t>
      </w:r>
      <w:r>
        <w:rPr>
          <w:rFonts w:hint="eastAsia" w:ascii="仿宋" w:hAnsi="仿宋" w:eastAsia="仿宋" w:cs="仿宋"/>
          <w:i w:val="0"/>
          <w:iCs w:val="0"/>
          <w:color w:val="auto"/>
          <w:sz w:val="28"/>
          <w:szCs w:val="28"/>
          <w:highlight w:val="none"/>
          <w:shd w:val="clear" w:color="auto" w:fill="auto"/>
        </w:rPr>
        <w:t>挖运土方至园区内及园区外地点堆放并推平，该堆放地点必须合法并满足当地国土部门、村、镇、区等政府行政部门的要求，否则，因此导致甲方受到相关部门行政处分、处罚的，一切责任和费用及甲方损失由乙方承担。</w:t>
      </w:r>
      <w:r>
        <w:rPr>
          <w:rFonts w:hint="eastAsia" w:ascii="仿宋" w:hAnsi="仿宋" w:eastAsia="仿宋" w:cs="仿宋"/>
          <w:i w:val="0"/>
          <w:iCs w:val="0"/>
          <w:color w:val="auto"/>
          <w:sz w:val="28"/>
          <w:szCs w:val="28"/>
          <w:highlight w:val="none"/>
          <w:shd w:val="clear" w:color="auto" w:fill="auto"/>
          <w:lang w:val="en-US" w:eastAsia="zh-CN"/>
        </w:rPr>
        <w:t>挖运场地上的余有杂物运至符合环保等要求的本项目用地红线外的场地堆放，因堆放所产生的各种风险和危害均属乙方责任，并</w:t>
      </w:r>
      <w:r>
        <w:rPr>
          <w:rFonts w:hint="eastAsia" w:ascii="仿宋" w:hAnsi="仿宋" w:eastAsia="仿宋" w:cs="仿宋"/>
          <w:i w:val="0"/>
          <w:iCs w:val="0"/>
          <w:color w:val="auto"/>
          <w:sz w:val="28"/>
          <w:szCs w:val="28"/>
          <w:highlight w:val="none"/>
          <w:shd w:val="clear" w:color="auto" w:fill="auto"/>
        </w:rPr>
        <w:t>由乙方承担</w:t>
      </w:r>
      <w:r>
        <w:rPr>
          <w:rFonts w:hint="eastAsia" w:ascii="仿宋" w:hAnsi="仿宋" w:eastAsia="仿宋" w:cs="仿宋"/>
          <w:i w:val="0"/>
          <w:iCs w:val="0"/>
          <w:color w:val="auto"/>
          <w:sz w:val="28"/>
          <w:szCs w:val="28"/>
          <w:highlight w:val="none"/>
          <w:shd w:val="clear" w:color="auto" w:fill="auto"/>
          <w:lang w:val="en-US" w:eastAsia="zh-CN"/>
        </w:rPr>
        <w:t>所有费用及损失</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安全文明施工措施、市政道路运输须满足当地政府主管部门的要求，建筑垃圾、弃土位置须满足当地国土资源管理部门及村委的要求。建筑垃圾、弃土位置由乙方负责解决并负责运输及依法处置，乙方保证运输过程做好防护措施，不出现沿路撒土、遗漏等破坏环境的情况。</w:t>
      </w:r>
    </w:p>
    <w:p w14:paraId="43FEA334">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val="en-US" w:eastAsia="zh-CN"/>
        </w:rPr>
        <w:t>3</w:t>
      </w:r>
      <w:r>
        <w:rPr>
          <w:rFonts w:hint="eastAsia" w:ascii="仿宋" w:hAnsi="仿宋" w:eastAsia="仿宋" w:cs="仿宋"/>
          <w:i w:val="0"/>
          <w:iCs w:val="0"/>
          <w:color w:val="auto"/>
          <w:sz w:val="28"/>
          <w:szCs w:val="28"/>
          <w:highlight w:val="none"/>
          <w:shd w:val="clear" w:color="auto" w:fill="auto"/>
        </w:rPr>
        <w:t>.</w:t>
      </w:r>
      <w:r>
        <w:rPr>
          <w:rFonts w:hint="eastAsia" w:ascii="仿宋" w:hAnsi="仿宋" w:eastAsia="仿宋" w:cs="仿宋"/>
          <w:i w:val="0"/>
          <w:iCs w:val="0"/>
          <w:color w:val="auto"/>
          <w:sz w:val="28"/>
          <w:szCs w:val="28"/>
          <w:highlight w:val="none"/>
          <w:shd w:val="clear" w:color="auto" w:fill="auto"/>
          <w:lang w:val="en-US" w:eastAsia="zh-CN"/>
        </w:rPr>
        <w:t>8乙方</w:t>
      </w:r>
      <w:r>
        <w:rPr>
          <w:rFonts w:hint="eastAsia" w:ascii="仿宋" w:hAnsi="仿宋" w:eastAsia="仿宋" w:cs="仿宋"/>
          <w:i w:val="0"/>
          <w:iCs w:val="0"/>
          <w:color w:val="auto"/>
          <w:sz w:val="28"/>
          <w:szCs w:val="28"/>
          <w:highlight w:val="none"/>
          <w:shd w:val="clear" w:color="auto" w:fill="auto"/>
        </w:rPr>
        <w:t>负责土方开挖、填埋、压实、内外运过程中对园区及周边市政道路的污染和粉、尘污染的防护、清洗以及协调处理，费用已包含在合同单价内，不另计费。</w:t>
      </w:r>
    </w:p>
    <w:p w14:paraId="50C0BED9">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3.9土方挖运所需的路面洒水、降尘措施及费用已包含在合同单价（详见合同相关计量计价约定）内，不另计费。</w:t>
      </w:r>
    </w:p>
    <w:p w14:paraId="69B5EC01">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3.10基坑支护工程施工需要的工作面，乙方无条件配合挖出工作面给基坑支护单位正常开工。无论乙方因任何原因不能出土，都必须配合基坑支护的连续、正常开工。乙方必须确保基坑支护施工所需工作面的提供。</w:t>
      </w:r>
    </w:p>
    <w:p w14:paraId="0DDFFC34">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3.11乙方对土坡有下道工序的部位进行土方开挖时，必须修整好土面，以满足下道工序的正常进行为准。</w:t>
      </w:r>
    </w:p>
    <w:p w14:paraId="3020F704">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3.12承台、地梁的土方开挖，须配合甲方的安排及在质量、进度上符合甲方的要求。</w:t>
      </w:r>
    </w:p>
    <w:p w14:paraId="1F9E0DB0">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3.13乙方车辆在本工程与园区道路交接的相应位置必须进入洗车槽，洗车槽由甲方提供，车辆驶出施工现场前必须清洗干净，洗车所需人员由乙方配备。</w:t>
      </w:r>
    </w:p>
    <w:p w14:paraId="0F32A572">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i w:val="0"/>
          <w:iCs w:val="0"/>
          <w:color w:val="auto"/>
          <w:sz w:val="28"/>
          <w:szCs w:val="28"/>
          <w:highlight w:val="none"/>
          <w:shd w:val="clear" w:color="auto" w:fill="auto"/>
          <w:lang w:val="en-US" w:eastAsia="zh-CN"/>
        </w:rPr>
        <w:t>3.14乙方在土方挖运过程中造成超挖的，甲方不予结算，乙方自担责任和费用。若因超挖造成其他损失的，一概由乙方承担，同时甲方保留处罚权。由于甲方原因造成超挖的，甲方须按合同单价结算给乙方。</w:t>
      </w:r>
    </w:p>
    <w:p w14:paraId="1228B5E2">
      <w:pPr>
        <w:keepNext w:val="0"/>
        <w:keepLines w:val="0"/>
        <w:pageBreakBefore w:val="0"/>
        <w:widowControl w:val="0"/>
        <w:tabs>
          <w:tab w:val="left" w:pos="6780"/>
        </w:tabs>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bookmarkStart w:id="48" w:name="_Toc15468"/>
      <w:bookmarkStart w:id="49" w:name="_Toc10400"/>
      <w:bookmarkStart w:id="50" w:name="_Toc15548"/>
      <w:r>
        <w:rPr>
          <w:rFonts w:hint="eastAsia" w:ascii="仿宋" w:hAnsi="仿宋" w:eastAsia="仿宋" w:cs="仿宋"/>
          <w:i w:val="0"/>
          <w:iCs w:val="0"/>
          <w:color w:val="auto"/>
          <w:kern w:val="0"/>
          <w:sz w:val="28"/>
          <w:szCs w:val="28"/>
          <w:highlight w:val="none"/>
          <w:shd w:val="clear" w:color="auto" w:fill="auto"/>
          <w:lang w:val="en-US" w:eastAsia="zh-CN"/>
        </w:rPr>
        <w:t>3.15施工现场内，本工程所需材料、机具的运输不另计费。材料进、出场时，乙方派工人上、下车，上下车费用包含在</w:t>
      </w:r>
      <w:r>
        <w:rPr>
          <w:rFonts w:hint="eastAsia" w:ascii="仿宋" w:hAnsi="仿宋" w:eastAsia="仿宋" w:cs="仿宋"/>
          <w:i w:val="0"/>
          <w:iCs w:val="0"/>
          <w:color w:val="auto"/>
          <w:kern w:val="0"/>
          <w:sz w:val="28"/>
          <w:szCs w:val="28"/>
          <w:highlight w:val="none"/>
          <w:shd w:val="clear" w:color="auto" w:fill="auto"/>
          <w:lang w:val="en-US" w:eastAsia="zh-CN"/>
        </w:rPr>
        <w:sym w:font="Wingdings" w:char="00FE"/>
      </w:r>
      <w:r>
        <w:rPr>
          <w:rFonts w:hint="eastAsia" w:ascii="仿宋" w:hAnsi="仿宋" w:eastAsia="仿宋" w:cs="仿宋"/>
          <w:i w:val="0"/>
          <w:iCs w:val="0"/>
          <w:color w:val="auto"/>
          <w:kern w:val="0"/>
          <w:sz w:val="28"/>
          <w:szCs w:val="28"/>
          <w:highlight w:val="none"/>
          <w:shd w:val="clear" w:color="auto" w:fill="auto"/>
          <w:lang w:val="en-US" w:eastAsia="zh-CN"/>
        </w:rPr>
        <w:t>各项合同单价</w:t>
      </w:r>
      <w:r>
        <w:rPr>
          <w:rFonts w:hint="eastAsia" w:ascii="仿宋" w:hAnsi="仿宋" w:eastAsia="仿宋" w:cs="仿宋"/>
          <w:i w:val="0"/>
          <w:iCs w:val="0"/>
          <w:color w:val="auto"/>
          <w:kern w:val="0"/>
          <w:sz w:val="28"/>
          <w:szCs w:val="28"/>
          <w:highlight w:val="none"/>
          <w:shd w:val="clear" w:color="auto" w:fill="auto"/>
          <w:lang w:val="en-US" w:eastAsia="zh-CN"/>
        </w:rPr>
        <w:sym w:font="Wingdings" w:char="00A8"/>
      </w:r>
      <w:r>
        <w:rPr>
          <w:rFonts w:hint="eastAsia" w:ascii="仿宋" w:hAnsi="仿宋" w:eastAsia="仿宋" w:cs="仿宋"/>
          <w:i w:val="0"/>
          <w:iCs w:val="0"/>
          <w:color w:val="auto"/>
          <w:kern w:val="0"/>
          <w:sz w:val="28"/>
          <w:szCs w:val="28"/>
          <w:highlight w:val="none"/>
          <w:shd w:val="clear" w:color="auto" w:fill="auto"/>
          <w:lang w:val="en-US" w:eastAsia="zh-CN"/>
        </w:rPr>
        <w:t>合同总价内，甲供材料的卸车由乙方负责且费用已包含在</w:t>
      </w:r>
      <w:r>
        <w:rPr>
          <w:rFonts w:hint="eastAsia" w:ascii="仿宋" w:hAnsi="仿宋" w:eastAsia="仿宋" w:cs="仿宋"/>
          <w:i w:val="0"/>
          <w:iCs w:val="0"/>
          <w:color w:val="auto"/>
          <w:kern w:val="0"/>
          <w:sz w:val="28"/>
          <w:szCs w:val="28"/>
          <w:highlight w:val="none"/>
          <w:shd w:val="clear" w:color="auto" w:fill="auto"/>
          <w:lang w:val="en-US" w:eastAsia="zh-CN"/>
        </w:rPr>
        <w:sym w:font="Wingdings" w:char="00FE"/>
      </w:r>
      <w:r>
        <w:rPr>
          <w:rFonts w:hint="eastAsia" w:ascii="仿宋" w:hAnsi="仿宋" w:eastAsia="仿宋" w:cs="仿宋"/>
          <w:i w:val="0"/>
          <w:iCs w:val="0"/>
          <w:color w:val="auto"/>
          <w:kern w:val="0"/>
          <w:sz w:val="28"/>
          <w:szCs w:val="28"/>
          <w:highlight w:val="none"/>
          <w:shd w:val="clear" w:color="auto" w:fill="auto"/>
          <w:lang w:val="en-US" w:eastAsia="zh-CN"/>
        </w:rPr>
        <w:t>各项合同单价</w:t>
      </w:r>
      <w:r>
        <w:rPr>
          <w:rFonts w:hint="eastAsia" w:ascii="仿宋" w:hAnsi="仿宋" w:eastAsia="仿宋" w:cs="仿宋"/>
          <w:i w:val="0"/>
          <w:iCs w:val="0"/>
          <w:color w:val="auto"/>
          <w:kern w:val="0"/>
          <w:sz w:val="28"/>
          <w:szCs w:val="28"/>
          <w:highlight w:val="none"/>
          <w:shd w:val="clear" w:color="auto" w:fill="auto"/>
          <w:lang w:val="en-US" w:eastAsia="zh-CN"/>
        </w:rPr>
        <w:sym w:font="Wingdings" w:char="00A8"/>
      </w:r>
      <w:r>
        <w:rPr>
          <w:rFonts w:hint="eastAsia" w:ascii="仿宋" w:hAnsi="仿宋" w:eastAsia="仿宋" w:cs="仿宋"/>
          <w:i w:val="0"/>
          <w:iCs w:val="0"/>
          <w:color w:val="auto"/>
          <w:kern w:val="0"/>
          <w:sz w:val="28"/>
          <w:szCs w:val="28"/>
          <w:highlight w:val="none"/>
          <w:shd w:val="clear" w:color="auto" w:fill="auto"/>
          <w:lang w:val="en-US" w:eastAsia="zh-CN"/>
        </w:rPr>
        <w:t>合同总价中，不另行单列计费。</w:t>
      </w:r>
    </w:p>
    <w:p w14:paraId="0C156D36">
      <w:pPr>
        <w:keepNext w:val="0"/>
        <w:keepLines w:val="0"/>
        <w:pageBreakBefore w:val="0"/>
        <w:widowControl w:val="0"/>
        <w:tabs>
          <w:tab w:val="left" w:pos="6780"/>
        </w:tabs>
        <w:kinsoku/>
        <w:wordWrap/>
        <w:overflowPunct/>
        <w:topLinePunct w:val="0"/>
        <w:autoSpaceDE/>
        <w:autoSpaceDN/>
        <w:bidi w:val="0"/>
        <w:adjustRightInd w:val="0"/>
        <w:snapToGrid w:val="0"/>
        <w:spacing w:line="500" w:lineRule="exact"/>
        <w:ind w:left="-199" w:leftChars="-95" w:right="0" w:rightChars="0" w:firstLine="562" w:firstLineChars="200"/>
        <w:textAlignment w:val="auto"/>
        <w:rPr>
          <w:rFonts w:hint="eastAsia" w:ascii="仿宋" w:hAnsi="仿宋" w:eastAsia="仿宋" w:cs="仿宋"/>
          <w:b/>
          <w:bCs/>
          <w:i w:val="0"/>
          <w:iCs w:val="0"/>
          <w:color w:val="auto"/>
          <w:kern w:val="0"/>
          <w:sz w:val="28"/>
          <w:szCs w:val="28"/>
          <w:highlight w:val="none"/>
          <w:shd w:val="clear" w:color="auto" w:fill="auto"/>
          <w:lang w:val="en-US" w:eastAsia="zh-CN"/>
        </w:rPr>
      </w:pPr>
      <w:r>
        <w:rPr>
          <w:rFonts w:hint="eastAsia" w:ascii="仿宋" w:hAnsi="仿宋" w:eastAsia="仿宋" w:cs="仿宋"/>
          <w:b/>
          <w:bCs/>
          <w:i w:val="0"/>
          <w:iCs w:val="0"/>
          <w:color w:val="auto"/>
          <w:kern w:val="0"/>
          <w:sz w:val="28"/>
          <w:szCs w:val="28"/>
          <w:highlight w:val="none"/>
          <w:shd w:val="clear" w:color="auto" w:fill="auto"/>
          <w:lang w:val="en-US" w:eastAsia="zh-CN"/>
        </w:rPr>
        <w:t>3.16其他要求：</w:t>
      </w:r>
    </w:p>
    <w:p w14:paraId="466ADE79">
      <w:pPr>
        <w:keepNext w:val="0"/>
        <w:keepLines w:val="0"/>
        <w:pageBreakBefore w:val="0"/>
        <w:widowControl w:val="0"/>
        <w:tabs>
          <w:tab w:val="left" w:pos="6780"/>
        </w:tabs>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kern w:val="0"/>
          <w:sz w:val="28"/>
          <w:szCs w:val="28"/>
          <w:highlight w:val="none"/>
          <w:u w:val="none"/>
          <w:shd w:val="clear" w:color="auto" w:fill="auto"/>
          <w:lang w:val="en-US" w:eastAsia="zh-CN"/>
        </w:rPr>
      </w:pPr>
      <w:r>
        <w:rPr>
          <w:rFonts w:hint="eastAsia" w:ascii="仿宋" w:hAnsi="仿宋" w:eastAsia="仿宋" w:cs="仿宋"/>
          <w:b w:val="0"/>
          <w:bCs w:val="0"/>
          <w:i w:val="0"/>
          <w:iCs w:val="0"/>
          <w:color w:val="auto"/>
          <w:kern w:val="0"/>
          <w:sz w:val="28"/>
          <w:szCs w:val="28"/>
          <w:highlight w:val="none"/>
          <w:shd w:val="clear" w:color="auto" w:fill="auto"/>
          <w:lang w:val="en-US" w:eastAsia="zh-CN"/>
        </w:rPr>
        <w:t>3.16.1</w:t>
      </w:r>
      <w:r>
        <w:rPr>
          <w:rFonts w:hint="eastAsia" w:ascii="仿宋" w:hAnsi="仿宋" w:eastAsia="仿宋" w:cs="仿宋"/>
          <w:b w:val="0"/>
          <w:bCs w:val="0"/>
          <w:i w:val="0"/>
          <w:iCs w:val="0"/>
          <w:color w:val="auto"/>
          <w:kern w:val="0"/>
          <w:sz w:val="28"/>
          <w:szCs w:val="28"/>
          <w:highlight w:val="none"/>
          <w:u w:val="none"/>
          <w:shd w:val="clear" w:color="auto" w:fill="auto"/>
          <w:lang w:val="en-US" w:eastAsia="zh-CN"/>
        </w:rPr>
        <w:t>乙方负责原土内易腐蚀性物品的挑拣。</w:t>
      </w:r>
    </w:p>
    <w:p w14:paraId="5ED5CF25">
      <w:pPr>
        <w:keepNext w:val="0"/>
        <w:keepLines w:val="0"/>
        <w:pageBreakBefore w:val="0"/>
        <w:widowControl w:val="0"/>
        <w:tabs>
          <w:tab w:val="left" w:pos="6780"/>
        </w:tabs>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kern w:val="0"/>
          <w:sz w:val="28"/>
          <w:szCs w:val="28"/>
          <w:highlight w:val="none"/>
          <w:u w:val="none"/>
          <w:shd w:val="clear" w:color="auto" w:fill="auto"/>
          <w:lang w:val="en-US" w:eastAsia="zh-CN"/>
        </w:rPr>
      </w:pPr>
      <w:r>
        <w:rPr>
          <w:rFonts w:hint="eastAsia" w:ascii="仿宋" w:hAnsi="仿宋" w:eastAsia="仿宋" w:cs="仿宋"/>
          <w:b w:val="0"/>
          <w:bCs w:val="0"/>
          <w:i w:val="0"/>
          <w:iCs w:val="0"/>
          <w:color w:val="auto"/>
          <w:kern w:val="0"/>
          <w:sz w:val="28"/>
          <w:szCs w:val="28"/>
          <w:highlight w:val="none"/>
          <w:u w:val="none"/>
          <w:shd w:val="clear" w:color="auto" w:fill="auto"/>
          <w:lang w:val="en-US" w:eastAsia="zh-CN"/>
        </w:rPr>
        <w:t>3.16.2</w:t>
      </w:r>
      <w:r>
        <w:rPr>
          <w:rFonts w:hint="eastAsia" w:ascii="仿宋" w:hAnsi="仿宋" w:eastAsia="仿宋" w:cs="仿宋"/>
          <w:b w:val="0"/>
          <w:bCs w:val="0"/>
          <w:i w:val="0"/>
          <w:iCs w:val="0"/>
          <w:color w:val="FF0000"/>
          <w:kern w:val="0"/>
          <w:sz w:val="28"/>
          <w:szCs w:val="28"/>
          <w:highlight w:val="none"/>
          <w:u w:val="none"/>
          <w:shd w:val="clear" w:color="auto" w:fill="auto"/>
          <w:lang w:val="en-US" w:eastAsia="zh-CN"/>
        </w:rPr>
        <w:t>本工程涉及的具体施工要求详见附件</w:t>
      </w:r>
      <w:r>
        <w:rPr>
          <w:rFonts w:hint="eastAsia" w:ascii="仿宋" w:hAnsi="仿宋" w:eastAsia="仿宋" w:cs="仿宋"/>
          <w:color w:val="FF0000"/>
          <w:sz w:val="28"/>
          <w:szCs w:val="28"/>
          <w:highlight w:val="none"/>
          <w:lang w:val="en-US" w:eastAsia="zh-CN"/>
        </w:rPr>
        <w:t>《土方工程专项施工方案》及甲方现场要求为准。</w:t>
      </w:r>
    </w:p>
    <w:p w14:paraId="6A886EFA">
      <w:pPr>
        <w:keepNext w:val="0"/>
        <w:keepLines w:val="0"/>
        <w:pageBreakBefore w:val="0"/>
        <w:widowControl w:val="0"/>
        <w:tabs>
          <w:tab w:val="left" w:pos="6780"/>
        </w:tabs>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default" w:ascii="仿宋" w:hAnsi="仿宋" w:eastAsia="仿宋" w:cs="仿宋"/>
          <w:b w:val="0"/>
          <w:bCs w:val="0"/>
          <w:i w:val="0"/>
          <w:iCs w:val="0"/>
          <w:color w:val="auto"/>
          <w:kern w:val="0"/>
          <w:sz w:val="28"/>
          <w:szCs w:val="28"/>
          <w:highlight w:val="none"/>
          <w:u w:val="none"/>
          <w:shd w:val="clear" w:color="auto" w:fill="auto"/>
          <w:lang w:val="en-US" w:eastAsia="zh-CN"/>
        </w:rPr>
      </w:pPr>
      <w:r>
        <w:rPr>
          <w:rFonts w:hint="eastAsia" w:ascii="仿宋" w:hAnsi="仿宋" w:eastAsia="仿宋" w:cs="仿宋"/>
          <w:b w:val="0"/>
          <w:bCs w:val="0"/>
          <w:i w:val="0"/>
          <w:iCs w:val="0"/>
          <w:color w:val="auto"/>
          <w:kern w:val="0"/>
          <w:sz w:val="28"/>
          <w:szCs w:val="28"/>
          <w:highlight w:val="none"/>
          <w:u w:val="none"/>
          <w:shd w:val="clear" w:color="auto" w:fill="auto"/>
          <w:lang w:val="en-US" w:eastAsia="zh-CN"/>
        </w:rPr>
        <w:t>3.16.3</w:t>
      </w:r>
      <w:r>
        <w:rPr>
          <w:rFonts w:hint="eastAsia" w:ascii="仿宋" w:hAnsi="仿宋" w:eastAsia="仿宋" w:cs="仿宋"/>
          <w:b w:val="0"/>
          <w:bCs w:val="0"/>
          <w:i w:val="0"/>
          <w:iCs w:val="0"/>
          <w:color w:val="FF0000"/>
          <w:kern w:val="0"/>
          <w:sz w:val="28"/>
          <w:szCs w:val="28"/>
          <w:highlight w:val="none"/>
          <w:u w:val="none"/>
          <w:shd w:val="clear" w:color="auto" w:fill="auto"/>
          <w:lang w:val="en-US" w:eastAsia="zh-CN"/>
        </w:rPr>
        <w:t>本项目红线范围内零星工程所需的挖机、炮机、压路机、孖担车的租赁及劳务服务</w:t>
      </w:r>
      <w:r>
        <w:rPr>
          <w:rFonts w:hint="eastAsia" w:ascii="仿宋" w:hAnsi="仿宋" w:eastAsia="仿宋" w:cs="仿宋"/>
          <w:b w:val="0"/>
          <w:bCs w:val="0"/>
          <w:i w:val="0"/>
          <w:iCs w:val="0"/>
          <w:color w:val="auto"/>
          <w:kern w:val="0"/>
          <w:sz w:val="28"/>
          <w:szCs w:val="28"/>
          <w:highlight w:val="none"/>
          <w:u w:val="none"/>
          <w:shd w:val="clear" w:color="auto" w:fill="auto"/>
          <w:lang w:val="en-US" w:eastAsia="zh-CN"/>
        </w:rPr>
        <w:t>按附件《报价清单》对应综合单价（含税）按实结算，乙方不得拒绝，否则每次向甲方承担违约金人民币伍仟元。</w:t>
      </w:r>
    </w:p>
    <w:p w14:paraId="006F7FEB">
      <w:pPr>
        <w:keepNext w:val="0"/>
        <w:keepLines w:val="0"/>
        <w:pageBreakBefore w:val="0"/>
        <w:widowControl w:val="0"/>
        <w:kinsoku/>
        <w:wordWrap/>
        <w:overflowPunct/>
        <w:topLinePunct w:val="0"/>
        <w:autoSpaceDE/>
        <w:autoSpaceDN/>
        <w:bidi w:val="0"/>
        <w:adjustRightInd w:val="0"/>
        <w:snapToGrid w:val="0"/>
        <w:spacing w:before="146" w:beforeLines="50" w:line="500" w:lineRule="exact"/>
        <w:ind w:left="-199" w:leftChars="-95"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第四章、工期</w:t>
      </w:r>
      <w:bookmarkEnd w:id="48"/>
      <w:bookmarkEnd w:id="49"/>
      <w:bookmarkEnd w:id="50"/>
    </w:p>
    <w:p w14:paraId="1F946E6B">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微软雅黑" w:hAnsi="微软雅黑" w:eastAsia="微软雅黑" w:cs="微软雅黑"/>
          <w:i w:val="0"/>
          <w:iCs w:val="0"/>
          <w:caps w:val="0"/>
          <w:color w:val="auto"/>
          <w:spacing w:val="0"/>
          <w:sz w:val="18"/>
          <w:szCs w:val="18"/>
          <w:shd w:val="clear" w:fill="FFFFFF"/>
          <w:lang w:eastAsia="zh-CN"/>
        </w:rPr>
      </w:pPr>
      <w:r>
        <w:rPr>
          <w:rFonts w:hint="eastAsia" w:ascii="仿宋" w:hAnsi="仿宋" w:eastAsia="仿宋" w:cs="仿宋"/>
          <w:i w:val="0"/>
          <w:iCs w:val="0"/>
          <w:color w:val="auto"/>
          <w:sz w:val="28"/>
          <w:szCs w:val="28"/>
          <w:highlight w:val="none"/>
          <w:shd w:val="clear" w:color="auto" w:fill="auto"/>
          <w:lang w:val="en-US" w:eastAsia="zh-CN"/>
        </w:rPr>
        <w:t>4</w:t>
      </w:r>
      <w:r>
        <w:rPr>
          <w:rFonts w:hint="eastAsia" w:ascii="仿宋" w:hAnsi="仿宋" w:eastAsia="仿宋" w:cs="仿宋"/>
          <w:i w:val="0"/>
          <w:iCs w:val="0"/>
          <w:color w:val="auto"/>
          <w:sz w:val="28"/>
          <w:szCs w:val="28"/>
          <w:highlight w:val="none"/>
          <w:shd w:val="clear" w:color="auto" w:fill="auto"/>
        </w:rPr>
        <w:t>.1</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lang w:val="en-US" w:eastAsia="zh-CN"/>
        </w:rPr>
        <w:t>合同</w:t>
      </w:r>
      <w:r>
        <w:rPr>
          <w:rFonts w:hint="eastAsia" w:ascii="仿宋" w:hAnsi="仿宋" w:eastAsia="仿宋" w:cs="仿宋"/>
          <w:i w:val="0"/>
          <w:iCs w:val="0"/>
          <w:color w:val="auto"/>
          <w:sz w:val="28"/>
          <w:szCs w:val="28"/>
          <w:highlight w:val="none"/>
          <w:shd w:val="clear" w:color="auto" w:fill="auto"/>
        </w:rPr>
        <w:t>工期</w:t>
      </w:r>
      <w:r>
        <w:rPr>
          <w:rFonts w:hint="eastAsia" w:ascii="仿宋" w:hAnsi="仿宋" w:eastAsia="仿宋" w:cs="仿宋"/>
          <w:i w:val="0"/>
          <w:iCs w:val="0"/>
          <w:color w:val="auto"/>
          <w:sz w:val="28"/>
          <w:szCs w:val="28"/>
          <w:highlight w:val="none"/>
          <w:shd w:val="clear" w:color="auto" w:fill="auto"/>
          <w:lang w:val="en-US" w:eastAsia="zh-CN"/>
        </w:rPr>
        <w:t>：</w:t>
      </w:r>
      <w:r>
        <w:rPr>
          <w:rFonts w:hint="eastAsia" w:ascii="仿宋" w:hAnsi="仿宋" w:eastAsia="仿宋" w:cs="仿宋"/>
          <w:i w:val="0"/>
          <w:iCs w:val="0"/>
          <w:color w:val="auto"/>
          <w:sz w:val="28"/>
          <w:szCs w:val="28"/>
          <w:highlight w:val="none"/>
          <w:u w:val="none"/>
          <w:shd w:val="clear" w:color="auto" w:fill="FFFFFF" w:themeFill="background1"/>
          <w:lang w:val="en-US" w:eastAsia="zh-CN"/>
        </w:rPr>
        <w:t>计划开工时间为</w:t>
      </w:r>
      <w:r>
        <w:rPr>
          <w:rFonts w:hint="eastAsia" w:ascii="仿宋" w:hAnsi="仿宋" w:eastAsia="仿宋" w:cs="仿宋"/>
          <w:i w:val="0"/>
          <w:iCs w:val="0"/>
          <w:color w:val="auto"/>
          <w:sz w:val="28"/>
          <w:szCs w:val="28"/>
          <w:highlight w:val="none"/>
          <w:u w:val="single"/>
          <w:shd w:val="clear" w:color="auto" w:fill="FFFFFF" w:themeFill="background1"/>
          <w:lang w:val="en-US" w:eastAsia="zh-CN"/>
        </w:rPr>
        <w:t>2025年6月20日</w:t>
      </w:r>
      <w:r>
        <w:rPr>
          <w:rFonts w:hint="eastAsia" w:ascii="仿宋" w:hAnsi="仿宋" w:eastAsia="仿宋" w:cs="仿宋"/>
          <w:i w:val="0"/>
          <w:iCs w:val="0"/>
          <w:color w:val="auto"/>
          <w:sz w:val="28"/>
          <w:szCs w:val="28"/>
          <w:highlight w:val="none"/>
          <w:u w:val="none"/>
          <w:shd w:val="clear" w:color="auto" w:fill="FFFFFF" w:themeFill="background1"/>
          <w:lang w:val="en-US" w:eastAsia="zh-CN"/>
        </w:rPr>
        <w:t>，计划完工、验收合格、交付甲方使用时间为</w:t>
      </w:r>
      <w:r>
        <w:rPr>
          <w:rFonts w:hint="eastAsia" w:ascii="仿宋" w:hAnsi="仿宋" w:eastAsia="仿宋" w:cs="仿宋"/>
          <w:i w:val="0"/>
          <w:iCs w:val="0"/>
          <w:color w:val="auto"/>
          <w:sz w:val="28"/>
          <w:szCs w:val="28"/>
          <w:highlight w:val="none"/>
          <w:u w:val="single"/>
          <w:shd w:val="clear" w:color="auto" w:fill="FFFFFF" w:themeFill="background1"/>
          <w:lang w:val="en-US" w:eastAsia="zh-CN"/>
        </w:rPr>
        <w:t>2026年9月20日</w:t>
      </w:r>
      <w:r>
        <w:rPr>
          <w:rFonts w:hint="eastAsia" w:ascii="仿宋" w:hAnsi="仿宋" w:eastAsia="仿宋" w:cs="仿宋"/>
          <w:i w:val="0"/>
          <w:iCs w:val="0"/>
          <w:color w:val="auto"/>
          <w:sz w:val="28"/>
          <w:szCs w:val="28"/>
          <w:highlight w:val="none"/>
          <w:u w:val="none"/>
          <w:shd w:val="clear" w:color="auto" w:fill="FFFFFF" w:themeFill="background1"/>
          <w:lang w:val="en-US" w:eastAsia="zh-CN"/>
        </w:rPr>
        <w:t>（包含乙供材料、设备的货期），工期以全面满足甲方要求为准。甲方通知后 24 小时内，乙方项目现场负责人及主要工作人员须进场开始工作，具体按甲方要求为准，必须满足甲方项目工期要求</w:t>
      </w:r>
      <w:r>
        <w:rPr>
          <w:rFonts w:hint="eastAsia" w:ascii="微软雅黑" w:hAnsi="微软雅黑" w:eastAsia="微软雅黑" w:cs="微软雅黑"/>
          <w:i w:val="0"/>
          <w:iCs w:val="0"/>
          <w:caps w:val="0"/>
          <w:color w:val="auto"/>
          <w:spacing w:val="0"/>
          <w:sz w:val="18"/>
          <w:szCs w:val="18"/>
          <w:shd w:val="clear" w:fill="FFFFFF"/>
          <w:lang w:eastAsia="zh-CN"/>
        </w:rPr>
        <w:t>。</w:t>
      </w:r>
    </w:p>
    <w:p w14:paraId="3315EE3B">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4.2</w:t>
      </w:r>
      <w:r>
        <w:rPr>
          <w:rFonts w:hint="eastAsia" w:ascii="仿宋" w:hAnsi="仿宋" w:eastAsia="仿宋" w:cs="仿宋"/>
          <w:i w:val="0"/>
          <w:iCs w:val="0"/>
          <w:color w:val="auto"/>
          <w:sz w:val="28"/>
          <w:szCs w:val="28"/>
          <w:highlight w:val="none"/>
          <w:u w:val="none"/>
          <w:shd w:val="clear" w:color="auto" w:fill="auto"/>
        </w:rPr>
        <w:t>乙方必须满足</w:t>
      </w:r>
      <w:r>
        <w:rPr>
          <w:rFonts w:hint="eastAsia" w:ascii="仿宋" w:hAnsi="仿宋" w:eastAsia="仿宋" w:cs="仿宋"/>
          <w:i w:val="0"/>
          <w:iCs w:val="0"/>
          <w:color w:val="auto"/>
          <w:sz w:val="28"/>
          <w:szCs w:val="28"/>
          <w:highlight w:val="none"/>
          <w:u w:val="none"/>
          <w:shd w:val="clear" w:color="auto" w:fill="auto"/>
          <w:lang w:val="en-US" w:eastAsia="zh-CN"/>
        </w:rPr>
        <w:t>甲方</w:t>
      </w:r>
      <w:r>
        <w:rPr>
          <w:rFonts w:hint="eastAsia" w:ascii="仿宋" w:hAnsi="仿宋" w:eastAsia="仿宋" w:cs="仿宋"/>
          <w:i w:val="0"/>
          <w:iCs w:val="0"/>
          <w:color w:val="auto"/>
          <w:sz w:val="28"/>
          <w:szCs w:val="28"/>
          <w:highlight w:val="none"/>
          <w:u w:val="none"/>
          <w:shd w:val="clear" w:color="auto" w:fill="auto"/>
        </w:rPr>
        <w:t>工期要求，随时增加或减少</w:t>
      </w:r>
      <w:r>
        <w:rPr>
          <w:rFonts w:hint="eastAsia" w:ascii="仿宋" w:hAnsi="仿宋" w:eastAsia="仿宋" w:cs="仿宋"/>
          <w:i w:val="0"/>
          <w:iCs w:val="0"/>
          <w:color w:val="auto"/>
          <w:sz w:val="28"/>
          <w:szCs w:val="28"/>
          <w:highlight w:val="none"/>
          <w:u w:val="none"/>
          <w:shd w:val="clear" w:color="auto" w:fill="auto"/>
          <w:lang w:val="en-US" w:eastAsia="zh-CN"/>
        </w:rPr>
        <w:t>乙方</w:t>
      </w:r>
      <w:r>
        <w:rPr>
          <w:rFonts w:hint="eastAsia" w:ascii="仿宋" w:hAnsi="仿宋" w:eastAsia="仿宋" w:cs="仿宋"/>
          <w:i w:val="0"/>
          <w:iCs w:val="0"/>
          <w:color w:val="auto"/>
          <w:sz w:val="28"/>
          <w:szCs w:val="28"/>
          <w:highlight w:val="none"/>
          <w:u w:val="none"/>
          <w:shd w:val="clear" w:color="auto" w:fill="auto"/>
        </w:rPr>
        <w:t>人员</w:t>
      </w:r>
      <w:r>
        <w:rPr>
          <w:rFonts w:hint="eastAsia" w:ascii="仿宋" w:hAnsi="仿宋" w:eastAsia="仿宋" w:cs="仿宋"/>
          <w:i w:val="0"/>
          <w:iCs w:val="0"/>
          <w:color w:val="auto"/>
          <w:sz w:val="28"/>
          <w:szCs w:val="28"/>
          <w:highlight w:val="none"/>
          <w:u w:val="none"/>
          <w:shd w:val="clear" w:color="auto" w:fill="auto"/>
          <w:lang w:val="en-US" w:eastAsia="zh-CN"/>
        </w:rPr>
        <w:t>以满足本工程施工要求</w:t>
      </w:r>
      <w:r>
        <w:rPr>
          <w:rFonts w:hint="eastAsia" w:ascii="仿宋" w:hAnsi="仿宋" w:eastAsia="仿宋" w:cs="仿宋"/>
          <w:i w:val="0"/>
          <w:iCs w:val="0"/>
          <w:color w:val="auto"/>
          <w:sz w:val="28"/>
          <w:szCs w:val="28"/>
          <w:highlight w:val="none"/>
          <w:lang w:val="en-US" w:eastAsia="zh-CN"/>
        </w:rPr>
        <w:t>。</w:t>
      </w:r>
    </w:p>
    <w:p w14:paraId="7212A6BD">
      <w:pPr>
        <w:keepNext w:val="0"/>
        <w:keepLines w:val="0"/>
        <w:pageBreakBefore w:val="0"/>
        <w:widowControl w:val="0"/>
        <w:kinsoku/>
        <w:wordWrap/>
        <w:overflowPunct/>
        <w:topLinePunct w:val="0"/>
        <w:autoSpaceDE/>
        <w:autoSpaceDN/>
        <w:bidi w:val="0"/>
        <w:adjustRightInd w:val="0"/>
        <w:snapToGrid w:val="0"/>
        <w:spacing w:before="146" w:beforeLines="50" w:line="500" w:lineRule="exact"/>
        <w:ind w:left="-199" w:leftChars="-95"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51" w:name="_Toc22079"/>
      <w:bookmarkStart w:id="52" w:name="_Toc3824"/>
      <w:bookmarkStart w:id="53" w:name="_Toc2381"/>
      <w:r>
        <w:rPr>
          <w:rFonts w:hint="eastAsia" w:ascii="仿宋" w:hAnsi="仿宋" w:eastAsia="仿宋" w:cs="仿宋"/>
          <w:b/>
          <w:bCs/>
          <w:i w:val="0"/>
          <w:iCs w:val="0"/>
          <w:color w:val="auto"/>
          <w:sz w:val="28"/>
          <w:szCs w:val="28"/>
          <w:highlight w:val="none"/>
          <w:shd w:val="clear" w:color="auto" w:fill="auto"/>
          <w:lang w:val="en-US" w:eastAsia="zh-CN"/>
        </w:rPr>
        <w:t>第五章、工程质量标准</w:t>
      </w:r>
      <w:bookmarkEnd w:id="51"/>
      <w:bookmarkEnd w:id="52"/>
      <w:bookmarkEnd w:id="53"/>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560226D7">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5.1本工程质量标准：达到国家、</w:t>
      </w:r>
      <w:r>
        <w:rPr>
          <w:rFonts w:hint="eastAsia" w:ascii="仿宋" w:hAnsi="仿宋" w:eastAsia="仿宋" w:cs="仿宋"/>
          <w:color w:val="auto"/>
          <w:sz w:val="28"/>
          <w:szCs w:val="28"/>
          <w:highlight w:val="none"/>
          <w:lang w:val="en-US" w:eastAsia="zh-CN"/>
        </w:rPr>
        <w:t>本工程所在地政府主管部门、</w:t>
      </w:r>
      <w:r>
        <w:rPr>
          <w:rFonts w:hint="eastAsia" w:ascii="仿宋" w:hAnsi="仿宋" w:eastAsia="仿宋" w:cs="仿宋"/>
          <w:i w:val="0"/>
          <w:iCs w:val="0"/>
          <w:color w:val="auto"/>
          <w:sz w:val="28"/>
          <w:szCs w:val="28"/>
          <w:highlight w:val="none"/>
          <w:shd w:val="clear" w:color="auto" w:fill="auto"/>
          <w:lang w:val="en-US" w:eastAsia="zh-CN"/>
        </w:rPr>
        <w:t>行业相关施工质量验收规范的</w:t>
      </w:r>
      <w:r>
        <w:rPr>
          <w:rFonts w:hint="eastAsia" w:ascii="仿宋" w:hAnsi="仿宋" w:eastAsia="仿宋" w:cs="仿宋"/>
          <w:i w:val="0"/>
          <w:iCs w:val="0"/>
          <w:color w:val="auto"/>
          <w:sz w:val="28"/>
          <w:szCs w:val="28"/>
          <w:highlight w:val="none"/>
          <w:u w:val="single"/>
          <w:shd w:val="clear" w:color="auto" w:fill="auto"/>
          <w:lang w:val="en-US" w:eastAsia="zh-CN"/>
        </w:rPr>
        <w:t xml:space="preserve"> 优良 </w:t>
      </w:r>
      <w:r>
        <w:rPr>
          <w:rFonts w:hint="eastAsia" w:ascii="仿宋" w:hAnsi="仿宋" w:eastAsia="仿宋" w:cs="仿宋"/>
          <w:i w:val="0"/>
          <w:iCs w:val="0"/>
          <w:color w:val="auto"/>
          <w:sz w:val="28"/>
          <w:szCs w:val="28"/>
          <w:highlight w:val="none"/>
          <w:shd w:val="clear" w:color="auto" w:fill="auto"/>
          <w:lang w:val="en-US" w:eastAsia="zh-CN"/>
        </w:rPr>
        <w:t>标准，本合同另有约定的亦须同时符合该约定。</w:t>
      </w:r>
    </w:p>
    <w:p w14:paraId="54B61066">
      <w:pPr>
        <w:keepNext w:val="0"/>
        <w:keepLines w:val="0"/>
        <w:pageBreakBefore w:val="0"/>
        <w:widowControl w:val="0"/>
        <w:kinsoku/>
        <w:wordWrap/>
        <w:overflowPunct/>
        <w:topLinePunct w:val="0"/>
        <w:autoSpaceDE/>
        <w:autoSpaceDN/>
        <w:bidi w:val="0"/>
        <w:adjustRightInd w:val="0"/>
        <w:snapToGrid w:val="0"/>
        <w:spacing w:before="146" w:beforeLines="50" w:line="500" w:lineRule="exact"/>
        <w:ind w:left="-199" w:leftChars="-95"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54" w:name="_Toc19252"/>
      <w:bookmarkStart w:id="55" w:name="_Toc553"/>
      <w:bookmarkStart w:id="56" w:name="_Toc2060"/>
      <w:r>
        <w:rPr>
          <w:rFonts w:hint="eastAsia" w:ascii="仿宋" w:hAnsi="仿宋" w:eastAsia="仿宋" w:cs="仿宋"/>
          <w:b/>
          <w:bCs/>
          <w:i w:val="0"/>
          <w:iCs w:val="0"/>
          <w:color w:val="auto"/>
          <w:sz w:val="28"/>
          <w:szCs w:val="28"/>
          <w:highlight w:val="none"/>
          <w:shd w:val="clear" w:color="auto" w:fill="auto"/>
          <w:lang w:val="en-US" w:eastAsia="zh-CN"/>
        </w:rPr>
        <w:t>第六章、合同价款</w:t>
      </w:r>
      <w:bookmarkEnd w:id="54"/>
      <w:bookmarkEnd w:id="55"/>
      <w:bookmarkEnd w:id="56"/>
    </w:p>
    <w:p w14:paraId="5320DFB3">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jc w:val="left"/>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6.1</w:t>
      </w:r>
      <w:r>
        <w:rPr>
          <w:rFonts w:hint="eastAsia" w:ascii="仿宋" w:hAnsi="仿宋" w:eastAsia="仿宋" w:cs="仿宋"/>
          <w:i w:val="0"/>
          <w:iCs w:val="0"/>
          <w:color w:val="auto"/>
          <w:sz w:val="28"/>
          <w:szCs w:val="28"/>
          <w:highlight w:val="none"/>
        </w:rPr>
        <w:t>乙方完成合同所述工作、实现</w:t>
      </w:r>
      <w:r>
        <w:rPr>
          <w:rFonts w:hint="eastAsia" w:ascii="仿宋" w:hAnsi="仿宋" w:eastAsia="仿宋" w:cs="仿宋"/>
          <w:i w:val="0"/>
          <w:iCs w:val="0"/>
          <w:color w:val="auto"/>
          <w:sz w:val="28"/>
          <w:szCs w:val="28"/>
          <w:highlight w:val="none"/>
          <w:lang w:val="en-US" w:eastAsia="zh-CN"/>
        </w:rPr>
        <w:t>合同</w:t>
      </w:r>
      <w:r>
        <w:rPr>
          <w:rFonts w:hint="eastAsia" w:ascii="仿宋" w:hAnsi="仿宋" w:eastAsia="仿宋" w:cs="仿宋"/>
          <w:i w:val="0"/>
          <w:iCs w:val="0"/>
          <w:color w:val="auto"/>
          <w:sz w:val="28"/>
          <w:szCs w:val="28"/>
          <w:highlight w:val="none"/>
        </w:rPr>
        <w:t>工期要求、质量要求及承担合同义务、责任、风险的费用已包括在下列合同价中。</w:t>
      </w:r>
    </w:p>
    <w:p w14:paraId="0D45946E">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2" w:firstLineChars="200"/>
        <w:jc w:val="left"/>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rPr>
        <w:sym w:font="Wingdings 2" w:char="0052"/>
      </w:r>
      <w:r>
        <w:rPr>
          <w:rFonts w:hint="eastAsia" w:ascii="仿宋" w:hAnsi="仿宋" w:eastAsia="仿宋" w:cs="仿宋"/>
          <w:b/>
          <w:bCs/>
          <w:i w:val="0"/>
          <w:iCs w:val="0"/>
          <w:color w:val="auto"/>
          <w:sz w:val="28"/>
          <w:szCs w:val="28"/>
          <w:highlight w:val="none"/>
          <w:shd w:val="clear" w:color="auto" w:fill="auto"/>
          <w:lang w:val="en-US" w:eastAsia="zh-CN"/>
        </w:rPr>
        <w:t>本合同为固定单价合同，工程量按合同约定的计量规则计算</w:t>
      </w:r>
      <w:r>
        <w:rPr>
          <w:rFonts w:hint="eastAsia" w:ascii="仿宋" w:hAnsi="仿宋" w:eastAsia="仿宋" w:cs="仿宋"/>
          <w:b/>
          <w:bCs/>
          <w:i w:val="0"/>
          <w:iCs w:val="0"/>
          <w:color w:val="auto"/>
          <w:kern w:val="0"/>
          <w:sz w:val="28"/>
          <w:szCs w:val="28"/>
          <w:highlight w:val="none"/>
          <w:shd w:val="clear" w:color="auto" w:fill="auto"/>
          <w:lang w:val="en-US" w:eastAsia="zh-CN"/>
        </w:rPr>
        <w:t>。</w:t>
      </w:r>
      <w:r>
        <w:rPr>
          <w:rFonts w:hint="eastAsia" w:ascii="仿宋" w:hAnsi="仿宋" w:eastAsia="仿宋" w:cs="仿宋"/>
          <w:b/>
          <w:bCs/>
          <w:i w:val="0"/>
          <w:iCs w:val="0"/>
          <w:color w:val="auto"/>
          <w:sz w:val="28"/>
          <w:szCs w:val="28"/>
          <w:highlight w:val="none"/>
          <w:shd w:val="clear" w:color="auto" w:fill="auto"/>
          <w:lang w:val="en-US" w:eastAsia="zh-CN"/>
        </w:rPr>
        <w:t>合同单价（详见附件）为全费用固定综合单价，乙方开具税率</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w:t>
      </w:r>
      <w:r>
        <w:rPr>
          <w:rFonts w:hint="eastAsia" w:ascii="仿宋" w:hAnsi="仿宋" w:eastAsia="仿宋" w:cs="仿宋"/>
          <w:b/>
          <w:bCs/>
          <w:i w:val="0"/>
          <w:iCs w:val="0"/>
          <w:color w:val="auto"/>
          <w:sz w:val="28"/>
          <w:szCs w:val="28"/>
          <w:highlight w:val="none"/>
          <w:shd w:val="clear" w:color="auto" w:fill="auto"/>
          <w:lang w:val="en-US" w:eastAsia="zh-CN"/>
        </w:rPr>
        <w:t>%的增值税专用发票（税率按国家政策执行，如税率调整，合同单价随之调整），除合同另有约定外，合同单价不作任何调整。合同单价包含乙方完成合同附件所述内容的费用。本合同暂定总价为人民币</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w:t>
      </w:r>
      <w:r>
        <w:rPr>
          <w:rFonts w:hint="eastAsia" w:ascii="仿宋" w:hAnsi="仿宋" w:eastAsia="仿宋" w:cs="仿宋"/>
          <w:b/>
          <w:bCs/>
          <w:i w:val="0"/>
          <w:iCs w:val="0"/>
          <w:color w:val="auto"/>
          <w:sz w:val="28"/>
          <w:szCs w:val="28"/>
          <w:highlight w:val="none"/>
          <w:shd w:val="clear" w:color="auto" w:fill="auto"/>
          <w:lang w:val="en-US" w:eastAsia="zh-CN"/>
        </w:rPr>
        <w:t>，此价仅供参考，不作结算用途。</w:t>
      </w:r>
    </w:p>
    <w:p w14:paraId="57A40789">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本合同为固定总价合同，合同总价为人民币</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 元整（详见附件），</w:t>
      </w:r>
      <w:r>
        <w:rPr>
          <w:rFonts w:hint="eastAsia" w:ascii="仿宋" w:hAnsi="仿宋" w:eastAsia="仿宋" w:cs="仿宋"/>
          <w:b w:val="0"/>
          <w:bCs w:val="0"/>
          <w:i w:val="0"/>
          <w:iCs w:val="0"/>
          <w:color w:val="auto"/>
          <w:sz w:val="28"/>
          <w:szCs w:val="28"/>
          <w:highlight w:val="none"/>
          <w:shd w:val="clear" w:color="auto" w:fill="auto"/>
          <w:lang w:val="en-US" w:eastAsia="zh-CN"/>
        </w:rPr>
        <w:t>此价含税，乙方开具税率</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 </w:t>
      </w:r>
      <w:r>
        <w:rPr>
          <w:rFonts w:hint="eastAsia" w:ascii="仿宋" w:hAnsi="仿宋" w:eastAsia="仿宋" w:cs="仿宋"/>
          <w:b w:val="0"/>
          <w:bCs w:val="0"/>
          <w:i w:val="0"/>
          <w:iCs w:val="0"/>
          <w:color w:val="auto"/>
          <w:sz w:val="28"/>
          <w:szCs w:val="28"/>
          <w:highlight w:val="none"/>
          <w:shd w:val="clear" w:color="auto" w:fill="auto"/>
          <w:lang w:val="en-US" w:eastAsia="zh-CN"/>
        </w:rPr>
        <w:t>%的增值税专用发票（税率按国家政策执行，如税率调整，合同总价随之调整）</w:t>
      </w:r>
      <w:r>
        <w:rPr>
          <w:rFonts w:hint="eastAsia" w:ascii="仿宋" w:hAnsi="仿宋" w:eastAsia="仿宋" w:cs="仿宋"/>
          <w:b w:val="0"/>
          <w:bCs w:val="0"/>
          <w:i w:val="0"/>
          <w:iCs w:val="0"/>
          <w:color w:val="auto"/>
          <w:sz w:val="28"/>
          <w:szCs w:val="28"/>
          <w:highlight w:val="none"/>
          <w:u w:val="none"/>
          <w:shd w:val="clear" w:color="auto" w:fill="auto"/>
          <w:lang w:val="en-US"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合同总价对应的工程量清单和图纸及相关文件详见附件。合同总价包含乙方完成合同附件所述内容的费用，除合同另有约定外，不作调整。</w:t>
      </w:r>
    </w:p>
    <w:p w14:paraId="2FD8F3F3">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57" w:name="_Toc9761"/>
      <w:bookmarkStart w:id="58" w:name="_Toc32757"/>
      <w:r>
        <w:rPr>
          <w:rFonts w:hint="eastAsia" w:ascii="仿宋" w:hAnsi="仿宋" w:eastAsia="仿宋" w:cs="仿宋"/>
          <w:b w:val="0"/>
          <w:bCs w:val="0"/>
          <w:i w:val="0"/>
          <w:iCs w:val="0"/>
          <w:color w:val="auto"/>
          <w:sz w:val="28"/>
          <w:szCs w:val="28"/>
          <w:highlight w:val="none"/>
          <w:shd w:val="clear" w:color="auto" w:fill="auto"/>
          <w:lang w:val="en-US" w:eastAsia="zh-CN"/>
        </w:rPr>
        <w:t>6.2乙方完成下述工作及应对下述情况、风险的费用已包含在合同价中，甲方无需另行付费给乙方：</w:t>
      </w:r>
    </w:p>
    <w:p w14:paraId="5604F2BF">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（1）完成土方开挖、运输、外运、回填、压实、夯实、防尘及本合同第三章所述内容。</w:t>
      </w:r>
    </w:p>
    <w:p w14:paraId="67DE01E4">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（2）外运土方、建筑垃圾由乙方运至园区外堆放，弃土位置由乙方提供并须符合合同及当地国土、城管、村镇的相关要求和环保要求。</w:t>
      </w:r>
    </w:p>
    <w:p w14:paraId="5AB369CE">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3）合同单价是以全面完成承包范围的工作内容而定，已考虑雨季汛期挖土施工。合同单价包含土方开挖、运输、外运、清洗场地内外被乙方污染的道路所产生的费用；乙方已详细了解现场地下、地上所有设施情况，合同单价包含对地上、地下所有设施的保护及损坏修复费用。非乙方原因造成不能挖运土方而产生的二次转运费用包含在合同单价内。</w:t>
      </w:r>
    </w:p>
    <w:p w14:paraId="6D78C8A9">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6.3</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合同单价/</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合同总价适用于本项目用地红线范围内的全部本工程工作内容，已有价格的子目双方无需另行确定单价，均按已确定价格执行。</w:t>
      </w:r>
    </w:p>
    <w:p w14:paraId="4BA3450E">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6.4在本合同对应的招标过程中，乙方对招标清单、图纸、施工方案、技术要求等招采文件内容未经甲方同意而擅自更改，删除等，无论是否在本合同正文、附件中有所体现、表述，均属乙方欺瞒甲方、不诚信行为，该条款属无效条款，乙方须按甲方的招采要求（以甲方解释为准）执行。因此产生的损失、后果由乙方承担，甲方不承担任何损失和费用，甲方的损失由乙方全额赔偿，同时甲方有权单方解除合同且不付款。</w:t>
      </w:r>
    </w:p>
    <w:p w14:paraId="2B36CA71">
      <w:pPr>
        <w:keepNext w:val="0"/>
        <w:keepLines w:val="0"/>
        <w:pageBreakBefore w:val="0"/>
        <w:widowControl w:val="0"/>
        <w:kinsoku/>
        <w:wordWrap/>
        <w:overflowPunct/>
        <w:topLinePunct w:val="0"/>
        <w:autoSpaceDE/>
        <w:autoSpaceDN/>
        <w:bidi w:val="0"/>
        <w:adjustRightInd w:val="0"/>
        <w:snapToGrid w:val="0"/>
        <w:spacing w:before="146" w:beforeLines="50" w:line="500" w:lineRule="exact"/>
        <w:ind w:left="-199" w:leftChars="-95"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59" w:name="_Toc20193"/>
      <w:bookmarkStart w:id="60" w:name="_Toc19006"/>
      <w:r>
        <w:rPr>
          <w:rFonts w:hint="eastAsia" w:ascii="仿宋" w:hAnsi="仿宋" w:eastAsia="仿宋" w:cs="仿宋"/>
          <w:b/>
          <w:bCs/>
          <w:i w:val="0"/>
          <w:iCs w:val="0"/>
          <w:color w:val="auto"/>
          <w:sz w:val="28"/>
          <w:szCs w:val="28"/>
          <w:highlight w:val="none"/>
          <w:shd w:val="clear" w:color="auto" w:fill="auto"/>
          <w:lang w:val="en-US" w:eastAsia="zh-CN"/>
        </w:rPr>
        <w:t>第七章、计量计价方式及结算方式</w:t>
      </w:r>
      <w:bookmarkEnd w:id="59"/>
      <w:bookmarkEnd w:id="60"/>
    </w:p>
    <w:bookmarkEnd w:id="57"/>
    <w:bookmarkEnd w:id="58"/>
    <w:p w14:paraId="2CB8E19E">
      <w:pPr>
        <w:keepNext w:val="0"/>
        <w:keepLines w:val="0"/>
        <w:pageBreakBefore w:val="0"/>
        <w:widowControl w:val="0"/>
        <w:kinsoku/>
        <w:wordWrap/>
        <w:overflowPunct/>
        <w:topLinePunct w:val="0"/>
        <w:autoSpaceDE/>
        <w:autoSpaceDN/>
        <w:bidi w:val="0"/>
        <w:adjustRightInd w:val="0"/>
        <w:snapToGrid w:val="0"/>
        <w:spacing w:before="146" w:beforeLines="50" w:line="500" w:lineRule="exact"/>
        <w:ind w:left="-199" w:leftChars="-95" w:right="0" w:rightChars="0" w:firstLine="560"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61" w:name="_Toc16700"/>
      <w:bookmarkStart w:id="62" w:name="_Toc26012"/>
      <w:r>
        <w:rPr>
          <w:rFonts w:hint="eastAsia" w:ascii="仿宋" w:hAnsi="仿宋" w:eastAsia="仿宋" w:cs="仿宋"/>
          <w:b w:val="0"/>
          <w:bCs w:val="0"/>
          <w:color w:val="auto"/>
          <w:sz w:val="28"/>
          <w:szCs w:val="28"/>
          <w:highlight w:val="none"/>
          <w:lang w:val="en-US" w:eastAsia="zh-CN"/>
        </w:rPr>
        <w:t>7.1工程量计算原则</w:t>
      </w:r>
    </w:p>
    <w:p w14:paraId="1B28CA4A">
      <w:pPr>
        <w:keepNext w:val="0"/>
        <w:keepLines w:val="0"/>
        <w:pageBreakBefore w:val="0"/>
        <w:widowControl w:val="0"/>
        <w:kinsoku/>
        <w:wordWrap/>
        <w:overflowPunct/>
        <w:topLinePunct w:val="0"/>
        <w:autoSpaceDE/>
        <w:autoSpaceDN/>
        <w:bidi w:val="0"/>
        <w:adjustRightInd w:val="0"/>
        <w:snapToGrid w:val="0"/>
        <w:spacing w:before="146" w:beforeLines="50" w:line="500" w:lineRule="exact"/>
        <w:ind w:left="-199" w:leftChars="-95" w:right="0" w:rightChars="0" w:firstLine="560" w:firstLineChars="200"/>
        <w:jc w:val="both"/>
        <w:textAlignment w:val="auto"/>
        <w:outlineLvl w:val="1"/>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sym w:font="Wingdings 2" w:char="00A3"/>
      </w:r>
      <w:r>
        <w:rPr>
          <w:rFonts w:hint="eastAsia" w:ascii="仿宋" w:hAnsi="仿宋" w:eastAsia="仿宋" w:cs="仿宋"/>
          <w:b w:val="0"/>
          <w:bCs w:val="0"/>
          <w:color w:val="auto"/>
          <w:sz w:val="28"/>
          <w:szCs w:val="28"/>
          <w:highlight w:val="none"/>
          <w:lang w:val="en-US" w:eastAsia="zh-CN"/>
        </w:rPr>
        <w:t>总价包干合同；合同范围内的按合同约定的计算原则执行，合同无约定或合同范围外的签证、变更工程计量方式按本合同相关条款执行。</w:t>
      </w:r>
    </w:p>
    <w:p w14:paraId="67F55A55">
      <w:pPr>
        <w:keepNext w:val="0"/>
        <w:keepLines w:val="0"/>
        <w:pageBreakBefore w:val="0"/>
        <w:widowControl w:val="0"/>
        <w:kinsoku/>
        <w:wordWrap/>
        <w:overflowPunct/>
        <w:topLinePunct w:val="0"/>
        <w:autoSpaceDE/>
        <w:autoSpaceDN/>
        <w:bidi w:val="0"/>
        <w:adjustRightInd w:val="0"/>
        <w:snapToGrid w:val="0"/>
        <w:spacing w:before="146" w:beforeLines="50" w:line="500" w:lineRule="exact"/>
        <w:ind w:left="-199" w:leftChars="-95" w:right="0" w:rightChars="0" w:firstLine="560" w:firstLineChars="200"/>
        <w:jc w:val="both"/>
        <w:textAlignment w:val="auto"/>
        <w:outlineLvl w:val="1"/>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sym w:font="Wingdings 2" w:char="0052"/>
      </w:r>
      <w:r>
        <w:rPr>
          <w:rFonts w:hint="eastAsia" w:ascii="仿宋" w:hAnsi="仿宋" w:eastAsia="仿宋" w:cs="仿宋"/>
          <w:b w:val="0"/>
          <w:bCs w:val="0"/>
          <w:color w:val="auto"/>
          <w:sz w:val="28"/>
          <w:szCs w:val="28"/>
          <w:highlight w:val="none"/>
          <w:lang w:val="en-US" w:eastAsia="zh-CN"/>
        </w:rPr>
        <w:t>固定单价合同：合同范围内的按合同约定的计算原则执行，合同无约定或合同范围外的签证、变更工程计量方式按本合同相关条款执行。</w:t>
      </w:r>
    </w:p>
    <w:p w14:paraId="2726657E">
      <w:pPr>
        <w:keepNext w:val="0"/>
        <w:keepLines w:val="0"/>
        <w:pageBreakBefore w:val="0"/>
        <w:widowControl w:val="0"/>
        <w:shd w:val="clear" w:color="auto" w:fill="auto"/>
        <w:kinsoku/>
        <w:wordWrap/>
        <w:overflowPunct/>
        <w:topLinePunct w:val="0"/>
        <w:autoSpaceDE/>
        <w:autoSpaceDN/>
        <w:bidi w:val="0"/>
        <w:adjustRightInd w:val="0"/>
        <w:snapToGrid w:val="0"/>
        <w:spacing w:beforeLines="0" w:afterLines="0" w:line="500" w:lineRule="exact"/>
        <w:ind w:left="-199" w:leftChars="-95" w:right="-15" w:rightChars="-7"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7.2</w:t>
      </w:r>
      <w:r>
        <w:rPr>
          <w:rFonts w:hint="eastAsia" w:ascii="仿宋" w:hAnsi="仿宋" w:eastAsia="仿宋" w:cs="仿宋"/>
          <w:b w:val="0"/>
          <w:bCs w:val="0"/>
          <w:i w:val="0"/>
          <w:iCs w:val="0"/>
          <w:color w:val="auto"/>
          <w:sz w:val="28"/>
          <w:szCs w:val="28"/>
          <w:highlight w:val="none"/>
          <w:shd w:val="clear" w:color="auto" w:fill="auto"/>
          <w:lang w:val="en-US" w:eastAsia="zh-CN"/>
        </w:rPr>
        <w:t>工程量计量规则：</w:t>
      </w:r>
      <w:r>
        <w:rPr>
          <w:rFonts w:hint="eastAsia" w:ascii="仿宋" w:hAnsi="仿宋" w:eastAsia="仿宋" w:cs="仿宋"/>
          <w:b w:val="0"/>
          <w:bCs w:val="0"/>
          <w:color w:val="auto"/>
          <w:sz w:val="28"/>
          <w:szCs w:val="28"/>
          <w:highlight w:val="none"/>
          <w:lang w:val="en-US" w:eastAsia="zh-CN"/>
        </w:rPr>
        <w:t>执行《广东省建筑与装饰工程计价定额(2018年)》工程量计算规则、《广东省安装工程计价定额(2018年)》工程量计算规则、《广东省市政工程计价定额(2018年)》工程量计算规则、《广东省城市园林绿化养护管理计价定额(2018年)》工程量计算规则、《建筑工程建筑面积计算规范（GB50353-2013）》进行计算</w:t>
      </w:r>
      <w:r>
        <w:rPr>
          <w:rFonts w:hint="eastAsia" w:ascii="仿宋" w:hAnsi="仿宋" w:eastAsia="仿宋" w:cs="仿宋"/>
          <w:color w:val="auto"/>
          <w:sz w:val="28"/>
          <w:szCs w:val="28"/>
          <w:highlight w:val="none"/>
          <w:lang w:val="en-US" w:eastAsia="zh-CN"/>
        </w:rPr>
        <w:t>。</w:t>
      </w:r>
    </w:p>
    <w:p w14:paraId="31DB427D">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7.3计价依据</w:t>
      </w:r>
    </w:p>
    <w:p w14:paraId="319DA0B8">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7.3.1合同范围内的工程，按合同单价执行；</w:t>
      </w:r>
    </w:p>
    <w:p w14:paraId="580BFE7D">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7.3.2合同范围外的签证变更价款的调整方法：</w:t>
      </w:r>
    </w:p>
    <w:p w14:paraId="0DEB6674">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7.3.2.1合同中已有适用于变更工程的价格，按合同已有的价格执行；</w:t>
      </w:r>
    </w:p>
    <w:p w14:paraId="593310ED">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7.3.2.2合同中只有类似于变更工程的价格，可在合理范围内参照类似价格执行；</w:t>
      </w:r>
    </w:p>
    <w:p w14:paraId="02E2FA42">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7.3.2.3合同中没有适用或类似于变更工程的价格，按以下计价规则执行；</w:t>
      </w:r>
    </w:p>
    <w:p w14:paraId="6F3EB868">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7.3.3计价规则</w:t>
      </w:r>
    </w:p>
    <w:p w14:paraId="3A199540">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7.3.3.1</w:t>
      </w:r>
      <w:r>
        <w:rPr>
          <w:rFonts w:hint="eastAsia" w:ascii="仿宋" w:hAnsi="仿宋" w:eastAsia="仿宋" w:cs="仿宋"/>
          <w:b w:val="0"/>
          <w:bCs w:val="0"/>
          <w:i w:val="0"/>
          <w:iCs w:val="0"/>
          <w:color w:val="auto"/>
          <w:sz w:val="28"/>
          <w:szCs w:val="28"/>
          <w:highlight w:val="none"/>
          <w:u w:val="none"/>
          <w:shd w:val="clear" w:color="auto" w:fill="auto"/>
          <w:lang w:val="en-US" w:eastAsia="zh-CN"/>
        </w:rPr>
        <w:t>本工程执行《广东省建筑与装饰工程计价定额（2018年）》《广东省安装工程计价定额（2018年）》清单计价程序取费，绿化部分执行《广东省城市园林绿化养护管理计价定额（2018年）》清单计价程序取费。采用清单计价，执行《建设工程工程量清单计价规范》（GB50500—2013）；同时执行《广东省建设工程计价依据（2018）》：《广东省建筑与装饰工程计价定额（2018年）》《广东省安装工程计价定额（2018年）》《广东省市政工程计价定额（2018年）》《广东省城市园林绿化养护管理计价定额（2018年）》《广东省工程量清单计价指引（2013年）》等以及国家行政主管部门颁布的相关规定文件</w:t>
      </w:r>
      <w:r>
        <w:rPr>
          <w:rFonts w:hint="eastAsia" w:ascii="仿宋" w:hAnsi="仿宋" w:eastAsia="仿宋" w:cs="仿宋"/>
          <w:b w:val="0"/>
          <w:bCs w:val="0"/>
          <w:i w:val="0"/>
          <w:iCs w:val="0"/>
          <w:color w:val="auto"/>
          <w:sz w:val="28"/>
          <w:szCs w:val="28"/>
          <w:highlight w:val="none"/>
          <w:shd w:val="clear" w:color="auto" w:fill="auto"/>
          <w:lang w:val="en-US" w:eastAsia="zh-CN"/>
        </w:rPr>
        <w:t>。</w:t>
      </w:r>
    </w:p>
    <w:p w14:paraId="34178D2D">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7.3.3.2材料价、人工价：执行本项目所在地建设工程主管部门颁布的施工同期信息价。信息价上没有颁布的材料，由乙方按施工同期的市场价格合理报价给甲方作认质认价办理。报价文件须提供相关证明文件（含材料的厂家、品牌、型号、规格等），经甲方确认综合单价后作为独立费计入总价（计取税金），甲乙双方认质认价的材料不参与任何取费及上下浮。</w:t>
      </w:r>
    </w:p>
    <w:p w14:paraId="5F23F5EA">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7.3.3.3计价中除仅计取人工费、材料费、机具费作为直接工程费外，其余按系数计取的各类取费均不计取，另外其他所有措施费均不单独计取费用。</w:t>
      </w:r>
    </w:p>
    <w:p w14:paraId="72F3B917">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7.3.3.4税率：按国家建设行政主管部门及国家税务部门的最新规定执行。</w:t>
      </w:r>
    </w:p>
    <w:p w14:paraId="052F6BDC">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7.3.3.5按上述计费方式得出的价款后（甲方直接确认的综合单价不参与上下浮的除外）：包工不包料合同按以上计价方式（仅计取人工费和分包提供的辅材和机械费）下浮</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15 </w:t>
      </w:r>
      <w:r>
        <w:rPr>
          <w:rFonts w:hint="eastAsia" w:ascii="仿宋" w:hAnsi="仿宋" w:eastAsia="仿宋" w:cs="仿宋"/>
          <w:b w:val="0"/>
          <w:bCs w:val="0"/>
          <w:i w:val="0"/>
          <w:iCs w:val="0"/>
          <w:color w:val="auto"/>
          <w:sz w:val="28"/>
          <w:szCs w:val="28"/>
          <w:highlight w:val="none"/>
          <w:shd w:val="clear" w:color="auto" w:fill="auto"/>
          <w:lang w:val="en-US" w:eastAsia="zh-CN"/>
        </w:rPr>
        <w:t>%后计取税金；</w:t>
      </w:r>
      <w:r>
        <w:rPr>
          <w:rFonts w:hint="eastAsia" w:ascii="仿宋" w:hAnsi="仿宋" w:eastAsia="仿宋" w:cs="仿宋"/>
          <w:b w:val="0"/>
          <w:bCs w:val="0"/>
          <w:i w:val="0"/>
          <w:iCs w:val="0"/>
          <w:color w:val="FF0000"/>
          <w:sz w:val="28"/>
          <w:szCs w:val="28"/>
          <w:highlight w:val="none"/>
          <w:shd w:val="clear" w:color="auto" w:fill="auto"/>
          <w:lang w:val="en-US" w:eastAsia="zh-CN"/>
        </w:rPr>
        <w:t>包工包料包机械</w:t>
      </w:r>
      <w:r>
        <w:rPr>
          <w:rFonts w:hint="eastAsia" w:ascii="仿宋" w:hAnsi="仿宋" w:eastAsia="仿宋" w:cs="仿宋"/>
          <w:b w:val="0"/>
          <w:bCs w:val="0"/>
          <w:i w:val="0"/>
          <w:iCs w:val="0"/>
          <w:color w:val="auto"/>
          <w:sz w:val="28"/>
          <w:szCs w:val="28"/>
          <w:highlight w:val="none"/>
          <w:shd w:val="clear" w:color="auto" w:fill="auto"/>
          <w:lang w:val="en-US" w:eastAsia="zh-CN"/>
        </w:rPr>
        <w:t>的工程按以上计价方式下浮</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28 </w:t>
      </w:r>
      <w:r>
        <w:rPr>
          <w:rFonts w:hint="eastAsia" w:ascii="仿宋" w:hAnsi="仿宋" w:eastAsia="仿宋" w:cs="仿宋"/>
          <w:b w:val="0"/>
          <w:bCs w:val="0"/>
          <w:i w:val="0"/>
          <w:iCs w:val="0"/>
          <w:color w:val="auto"/>
          <w:sz w:val="28"/>
          <w:szCs w:val="28"/>
          <w:highlight w:val="none"/>
          <w:shd w:val="clear" w:color="auto" w:fill="auto"/>
          <w:lang w:val="en-US" w:eastAsia="zh-CN"/>
        </w:rPr>
        <w:t>%后计取税金。结算时，如乙方已请款部分开具的发票税率与合同约定不同时，须提供已请款金额及相应税率，且须甲方财务部签字确认</w:t>
      </w:r>
      <w:r>
        <w:rPr>
          <w:rFonts w:hint="eastAsia" w:ascii="仿宋" w:hAnsi="仿宋" w:eastAsia="仿宋" w:cs="仿宋"/>
          <w:b w:val="0"/>
          <w:bCs w:val="0"/>
          <w:color w:val="auto"/>
          <w:sz w:val="28"/>
          <w:szCs w:val="28"/>
          <w:highlight w:val="none"/>
          <w:lang w:val="en-US" w:eastAsia="zh-CN"/>
        </w:rPr>
        <w:t>，否则不予结算及付款。</w:t>
      </w:r>
    </w:p>
    <w:p w14:paraId="4B0C93BC">
      <w:pPr>
        <w:keepNext w:val="0"/>
        <w:keepLines w:val="0"/>
        <w:pageBreakBefore w:val="0"/>
        <w:widowControl w:val="0"/>
        <w:kinsoku/>
        <w:wordWrap/>
        <w:overflowPunct/>
        <w:topLinePunct w:val="0"/>
        <w:autoSpaceDE/>
        <w:autoSpaceDN/>
        <w:bidi w:val="0"/>
        <w:adjustRightInd w:val="0"/>
        <w:snapToGrid w:val="0"/>
        <w:spacing w:before="146" w:beforeLines="50" w:line="500" w:lineRule="exact"/>
        <w:ind w:left="-199" w:leftChars="-95"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63" w:name="_Toc27395"/>
      <w:r>
        <w:rPr>
          <w:rFonts w:hint="eastAsia" w:ascii="仿宋" w:hAnsi="仿宋" w:eastAsia="仿宋" w:cs="仿宋"/>
          <w:b/>
          <w:bCs/>
          <w:i w:val="0"/>
          <w:iCs w:val="0"/>
          <w:color w:val="auto"/>
          <w:sz w:val="28"/>
          <w:szCs w:val="28"/>
          <w:highlight w:val="none"/>
          <w:shd w:val="clear" w:color="auto" w:fill="auto"/>
          <w:lang w:val="en-US" w:eastAsia="zh-CN"/>
        </w:rPr>
        <w:t>第八章、付款方式（每个组团独立付款）</w:t>
      </w:r>
      <w:bookmarkEnd w:id="61"/>
      <w:bookmarkEnd w:id="62"/>
      <w:bookmarkEnd w:id="63"/>
    </w:p>
    <w:p w14:paraId="59557C0E">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2" w:firstLineChars="200"/>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sym w:font="Wingdings 2" w:char="0052"/>
      </w:r>
      <w:r>
        <w:rPr>
          <w:rFonts w:hint="eastAsia" w:ascii="仿宋" w:hAnsi="仿宋" w:eastAsia="仿宋" w:cs="仿宋"/>
          <w:b/>
          <w:bCs/>
          <w:i w:val="0"/>
          <w:iCs w:val="0"/>
          <w:color w:val="auto"/>
          <w:sz w:val="28"/>
          <w:szCs w:val="28"/>
          <w:highlight w:val="none"/>
          <w:shd w:val="clear" w:color="auto" w:fill="auto"/>
          <w:lang w:val="en-US" w:eastAsia="zh-CN"/>
        </w:rPr>
        <w:t>8.1付款方式一</w:t>
      </w:r>
    </w:p>
    <w:p w14:paraId="41C6EBD4">
      <w:pPr>
        <w:keepNext w:val="0"/>
        <w:keepLines w:val="0"/>
        <w:pageBreakBefore w:val="0"/>
        <w:widowControl w:val="0"/>
        <w:kinsoku/>
        <w:wordWrap/>
        <w:overflowPunct/>
        <w:topLinePunct w:val="0"/>
        <w:autoSpaceDE/>
        <w:autoSpaceDN/>
        <w:bidi w:val="0"/>
        <w:adjustRightInd/>
        <w:snapToGrid w:val="0"/>
        <w:spacing w:line="500" w:lineRule="exact"/>
        <w:ind w:left="-199" w:leftChars="-95" w:right="-178" w:rightChars="-85"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8.1.1 本项目3号水池基坑土方开挖完成并经甲方确认，且乙方提供齐全的款项审批资料给甲方，甲方审核无误后支付至本工程已完成合格工程量造价的60%作为进度款（含乙方工人工资）。</w:t>
      </w:r>
    </w:p>
    <w:p w14:paraId="1543E44F">
      <w:pPr>
        <w:keepNext w:val="0"/>
        <w:keepLines w:val="0"/>
        <w:pageBreakBefore w:val="0"/>
        <w:widowControl w:val="0"/>
        <w:kinsoku/>
        <w:wordWrap/>
        <w:overflowPunct/>
        <w:topLinePunct w:val="0"/>
        <w:autoSpaceDE/>
        <w:autoSpaceDN/>
        <w:bidi w:val="0"/>
        <w:adjustRightInd/>
        <w:snapToGrid w:val="0"/>
        <w:spacing w:line="500" w:lineRule="exact"/>
        <w:ind w:left="-199" w:leftChars="-95" w:right="-178" w:rightChars="-85"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8.1.2 本项目3号水池基坑土方回填完成并经甲方确认，乙方提供齐全的款项审批资料给甲方，甲方审核无误后支付至本工程已完成合格工程量造价的80％（含乙方工人工资）。</w:t>
      </w:r>
    </w:p>
    <w:p w14:paraId="5512E3E0">
      <w:pPr>
        <w:keepNext w:val="0"/>
        <w:keepLines w:val="0"/>
        <w:pageBreakBefore w:val="0"/>
        <w:widowControl w:val="0"/>
        <w:kinsoku/>
        <w:wordWrap/>
        <w:overflowPunct/>
        <w:topLinePunct w:val="0"/>
        <w:autoSpaceDE/>
        <w:autoSpaceDN/>
        <w:bidi w:val="0"/>
        <w:adjustRightInd/>
        <w:snapToGrid w:val="0"/>
        <w:spacing w:line="500" w:lineRule="exact"/>
        <w:ind w:left="-199" w:leftChars="-95" w:right="-178" w:rightChars="-85"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8.1.3 本工程全部工作内容施工完成，经建设单位及监理、甲方等竣工综合验收合格并移交甲方，</w:t>
      </w:r>
      <w:r>
        <w:rPr>
          <w:rFonts w:hint="default"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lang w:val="en-US" w:eastAsia="zh-CN"/>
        </w:rPr>
        <w:t>将</w:t>
      </w:r>
      <w:r>
        <w:rPr>
          <w:rFonts w:hint="default" w:ascii="仿宋" w:hAnsi="仿宋" w:eastAsia="仿宋" w:cs="仿宋"/>
          <w:color w:val="auto"/>
          <w:sz w:val="28"/>
          <w:szCs w:val="28"/>
          <w:highlight w:val="none"/>
          <w:lang w:eastAsia="zh-CN"/>
        </w:rPr>
        <w:t>所有资料原件、复印件列清单、目录移交甲方</w:t>
      </w:r>
      <w:r>
        <w:rPr>
          <w:rFonts w:hint="eastAsia" w:ascii="仿宋" w:hAnsi="仿宋" w:eastAsia="仿宋" w:cs="仿宋"/>
          <w:color w:val="auto"/>
          <w:sz w:val="28"/>
          <w:szCs w:val="28"/>
          <w:highlight w:val="none"/>
          <w:lang w:val="en-US" w:eastAsia="zh-CN"/>
        </w:rPr>
        <w:t>后，乙方才可申请结算，双方就结算金额达成书面一致且乙方开具金额等于结算总价100%的发票给甲方后，甲方付至结算总价的100％（含乙方工人工资）。</w:t>
      </w:r>
    </w:p>
    <w:p w14:paraId="2C5CE726">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2" w:firstLineChars="200"/>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rPr>
        <w:sym w:font="Wingdings 2" w:char="00A3"/>
      </w:r>
      <w:r>
        <w:rPr>
          <w:rFonts w:hint="eastAsia" w:ascii="仿宋" w:hAnsi="仿宋" w:eastAsia="仿宋" w:cs="仿宋"/>
          <w:b/>
          <w:bCs/>
          <w:i w:val="0"/>
          <w:iCs w:val="0"/>
          <w:color w:val="auto"/>
          <w:sz w:val="28"/>
          <w:szCs w:val="28"/>
          <w:highlight w:val="none"/>
          <w:shd w:val="clear" w:color="auto" w:fill="auto"/>
          <w:lang w:val="en-US" w:eastAsia="zh-CN"/>
        </w:rPr>
        <w:t>8.1付款方式二</w:t>
      </w:r>
    </w:p>
    <w:p w14:paraId="34012981">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u w:val="single"/>
          <w:shd w:val="clear" w:color="auto" w:fill="auto"/>
          <w:lang w:val="en-US" w:eastAsia="zh-CN"/>
        </w:rPr>
      </w:pP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（如定标结果的付款方式与上述“8.1条付款方式一”不一致，则将定标结果的付款方式填写在此处作为合同付款方式。）   </w:t>
      </w:r>
    </w:p>
    <w:p w14:paraId="2EF28ABD">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8.2合同履约保证金为人民币</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0.5 </w:t>
      </w:r>
      <w:r>
        <w:rPr>
          <w:rFonts w:hint="eastAsia" w:ascii="仿宋" w:hAnsi="仿宋" w:eastAsia="仿宋" w:cs="仿宋"/>
          <w:b w:val="0"/>
          <w:bCs w:val="0"/>
          <w:i w:val="0"/>
          <w:iCs w:val="0"/>
          <w:color w:val="auto"/>
          <w:sz w:val="28"/>
          <w:szCs w:val="28"/>
          <w:highlight w:val="none"/>
          <w:u w:val="none"/>
          <w:shd w:val="clear" w:color="auto" w:fill="auto"/>
          <w:lang w:val="en-US" w:eastAsia="zh-CN"/>
        </w:rPr>
        <w:t>万</w:t>
      </w:r>
      <w:r>
        <w:rPr>
          <w:rFonts w:hint="eastAsia" w:ascii="仿宋" w:hAnsi="仿宋" w:eastAsia="仿宋" w:cs="仿宋"/>
          <w:b w:val="0"/>
          <w:bCs w:val="0"/>
          <w:i w:val="0"/>
          <w:iCs w:val="0"/>
          <w:color w:val="auto"/>
          <w:sz w:val="28"/>
          <w:szCs w:val="28"/>
          <w:highlight w:val="none"/>
          <w:shd w:val="clear" w:color="auto" w:fill="auto"/>
          <w:lang w:val="en-US" w:eastAsia="zh-CN"/>
        </w:rPr>
        <w:t>元整（由乙方的投标保证金无息转成）。如乙方在合同有效期内发生违约事宜，甲方可从履约保证金内提取相应款项作为违约金（若履约保证金不足，乙方须自甲方要求之日起十天内向甲方补足）。如乙方原因致使合同无法履行，履约保证金全额不予返还，乙方承担违约责任并赔偿甲方的损失。如乙方在合同履行期间无违约行为，则甲方在支付本合同的第一笔合同款时一并无息原路退回剩余的履约保证金。</w:t>
      </w:r>
    </w:p>
    <w:p w14:paraId="6959B9DF">
      <w:pPr>
        <w:keepNext w:val="0"/>
        <w:keepLines w:val="0"/>
        <w:pageBreakBefore w:val="0"/>
        <w:widowControl w:val="0"/>
        <w:kinsoku/>
        <w:wordWrap/>
        <w:overflowPunct/>
        <w:topLinePunct w:val="0"/>
        <w:autoSpaceDE/>
        <w:autoSpaceDN/>
        <w:bidi w:val="0"/>
        <w:adjustRightInd w:val="0"/>
        <w:snapToGrid w:val="0"/>
        <w:spacing w:before="146" w:beforeLines="50" w:line="500" w:lineRule="exact"/>
        <w:ind w:left="-199" w:leftChars="-95"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64" w:name="_Toc22317"/>
      <w:bookmarkStart w:id="65" w:name="_Toc24215"/>
      <w:bookmarkStart w:id="66" w:name="_Toc5830"/>
      <w:r>
        <w:rPr>
          <w:rFonts w:hint="eastAsia" w:ascii="仿宋" w:hAnsi="仿宋" w:eastAsia="仿宋" w:cs="仿宋"/>
          <w:b/>
          <w:bCs/>
          <w:i w:val="0"/>
          <w:iCs w:val="0"/>
          <w:color w:val="auto"/>
          <w:sz w:val="28"/>
          <w:szCs w:val="28"/>
          <w:highlight w:val="none"/>
          <w:shd w:val="clear" w:color="auto" w:fill="auto"/>
          <w:lang w:val="en-US" w:eastAsia="zh-CN"/>
        </w:rPr>
        <w:t>第九章、双方责任和权利</w:t>
      </w:r>
      <w:bookmarkEnd w:id="64"/>
      <w:bookmarkEnd w:id="65"/>
      <w:bookmarkEnd w:id="66"/>
    </w:p>
    <w:p w14:paraId="70B4DF94">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67" w:name="_Toc29715"/>
      <w:bookmarkStart w:id="68" w:name="_Toc15487"/>
      <w:bookmarkStart w:id="69" w:name="_Toc26064"/>
      <w:bookmarkStart w:id="70" w:name="_Toc5199"/>
      <w:bookmarkStart w:id="71" w:name="_Toc11799"/>
      <w:r>
        <w:rPr>
          <w:rFonts w:hint="eastAsia" w:ascii="仿宋" w:hAnsi="仿宋" w:eastAsia="仿宋" w:cs="仿宋"/>
          <w:b w:val="0"/>
          <w:bCs w:val="0"/>
          <w:i w:val="0"/>
          <w:iCs w:val="0"/>
          <w:color w:val="auto"/>
          <w:sz w:val="28"/>
          <w:szCs w:val="28"/>
          <w:highlight w:val="none"/>
          <w:shd w:val="clear" w:color="auto" w:fill="auto"/>
          <w:lang w:val="en-US" w:eastAsia="zh-CN"/>
        </w:rPr>
        <w:t>9.1甲方责任和权利</w:t>
      </w:r>
      <w:bookmarkEnd w:id="67"/>
      <w:bookmarkEnd w:id="68"/>
      <w:bookmarkEnd w:id="69"/>
      <w:bookmarkEnd w:id="70"/>
      <w:bookmarkEnd w:id="71"/>
    </w:p>
    <w:p w14:paraId="08FC629E">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9.1.1向乙方提供签章电子版的施工图及地质钻探资料（含图纸变更通知、图纸会审记录等）。</w:t>
      </w:r>
    </w:p>
    <w:p w14:paraId="0C533B55">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9.2乙方责任和权利</w:t>
      </w:r>
    </w:p>
    <w:p w14:paraId="398238E1">
      <w:pPr>
        <w:keepNext w:val="0"/>
        <w:keepLines w:val="0"/>
        <w:pageBreakBefore w:val="0"/>
        <w:widowControl w:val="0"/>
        <w:tabs>
          <w:tab w:val="left" w:pos="6780"/>
        </w:tabs>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9.2.1</w:t>
      </w:r>
      <w:r>
        <w:rPr>
          <w:rFonts w:hint="eastAsia" w:ascii="仿宋" w:hAnsi="仿宋" w:eastAsia="仿宋" w:cs="仿宋"/>
          <w:i w:val="0"/>
          <w:iCs w:val="0"/>
          <w:color w:val="auto"/>
          <w:sz w:val="28"/>
          <w:szCs w:val="28"/>
          <w:highlight w:val="none"/>
          <w:lang w:val="en-US" w:eastAsia="zh-CN"/>
        </w:rPr>
        <w:t>施工前，乙方须仔细阅读本工程相关图纸资料，并明确现场施工场地是否与资料相符，提出合理化建议。因乙方未对资料进行实际核查而导致的不良后果、责任及损失均由乙方承担</w:t>
      </w:r>
      <w:r>
        <w:rPr>
          <w:rFonts w:hint="eastAsia" w:ascii="仿宋" w:hAnsi="仿宋" w:eastAsia="仿宋" w:cs="仿宋"/>
          <w:b w:val="0"/>
          <w:bCs w:val="0"/>
          <w:i w:val="0"/>
          <w:iCs w:val="0"/>
          <w:color w:val="auto"/>
          <w:sz w:val="28"/>
          <w:szCs w:val="28"/>
          <w:highlight w:val="none"/>
          <w:lang w:val="en-US" w:eastAsia="zh-CN"/>
        </w:rPr>
        <w:t>。</w:t>
      </w:r>
    </w:p>
    <w:p w14:paraId="2D27B4A5">
      <w:pPr>
        <w:keepNext w:val="0"/>
        <w:keepLines w:val="0"/>
        <w:pageBreakBefore w:val="0"/>
        <w:widowControl w:val="0"/>
        <w:tabs>
          <w:tab w:val="left" w:pos="6780"/>
        </w:tabs>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9.2.2乙方必须严格按照甲方、政府主管部门、设计图纸的要求施工。施工过程中，发现有质量问题或异常情形等，须立即向甲方提出书面报告，征得甲方的书面同意方能继续施工。因乙方原因导致的质量事故，由乙方赔偿甲方所有损失。</w:t>
      </w:r>
    </w:p>
    <w:p w14:paraId="14846921">
      <w:pPr>
        <w:keepNext w:val="0"/>
        <w:keepLines w:val="0"/>
        <w:pageBreakBefore w:val="0"/>
        <w:widowControl w:val="0"/>
        <w:tabs>
          <w:tab w:val="left" w:pos="6780"/>
        </w:tabs>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9.2.3乙方须保护好自身施工的材料、机械等设备，如有被偷盗、损坏等现象发生，由乙方自行负责。</w:t>
      </w:r>
    </w:p>
    <w:p w14:paraId="43E10D06">
      <w:pPr>
        <w:keepNext w:val="0"/>
        <w:keepLines w:val="0"/>
        <w:pageBreakBefore w:val="0"/>
        <w:widowControl w:val="0"/>
        <w:tabs>
          <w:tab w:val="left" w:pos="6780"/>
        </w:tabs>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9.2.4施工过程中乙方指定专人认真做好施工记录，工程竣工后须及时将资料整理完整，移交甲方资料员。</w:t>
      </w:r>
    </w:p>
    <w:p w14:paraId="526EE06B">
      <w:pPr>
        <w:keepNext w:val="0"/>
        <w:keepLines w:val="0"/>
        <w:pageBreakBefore w:val="0"/>
        <w:widowControl w:val="0"/>
        <w:kinsoku/>
        <w:wordWrap/>
        <w:overflowPunct/>
        <w:topLinePunct w:val="0"/>
        <w:autoSpaceDE/>
        <w:autoSpaceDN/>
        <w:bidi w:val="0"/>
        <w:adjustRightInd w:val="0"/>
        <w:snapToGrid w:val="0"/>
        <w:spacing w:before="146" w:beforeLines="50" w:line="500" w:lineRule="exact"/>
        <w:ind w:left="-199" w:leftChars="-95"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72" w:name="_Toc15027"/>
      <w:bookmarkStart w:id="73" w:name="_Toc31919"/>
      <w:bookmarkStart w:id="74" w:name="_Toc24173"/>
      <w:bookmarkStart w:id="75" w:name="_Toc31665"/>
      <w:bookmarkStart w:id="76" w:name="_Toc26423"/>
    </w:p>
    <w:p w14:paraId="53DFB949">
      <w:pPr>
        <w:keepNext w:val="0"/>
        <w:keepLines w:val="0"/>
        <w:pageBreakBefore w:val="0"/>
        <w:widowControl w:val="0"/>
        <w:kinsoku/>
        <w:wordWrap/>
        <w:overflowPunct/>
        <w:topLinePunct w:val="0"/>
        <w:autoSpaceDE/>
        <w:autoSpaceDN/>
        <w:bidi w:val="0"/>
        <w:adjustRightInd w:val="0"/>
        <w:snapToGrid w:val="0"/>
        <w:spacing w:before="146" w:beforeLines="50" w:line="500" w:lineRule="exact"/>
        <w:ind w:left="-199" w:leftChars="-95"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第十章、</w:t>
      </w:r>
      <w:bookmarkEnd w:id="72"/>
      <w:bookmarkEnd w:id="73"/>
      <w:bookmarkEnd w:id="74"/>
      <w:bookmarkEnd w:id="75"/>
      <w:bookmarkEnd w:id="76"/>
      <w:bookmarkStart w:id="77" w:name="_Toc10092"/>
      <w:bookmarkStart w:id="78" w:name="_Toc15001"/>
      <w:bookmarkStart w:id="79" w:name="_Toc14868"/>
      <w:bookmarkStart w:id="80" w:name="_Toc24202"/>
      <w:bookmarkStart w:id="81" w:name="_Toc7932"/>
      <w:bookmarkStart w:id="82" w:name="_Toc3557"/>
      <w:bookmarkStart w:id="83" w:name="_Toc4245"/>
      <w:r>
        <w:rPr>
          <w:rFonts w:hint="eastAsia" w:ascii="仿宋" w:hAnsi="仿宋" w:eastAsia="仿宋" w:cs="仿宋"/>
          <w:b/>
          <w:bCs/>
          <w:i w:val="0"/>
          <w:iCs w:val="0"/>
          <w:color w:val="auto"/>
          <w:sz w:val="28"/>
          <w:szCs w:val="28"/>
          <w:highlight w:val="none"/>
          <w:shd w:val="clear" w:color="auto" w:fill="auto"/>
          <w:lang w:val="en-US" w:eastAsia="zh-CN"/>
        </w:rPr>
        <w:t>其他</w:t>
      </w:r>
      <w:bookmarkEnd w:id="77"/>
      <w:bookmarkEnd w:id="78"/>
      <w:bookmarkEnd w:id="79"/>
      <w:bookmarkEnd w:id="80"/>
      <w:bookmarkEnd w:id="81"/>
      <w:bookmarkEnd w:id="82"/>
      <w:bookmarkEnd w:id="83"/>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4EBEE220">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10.1甲乙双方联系人</w:t>
      </w:r>
    </w:p>
    <w:p w14:paraId="263F18E7">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10.1.1</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甲方指定</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 xml:space="preserve"> 林易国 </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为本项目的负责人及甲方合同执行联系人，联系电话：</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13929204778</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w:t>
      </w:r>
      <w:r>
        <w:rPr>
          <w:rFonts w:hint="eastAsia" w:ascii="仿宋" w:hAnsi="仿宋" w:eastAsia="仿宋" w:cs="仿宋"/>
          <w:b w:val="0"/>
          <w:bCs w:val="0"/>
          <w:i w:val="0"/>
          <w:iCs w:val="0"/>
          <w:color w:val="auto"/>
          <w:sz w:val="28"/>
          <w:szCs w:val="28"/>
          <w:highlight w:val="none"/>
          <w:shd w:val="clear" w:color="auto" w:fill="auto"/>
          <w:lang w:eastAsia="zh-CN"/>
        </w:rPr>
        <w:t>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w:t>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shd w:val="clear" w:color="auto" w:fill="auto"/>
          <w:lang w:eastAsia="zh-CN"/>
        </w:rPr>
        <w:t>执行联系人签名并加盖</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eastAsia="zh-CN"/>
        </w:rPr>
        <w:t>项目章（样式详见附件）方为有效，否则为无效文件，仅盖章或者仅签名的文件亦无效。甲方项目负责人、</w:t>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shd w:val="clear" w:color="auto" w:fill="auto"/>
          <w:lang w:eastAsia="zh-CN"/>
        </w:rPr>
        <w:t>执行联系人变更的，甲方将以书面形式通知乙方。</w:t>
      </w:r>
    </w:p>
    <w:p w14:paraId="51F828A7">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10.1.2乙方指定</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（身份证号码：   ；手机号码：  ；电子邮箱：  ；微信号：   </w:t>
      </w:r>
      <w:r>
        <w:rPr>
          <w:rFonts w:hint="eastAsia" w:ascii="仿宋" w:hAnsi="仿宋" w:eastAsia="仿宋" w:cs="仿宋"/>
          <w:b w:val="0"/>
          <w:bCs w:val="0"/>
          <w:i w:val="0"/>
          <w:iCs w:val="0"/>
          <w:color w:val="auto"/>
          <w:sz w:val="28"/>
          <w:szCs w:val="28"/>
          <w:highlight w:val="none"/>
          <w:shd w:val="clear" w:color="auto" w:fill="auto"/>
          <w:lang w:eastAsia="zh-CN"/>
        </w:rPr>
        <w:t>）为</w:t>
      </w:r>
      <w:r>
        <w:rPr>
          <w:rFonts w:hint="eastAsia" w:ascii="仿宋" w:hAnsi="仿宋" w:eastAsia="仿宋" w:cs="仿宋"/>
          <w:b w:val="0"/>
          <w:bCs w:val="0"/>
          <w:i w:val="0"/>
          <w:iCs w:val="0"/>
          <w:color w:val="auto"/>
          <w:sz w:val="28"/>
          <w:szCs w:val="28"/>
          <w:highlight w:val="none"/>
          <w:shd w:val="clear" w:color="auto" w:fill="auto"/>
          <w:lang w:val="en-US" w:eastAsia="zh-CN"/>
        </w:rPr>
        <w:t>本合同的乙方</w:t>
      </w:r>
      <w:r>
        <w:rPr>
          <w:rFonts w:hint="eastAsia" w:ascii="仿宋" w:hAnsi="仿宋" w:eastAsia="仿宋" w:cs="仿宋"/>
          <w:b w:val="0"/>
          <w:bCs w:val="0"/>
          <w:i w:val="0"/>
          <w:iCs w:val="0"/>
          <w:color w:val="auto"/>
          <w:sz w:val="28"/>
          <w:szCs w:val="28"/>
          <w:highlight w:val="none"/>
          <w:shd w:val="clear" w:color="auto" w:fill="auto"/>
          <w:lang w:eastAsia="zh-CN"/>
        </w:rPr>
        <w:t>授权代表，</w:t>
      </w:r>
      <w:r>
        <w:rPr>
          <w:rFonts w:hint="eastAsia" w:ascii="仿宋" w:hAnsi="仿宋" w:eastAsia="仿宋" w:cs="仿宋"/>
          <w:b w:val="0"/>
          <w:bCs w:val="0"/>
          <w:i w:val="0"/>
          <w:iCs w:val="0"/>
          <w:color w:val="auto"/>
          <w:sz w:val="28"/>
          <w:szCs w:val="28"/>
          <w:highlight w:val="none"/>
          <w:shd w:val="clear" w:color="auto" w:fill="auto"/>
          <w:lang w:val="en-US" w:eastAsia="zh-CN"/>
        </w:rPr>
        <w:t>在</w:t>
      </w:r>
      <w:r>
        <w:rPr>
          <w:rFonts w:hint="eastAsia" w:ascii="仿宋" w:hAnsi="仿宋" w:eastAsia="仿宋" w:cs="仿宋"/>
          <w:b w:val="0"/>
          <w:bCs w:val="0"/>
          <w:i w:val="0"/>
          <w:iCs w:val="0"/>
          <w:color w:val="auto"/>
          <w:sz w:val="28"/>
          <w:szCs w:val="28"/>
          <w:highlight w:val="none"/>
          <w:shd w:val="clear" w:color="auto" w:fill="auto"/>
          <w:lang w:eastAsia="zh-CN"/>
        </w:rPr>
        <w:t>本合同有效期</w:t>
      </w:r>
      <w:r>
        <w:rPr>
          <w:rFonts w:hint="eastAsia" w:ascii="仿宋" w:hAnsi="仿宋" w:eastAsia="仿宋" w:cs="仿宋"/>
          <w:b w:val="0"/>
          <w:bCs w:val="0"/>
          <w:i w:val="0"/>
          <w:iCs w:val="0"/>
          <w:color w:val="auto"/>
          <w:sz w:val="28"/>
          <w:szCs w:val="28"/>
          <w:highlight w:val="none"/>
          <w:shd w:val="clear" w:color="auto" w:fill="auto"/>
          <w:lang w:val="en-US" w:eastAsia="zh-CN"/>
        </w:rPr>
        <w:t>内其</w:t>
      </w:r>
      <w:r>
        <w:rPr>
          <w:rFonts w:hint="eastAsia" w:ascii="仿宋" w:hAnsi="仿宋" w:eastAsia="仿宋" w:cs="仿宋"/>
          <w:b w:val="0"/>
          <w:bCs w:val="0"/>
          <w:i w:val="0"/>
          <w:iCs w:val="0"/>
          <w:color w:val="auto"/>
          <w:sz w:val="28"/>
          <w:szCs w:val="28"/>
          <w:highlight w:val="none"/>
          <w:shd w:val="clear" w:color="auto" w:fill="auto"/>
          <w:lang w:eastAsia="zh-CN"/>
        </w:rPr>
        <w:t>为乙方</w:t>
      </w:r>
      <w:r>
        <w:rPr>
          <w:rFonts w:hint="eastAsia" w:ascii="仿宋" w:hAnsi="仿宋" w:eastAsia="仿宋" w:cs="仿宋"/>
          <w:b w:val="0"/>
          <w:bCs w:val="0"/>
          <w:i w:val="0"/>
          <w:iCs w:val="0"/>
          <w:color w:val="auto"/>
          <w:sz w:val="28"/>
          <w:szCs w:val="28"/>
          <w:highlight w:val="none"/>
          <w:shd w:val="clear" w:color="auto" w:fill="auto"/>
          <w:lang w:val="en-US" w:eastAsia="zh-CN"/>
        </w:rPr>
        <w:t>授权</w:t>
      </w:r>
      <w:r>
        <w:rPr>
          <w:rFonts w:hint="eastAsia" w:ascii="仿宋" w:hAnsi="仿宋" w:eastAsia="仿宋" w:cs="仿宋"/>
          <w:b w:val="0"/>
          <w:bCs w:val="0"/>
          <w:i w:val="0"/>
          <w:iCs w:val="0"/>
          <w:color w:val="auto"/>
          <w:sz w:val="28"/>
          <w:szCs w:val="28"/>
          <w:highlight w:val="none"/>
          <w:shd w:val="clear" w:color="auto" w:fill="auto"/>
          <w:lang w:eastAsia="zh-CN"/>
        </w:rPr>
        <w:t>处理与本合同</w:t>
      </w:r>
      <w:r>
        <w:rPr>
          <w:rFonts w:hint="eastAsia" w:ascii="仿宋" w:hAnsi="仿宋" w:eastAsia="仿宋" w:cs="仿宋"/>
          <w:b w:val="0"/>
          <w:bCs w:val="0"/>
          <w:i w:val="0"/>
          <w:iCs w:val="0"/>
          <w:color w:val="auto"/>
          <w:sz w:val="28"/>
          <w:szCs w:val="28"/>
          <w:highlight w:val="none"/>
          <w:shd w:val="clear" w:color="auto" w:fill="auto"/>
          <w:lang w:val="en-US" w:eastAsia="zh-CN"/>
        </w:rPr>
        <w:t>相关</w:t>
      </w:r>
      <w:r>
        <w:rPr>
          <w:rFonts w:hint="eastAsia" w:ascii="仿宋" w:hAnsi="仿宋" w:eastAsia="仿宋" w:cs="仿宋"/>
          <w:b w:val="0"/>
          <w:bCs w:val="0"/>
          <w:i w:val="0"/>
          <w:iCs w:val="0"/>
          <w:color w:val="auto"/>
          <w:sz w:val="28"/>
          <w:szCs w:val="28"/>
          <w:highlight w:val="none"/>
          <w:shd w:val="clear" w:color="auto" w:fill="auto"/>
          <w:lang w:eastAsia="zh-CN"/>
        </w:rPr>
        <w:t>事项</w:t>
      </w:r>
      <w:r>
        <w:rPr>
          <w:rFonts w:hint="eastAsia" w:ascii="仿宋" w:hAnsi="仿宋" w:eastAsia="仿宋" w:cs="仿宋"/>
          <w:b w:val="0"/>
          <w:bCs w:val="0"/>
          <w:i w:val="0"/>
          <w:iCs w:val="0"/>
          <w:color w:val="auto"/>
          <w:sz w:val="28"/>
          <w:szCs w:val="28"/>
          <w:highlight w:val="none"/>
          <w:shd w:val="clear" w:color="auto" w:fill="auto"/>
          <w:lang w:val="en-US" w:eastAsia="zh-CN"/>
        </w:rPr>
        <w:t>的合同执行代表，负责与甲方公司总部办理</w:t>
      </w:r>
      <w:r>
        <w:rPr>
          <w:rFonts w:hint="eastAsia" w:ascii="仿宋" w:hAnsi="仿宋" w:eastAsia="仿宋" w:cs="仿宋"/>
          <w:b w:val="0"/>
          <w:bCs w:val="0"/>
          <w:i w:val="0"/>
          <w:iCs w:val="0"/>
          <w:color w:val="auto"/>
          <w:sz w:val="28"/>
          <w:szCs w:val="28"/>
          <w:highlight w:val="none"/>
          <w:shd w:val="clear" w:color="auto" w:fill="auto"/>
          <w:lang w:eastAsia="zh-CN"/>
        </w:rPr>
        <w:t>相关事务（如负责双方来往</w:t>
      </w:r>
      <w:r>
        <w:rPr>
          <w:rFonts w:hint="eastAsia" w:ascii="仿宋" w:hAnsi="仿宋" w:eastAsia="仿宋" w:cs="仿宋"/>
          <w:b w:val="0"/>
          <w:bCs w:val="0"/>
          <w:i w:val="0"/>
          <w:iCs w:val="0"/>
          <w:color w:val="auto"/>
          <w:sz w:val="28"/>
          <w:szCs w:val="28"/>
          <w:highlight w:val="none"/>
          <w:shd w:val="clear" w:color="auto" w:fill="auto"/>
          <w:lang w:val="en-US" w:eastAsia="zh-CN"/>
        </w:rPr>
        <w:t>函件</w:t>
      </w:r>
      <w:r>
        <w:rPr>
          <w:rFonts w:hint="eastAsia" w:ascii="仿宋" w:hAnsi="仿宋" w:eastAsia="仿宋" w:cs="仿宋"/>
          <w:b w:val="0"/>
          <w:bCs w:val="0"/>
          <w:i w:val="0"/>
          <w:iCs w:val="0"/>
          <w:color w:val="auto"/>
          <w:sz w:val="28"/>
          <w:szCs w:val="28"/>
          <w:highlight w:val="none"/>
          <w:shd w:val="clear" w:color="auto" w:fill="auto"/>
          <w:lang w:eastAsia="zh-CN"/>
        </w:rPr>
        <w:t>签收、签字、验收、确定增减</w:t>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shd w:val="clear" w:color="auto" w:fill="auto"/>
          <w:lang w:eastAsia="zh-CN"/>
        </w:rPr>
        <w:t>款、确定结算金额、领款、签收并签认甲方对乙方违约行为作出的处理通知等行为）。</w:t>
      </w:r>
    </w:p>
    <w:p w14:paraId="455A9756">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10.1.3</w:t>
      </w:r>
      <w:r>
        <w:rPr>
          <w:rFonts w:hint="eastAsia" w:ascii="仿宋" w:hAnsi="仿宋" w:eastAsia="仿宋" w:cs="仿宋"/>
          <w:b w:val="0"/>
          <w:bCs w:val="0"/>
          <w:i w:val="0"/>
          <w:iCs w:val="0"/>
          <w:color w:val="auto"/>
          <w:sz w:val="28"/>
          <w:szCs w:val="28"/>
          <w:highlight w:val="none"/>
          <w:shd w:val="clear" w:color="auto" w:fill="auto"/>
          <w:lang w:eastAsia="zh-CN"/>
        </w:rPr>
        <w:t>乙方指定</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（身份证号码：   ；手机号码：  ；电子邮箱：  ；微信号：   </w:t>
      </w:r>
      <w:r>
        <w:rPr>
          <w:rFonts w:hint="eastAsia" w:ascii="仿宋" w:hAnsi="仿宋" w:eastAsia="仿宋" w:cs="仿宋"/>
          <w:b w:val="0"/>
          <w:bCs w:val="0"/>
          <w:i w:val="0"/>
          <w:iCs w:val="0"/>
          <w:color w:val="auto"/>
          <w:sz w:val="28"/>
          <w:szCs w:val="28"/>
          <w:highlight w:val="none"/>
          <w:shd w:val="clear" w:color="auto" w:fill="auto"/>
          <w:lang w:eastAsia="zh-CN"/>
        </w:rPr>
        <w:t>）为</w:t>
      </w:r>
      <w:r>
        <w:rPr>
          <w:rFonts w:hint="eastAsia" w:ascii="仿宋" w:hAnsi="仿宋" w:eastAsia="仿宋" w:cs="仿宋"/>
          <w:b w:val="0"/>
          <w:bCs w:val="0"/>
          <w:i w:val="0"/>
          <w:iCs w:val="0"/>
          <w:color w:val="auto"/>
          <w:sz w:val="28"/>
          <w:szCs w:val="28"/>
          <w:highlight w:val="none"/>
          <w:shd w:val="clear" w:color="auto" w:fill="auto"/>
          <w:lang w:val="en-US" w:eastAsia="zh-CN"/>
        </w:rPr>
        <w:t>本合同的乙方现场负责人，在</w:t>
      </w:r>
      <w:r>
        <w:rPr>
          <w:rFonts w:hint="eastAsia" w:ascii="仿宋" w:hAnsi="仿宋" w:eastAsia="仿宋" w:cs="仿宋"/>
          <w:b w:val="0"/>
          <w:bCs w:val="0"/>
          <w:i w:val="0"/>
          <w:iCs w:val="0"/>
          <w:color w:val="auto"/>
          <w:sz w:val="28"/>
          <w:szCs w:val="28"/>
          <w:highlight w:val="none"/>
          <w:shd w:val="clear" w:color="auto" w:fill="auto"/>
          <w:lang w:eastAsia="zh-CN"/>
        </w:rPr>
        <w:t>本合同有效期</w:t>
      </w:r>
      <w:r>
        <w:rPr>
          <w:rFonts w:hint="eastAsia" w:ascii="仿宋" w:hAnsi="仿宋" w:eastAsia="仿宋" w:cs="仿宋"/>
          <w:b w:val="0"/>
          <w:bCs w:val="0"/>
          <w:i w:val="0"/>
          <w:iCs w:val="0"/>
          <w:color w:val="auto"/>
          <w:sz w:val="28"/>
          <w:szCs w:val="28"/>
          <w:highlight w:val="none"/>
          <w:shd w:val="clear" w:color="auto" w:fill="auto"/>
          <w:lang w:val="en-US" w:eastAsia="zh-CN"/>
        </w:rPr>
        <w:t>内其</w:t>
      </w:r>
      <w:r>
        <w:rPr>
          <w:rFonts w:hint="eastAsia" w:ascii="仿宋" w:hAnsi="仿宋" w:eastAsia="仿宋" w:cs="仿宋"/>
          <w:b w:val="0"/>
          <w:bCs w:val="0"/>
          <w:i w:val="0"/>
          <w:iCs w:val="0"/>
          <w:color w:val="auto"/>
          <w:sz w:val="28"/>
          <w:szCs w:val="28"/>
          <w:highlight w:val="none"/>
          <w:shd w:val="clear" w:color="auto" w:fill="auto"/>
          <w:lang w:eastAsia="zh-CN"/>
        </w:rPr>
        <w:t>为</w:t>
      </w:r>
      <w:r>
        <w:rPr>
          <w:rFonts w:hint="eastAsia" w:ascii="仿宋" w:hAnsi="仿宋" w:eastAsia="仿宋" w:cs="仿宋"/>
          <w:b w:val="0"/>
          <w:bCs w:val="0"/>
          <w:i w:val="0"/>
          <w:iCs w:val="0"/>
          <w:color w:val="auto"/>
          <w:sz w:val="28"/>
          <w:szCs w:val="28"/>
          <w:highlight w:val="none"/>
          <w:shd w:val="clear" w:color="auto" w:fill="auto"/>
          <w:lang w:val="en-US" w:eastAsia="zh-CN"/>
        </w:rPr>
        <w:t>乙方授权处理本项目施工现场相关事项的合同执行代表，负责与甲方项目现场的工作签认、安排等全部事务。现场负责人必</w:t>
      </w:r>
      <w:r>
        <w:rPr>
          <w:rFonts w:hint="eastAsia" w:ascii="仿宋" w:hAnsi="仿宋" w:eastAsia="仿宋" w:cs="仿宋"/>
          <w:b w:val="0"/>
          <w:bCs w:val="0"/>
          <w:i w:val="0"/>
          <w:iCs w:val="0"/>
          <w:color w:val="auto"/>
          <w:sz w:val="28"/>
          <w:szCs w:val="28"/>
          <w:highlight w:val="none"/>
          <w:shd w:val="clear" w:color="auto" w:fill="auto"/>
          <w:lang w:eastAsia="zh-CN"/>
        </w:rPr>
        <w:t>须常</w:t>
      </w:r>
      <w:r>
        <w:rPr>
          <w:rFonts w:hint="eastAsia" w:ascii="仿宋" w:hAnsi="仿宋" w:eastAsia="仿宋" w:cs="仿宋"/>
          <w:b w:val="0"/>
          <w:bCs w:val="0"/>
          <w:i w:val="0"/>
          <w:iCs w:val="0"/>
          <w:color w:val="auto"/>
          <w:sz w:val="28"/>
          <w:szCs w:val="28"/>
          <w:highlight w:val="none"/>
          <w:shd w:val="clear" w:color="auto" w:fill="auto"/>
          <w:lang w:val="en-US" w:eastAsia="zh-CN"/>
        </w:rPr>
        <w:t>驻本项目</w:t>
      </w:r>
      <w:r>
        <w:rPr>
          <w:rFonts w:hint="eastAsia" w:ascii="仿宋" w:hAnsi="仿宋" w:eastAsia="仿宋" w:cs="仿宋"/>
          <w:b w:val="0"/>
          <w:bCs w:val="0"/>
          <w:i w:val="0"/>
          <w:iCs w:val="0"/>
          <w:color w:val="auto"/>
          <w:sz w:val="28"/>
          <w:szCs w:val="28"/>
          <w:highlight w:val="none"/>
          <w:shd w:val="clear" w:color="auto" w:fill="auto"/>
          <w:lang w:eastAsia="zh-CN"/>
        </w:rPr>
        <w:t>施工现场。</w:t>
      </w:r>
    </w:p>
    <w:p w14:paraId="040073DF">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乙方对乙方授权代表及乙方现场负责人的行为均予认可并承担一切责任。乙方如需更换授权或现场负责人，须提前三个工作日书面报经甲方同意，否则不得更换。</w:t>
      </w:r>
    </w:p>
    <w:p w14:paraId="48CF8B66">
      <w:pPr>
        <w:pStyle w:val="14"/>
        <w:rPr>
          <w:rFonts w:hint="eastAsia" w:ascii="仿宋" w:hAnsi="仿宋" w:eastAsia="仿宋" w:cs="仿宋"/>
          <w:color w:val="auto"/>
          <w:sz w:val="28"/>
          <w:szCs w:val="28"/>
          <w:highlight w:val="none"/>
        </w:rPr>
      </w:pPr>
    </w:p>
    <w:p w14:paraId="5451A954">
      <w:pPr>
        <w:pStyle w:val="14"/>
        <w:rPr>
          <w:rFonts w:hint="eastAsia" w:ascii="仿宋" w:hAnsi="仿宋" w:eastAsia="仿宋" w:cs="仿宋"/>
          <w:color w:val="auto"/>
          <w:sz w:val="28"/>
          <w:szCs w:val="28"/>
          <w:highlight w:val="none"/>
        </w:rPr>
      </w:pPr>
    </w:p>
    <w:p w14:paraId="59B16D0D">
      <w:pPr>
        <w:pStyle w:val="14"/>
        <w:rPr>
          <w:rFonts w:hint="eastAsia" w:ascii="仿宋" w:hAnsi="仿宋" w:eastAsia="仿宋" w:cs="仿宋"/>
          <w:color w:val="auto"/>
          <w:sz w:val="28"/>
          <w:szCs w:val="28"/>
          <w:highlight w:val="none"/>
        </w:rPr>
      </w:pPr>
    </w:p>
    <w:p w14:paraId="054B5D72">
      <w:pPr>
        <w:keepNext w:val="0"/>
        <w:keepLines w:val="0"/>
        <w:pageBreakBefore w:val="0"/>
        <w:widowControl w:val="0"/>
        <w:kinsoku/>
        <w:wordWrap/>
        <w:overflowPunct/>
        <w:topLinePunct w:val="0"/>
        <w:autoSpaceDE/>
        <w:autoSpaceDN/>
        <w:bidi w:val="0"/>
        <w:adjustRightInd w:val="0"/>
        <w:snapToGrid w:val="0"/>
        <w:spacing w:line="5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甲方(盖章):东莞市中泰建安工程有限公司    乙方(盖章):  </w:t>
      </w:r>
    </w:p>
    <w:p w14:paraId="0BC0A5B1">
      <w:pPr>
        <w:keepNext w:val="0"/>
        <w:keepLines w:val="0"/>
        <w:pageBreakBefore w:val="0"/>
        <w:widowControl w:val="0"/>
        <w:kinsoku/>
        <w:wordWrap/>
        <w:overflowPunct/>
        <w:topLinePunct w:val="0"/>
        <w:autoSpaceDE/>
        <w:autoSpaceDN/>
        <w:bidi w:val="0"/>
        <w:adjustRightInd w:val="0"/>
        <w:snapToGrid w:val="0"/>
        <w:spacing w:before="0" w:beforeLines="150" w:after="0" w:afterLines="150" w:line="5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签约代表:                                签约代表:</w:t>
      </w:r>
    </w:p>
    <w:p w14:paraId="6D1CB2FD">
      <w:pPr>
        <w:keepNext w:val="0"/>
        <w:keepLines w:val="0"/>
        <w:pageBreakBefore w:val="0"/>
        <w:widowControl w:val="0"/>
        <w:kinsoku/>
        <w:wordWrap/>
        <w:overflowPunct/>
        <w:topLinePunct w:val="0"/>
        <w:autoSpaceDE/>
        <w:autoSpaceDN/>
        <w:bidi w:val="0"/>
        <w:adjustRightInd w:val="0"/>
        <w:snapToGrid w:val="0"/>
        <w:spacing w:line="5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 xml:space="preserve">：91441900732168546R     </w:t>
      </w: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w:t>
      </w:r>
    </w:p>
    <w:p w14:paraId="0F9DC114">
      <w:pPr>
        <w:keepNext w:val="0"/>
        <w:keepLines w:val="0"/>
        <w:pageBreakBefore w:val="0"/>
        <w:widowControl w:val="0"/>
        <w:kinsoku/>
        <w:wordWrap/>
        <w:overflowPunct/>
        <w:topLinePunct w:val="0"/>
        <w:autoSpaceDE/>
        <w:autoSpaceDN/>
        <w:bidi w:val="0"/>
        <w:adjustRightInd w:val="0"/>
        <w:snapToGrid w:val="0"/>
        <w:spacing w:line="5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账  号：548000013639239                  账  号：</w:t>
      </w:r>
    </w:p>
    <w:p w14:paraId="0590523C">
      <w:pPr>
        <w:keepNext w:val="0"/>
        <w:keepLines w:val="0"/>
        <w:pageBreakBefore w:val="0"/>
        <w:widowControl w:val="0"/>
        <w:kinsoku/>
        <w:wordWrap/>
        <w:overflowPunct/>
        <w:topLinePunct w:val="0"/>
        <w:autoSpaceDE/>
        <w:autoSpaceDN/>
        <w:bidi w:val="0"/>
        <w:adjustRightInd w:val="0"/>
        <w:snapToGrid w:val="0"/>
        <w:spacing w:line="5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开户行：东莞银行股份有限公司元美支行     开户行：               </w:t>
      </w:r>
    </w:p>
    <w:p w14:paraId="57D37A30">
      <w:pPr>
        <w:keepNext w:val="0"/>
        <w:keepLines w:val="0"/>
        <w:pageBreakBefore w:val="0"/>
        <w:widowControl w:val="0"/>
        <w:kinsoku/>
        <w:wordWrap/>
        <w:overflowPunct/>
        <w:topLinePunct w:val="0"/>
        <w:autoSpaceDE/>
        <w:autoSpaceDN/>
        <w:bidi w:val="0"/>
        <w:adjustRightInd w:val="0"/>
        <w:snapToGrid w:val="0"/>
        <w:spacing w:line="5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地 址：广东省东莞市南城街道鸿福路        地  址：</w:t>
      </w:r>
    </w:p>
    <w:p w14:paraId="5CD59E86">
      <w:pPr>
        <w:keepNext w:val="0"/>
        <w:keepLines w:val="0"/>
        <w:pageBreakBefore w:val="0"/>
        <w:widowControl w:val="0"/>
        <w:kinsoku/>
        <w:wordWrap/>
        <w:overflowPunct/>
        <w:topLinePunct w:val="0"/>
        <w:autoSpaceDE/>
        <w:autoSpaceDN/>
        <w:bidi w:val="0"/>
        <w:adjustRightInd w:val="0"/>
        <w:snapToGrid w:val="0"/>
        <w:spacing w:line="5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106号1栋1712室01                                  </w:t>
      </w:r>
    </w:p>
    <w:p w14:paraId="26D9DC6A">
      <w:pPr>
        <w:keepNext w:val="0"/>
        <w:keepLines w:val="0"/>
        <w:pageBreakBefore w:val="0"/>
        <w:widowControl w:val="0"/>
        <w:kinsoku/>
        <w:wordWrap/>
        <w:overflowPunct/>
        <w:topLinePunct w:val="0"/>
        <w:autoSpaceDE/>
        <w:autoSpaceDN/>
        <w:bidi w:val="0"/>
        <w:adjustRightInd w:val="0"/>
        <w:snapToGrid w:val="0"/>
        <w:spacing w:line="5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电  话：0769-22311322                    电  话:</w:t>
      </w:r>
    </w:p>
    <w:p w14:paraId="0F71EC26">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r>
        <w:rPr>
          <w:rFonts w:hint="eastAsia" w:ascii="仿宋" w:hAnsi="仿宋" w:eastAsia="仿宋" w:cs="仿宋"/>
          <w:i w:val="0"/>
          <w:iCs w:val="0"/>
          <w:color w:val="auto"/>
          <w:sz w:val="24"/>
          <w:szCs w:val="24"/>
          <w:highlight w:val="none"/>
          <w:u w:val="none"/>
          <w:shd w:val="clear" w:color="auto" w:fill="auto"/>
          <w:lang w:val="en-US" w:eastAsia="zh-CN"/>
        </w:rPr>
        <w:t>【</w:t>
      </w:r>
      <w:r>
        <w:rPr>
          <w:rFonts w:hint="eastAsia" w:ascii="仿宋" w:hAnsi="仿宋" w:eastAsia="仿宋" w:cs="仿宋"/>
          <w:b/>
          <w:bCs/>
          <w:i w:val="0"/>
          <w:iCs w:val="0"/>
          <w:color w:val="auto"/>
          <w:sz w:val="24"/>
          <w:szCs w:val="24"/>
          <w:highlight w:val="none"/>
          <w:u w:val="none"/>
          <w:shd w:val="clear" w:color="auto" w:fill="auto"/>
          <w:lang w:val="en-US" w:eastAsia="zh-CN"/>
        </w:rPr>
        <w:t>甲方人员如有营私舞弊、吃拿卡要等损害乙方合法权益的行为，乙方可拨打投诉专线 4000968086或发邮件至投诉邮箱:zhglzx@nanfeng.cn，也可至广东省东莞市南城街道鸿福路106号南峰中心12楼内控中心办公室面诉。</w:t>
      </w:r>
      <w:r>
        <w:rPr>
          <w:rFonts w:hint="eastAsia" w:ascii="仿宋" w:hAnsi="仿宋" w:eastAsia="仿宋" w:cs="仿宋"/>
          <w:i w:val="0"/>
          <w:iCs w:val="0"/>
          <w:color w:val="auto"/>
          <w:sz w:val="24"/>
          <w:szCs w:val="24"/>
          <w:highlight w:val="none"/>
          <w:u w:val="none"/>
          <w:shd w:val="clear" w:color="auto" w:fill="auto"/>
          <w:lang w:val="en-US" w:eastAsia="zh-CN"/>
        </w:rPr>
        <w:t>】</w:t>
      </w:r>
    </w:p>
    <w:p w14:paraId="5CEB4440">
      <w:pPr>
        <w:pStyle w:val="3"/>
        <w:keepNext w:val="0"/>
        <w:keepLines w:val="0"/>
        <w:pageBreakBefore w:val="0"/>
        <w:widowControl w:val="0"/>
        <w:kinsoku/>
        <w:wordWrap/>
        <w:overflowPunct/>
        <w:topLinePunct w:val="0"/>
        <w:autoSpaceDE/>
        <w:autoSpaceDN/>
        <w:bidi w:val="0"/>
        <w:adjustRightInd w:val="0"/>
        <w:snapToGrid w:val="0"/>
        <w:spacing w:line="520" w:lineRule="exact"/>
        <w:ind w:left="-418" w:leftChars="-199" w:right="-55" w:rightChars="-26" w:firstLine="636" w:firstLineChars="265"/>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0948BCC2">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520" w:lineRule="exact"/>
        <w:ind w:left="-199" w:leftChars="-95" w:right="0" w:rightChars="0" w:firstLine="562" w:firstLineChars="200"/>
        <w:jc w:val="center"/>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bookmarkStart w:id="84" w:name="_Toc24286"/>
      <w:bookmarkStart w:id="85" w:name="_Toc1733"/>
      <w:r>
        <w:rPr>
          <w:rFonts w:hint="eastAsia" w:ascii="仿宋" w:hAnsi="仿宋" w:eastAsia="仿宋" w:cs="仿宋"/>
          <w:b/>
          <w:bCs/>
          <w:i w:val="0"/>
          <w:iCs w:val="0"/>
          <w:color w:val="auto"/>
          <w:kern w:val="0"/>
          <w:sz w:val="28"/>
          <w:szCs w:val="28"/>
          <w:highlight w:val="none"/>
          <w:u w:val="none"/>
          <w:shd w:val="clear" w:color="auto" w:fill="auto"/>
          <w:lang w:val="en-US" w:eastAsia="zh-CN"/>
        </w:rPr>
        <w:t>合同通用条款</w:t>
      </w:r>
      <w:bookmarkEnd w:id="84"/>
      <w:bookmarkEnd w:id="85"/>
    </w:p>
    <w:p w14:paraId="10C4ACF0">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199" w:leftChars="-95"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86" w:name="_Toc4154"/>
      <w:bookmarkStart w:id="87" w:name="_Toc29752"/>
      <w:r>
        <w:rPr>
          <w:rFonts w:hint="eastAsia" w:ascii="仿宋" w:hAnsi="仿宋" w:eastAsia="仿宋" w:cs="仿宋"/>
          <w:b/>
          <w:bCs/>
          <w:i w:val="0"/>
          <w:iCs w:val="0"/>
          <w:color w:val="auto"/>
          <w:sz w:val="28"/>
          <w:szCs w:val="28"/>
          <w:highlight w:val="none"/>
          <w:shd w:val="clear" w:color="auto" w:fill="auto"/>
          <w:lang w:val="en-US" w:eastAsia="zh-CN"/>
        </w:rPr>
        <w:t>第一章、承包方式</w:t>
      </w:r>
      <w:bookmarkEnd w:id="86"/>
      <w:bookmarkEnd w:id="87"/>
    </w:p>
    <w:p w14:paraId="782BB46F">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1.1包第三方检测合格且承担所有费用、包本工程图纸在政府主管部门审查通过及所有费用、包所有机械设备（含进退场）、包安全文明施工，</w:t>
      </w:r>
      <w:r>
        <w:rPr>
          <w:rFonts w:hint="eastAsia" w:ascii="仿宋" w:hAnsi="仿宋" w:eastAsia="仿宋" w:cs="仿宋"/>
          <w:b w:val="0"/>
          <w:bCs w:val="0"/>
          <w:i w:val="0"/>
          <w:iCs w:val="0"/>
          <w:color w:val="auto"/>
          <w:sz w:val="28"/>
          <w:szCs w:val="28"/>
          <w:highlight w:val="none"/>
          <w:shd w:val="clear" w:color="auto" w:fill="auto"/>
          <w:lang w:val="en-US" w:eastAsia="zh-CN"/>
        </w:rPr>
        <w:t>包各类材料产品检验检测费用</w:t>
      </w:r>
      <w:r>
        <w:rPr>
          <w:rFonts w:hint="eastAsia" w:ascii="仿宋" w:hAnsi="仿宋" w:eastAsia="仿宋" w:cs="仿宋"/>
          <w:color w:val="auto"/>
          <w:sz w:val="28"/>
          <w:szCs w:val="28"/>
          <w:highlight w:val="none"/>
          <w:lang w:val="en-US" w:eastAsia="zh-CN"/>
        </w:rPr>
        <w:t>、</w:t>
      </w:r>
      <w:r>
        <w:rPr>
          <w:rFonts w:hint="eastAsia" w:ascii="仿宋" w:hAnsi="仿宋" w:eastAsia="仿宋" w:cs="仿宋"/>
          <w:strike w:val="0"/>
          <w:dstrike w:val="0"/>
          <w:color w:val="auto"/>
          <w:sz w:val="28"/>
          <w:szCs w:val="28"/>
          <w:highlight w:val="none"/>
          <w:u w:val="none"/>
          <w:lang w:val="en-US" w:eastAsia="zh-CN"/>
        </w:rPr>
        <w:t>包本工程检测合格、</w:t>
      </w:r>
      <w:r>
        <w:rPr>
          <w:rFonts w:hint="eastAsia" w:ascii="仿宋" w:hAnsi="仿宋" w:eastAsia="仿宋" w:cs="仿宋"/>
          <w:strike w:val="0"/>
          <w:color w:val="auto"/>
          <w:sz w:val="28"/>
          <w:szCs w:val="28"/>
          <w:highlight w:val="none"/>
          <w:u w:val="none"/>
          <w:lang w:val="en-US" w:eastAsia="zh-CN"/>
        </w:rPr>
        <w:t>包</w:t>
      </w:r>
      <w:r>
        <w:rPr>
          <w:rFonts w:hint="eastAsia" w:ascii="仿宋" w:hAnsi="仿宋" w:eastAsia="仿宋" w:cs="仿宋"/>
          <w:color w:val="auto"/>
          <w:sz w:val="28"/>
          <w:szCs w:val="28"/>
          <w:highlight w:val="none"/>
          <w:lang w:val="en-US" w:eastAsia="zh-CN"/>
        </w:rPr>
        <w:t>工期、包一切措施、包质量、包各种风险、包保险、包配合竣工资料编制（如有）、包资料（包各种形式的资料编写、收集、归档，并满足竣工验收要求及甲方与建设单位结算要求）、包成品保护、包场地清理、包各种情形所要求的赶工措施及产生的费用、包因乙方原因引起的所有返工的人工、材料及机械费、包安全、包验收合格、包保修、包乙方人员生活电、包管理、包利润、包税金、包物价上涨、包其他工种配合可能产生的降效及产生的费用及本工程施工过程中所涉及的一切风险因素及全部内容及费用。</w:t>
      </w:r>
    </w:p>
    <w:p w14:paraId="60E6A321">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199" w:leftChars="-95"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88" w:name="_Toc7619"/>
      <w:bookmarkStart w:id="89" w:name="_Toc21711"/>
      <w:r>
        <w:rPr>
          <w:rFonts w:hint="eastAsia" w:ascii="仿宋" w:hAnsi="仿宋" w:eastAsia="仿宋" w:cs="仿宋"/>
          <w:b/>
          <w:bCs/>
          <w:i w:val="0"/>
          <w:iCs w:val="0"/>
          <w:color w:val="auto"/>
          <w:sz w:val="28"/>
          <w:szCs w:val="28"/>
          <w:highlight w:val="none"/>
          <w:shd w:val="clear" w:color="auto" w:fill="auto"/>
          <w:lang w:val="en-US" w:eastAsia="zh-CN"/>
        </w:rPr>
        <w:t>第二章、承包范围及主要工程内容</w:t>
      </w:r>
      <w:bookmarkEnd w:id="88"/>
      <w:bookmarkEnd w:id="89"/>
    </w:p>
    <w:p w14:paraId="499B0BCF">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lang w:val="en-US" w:eastAsia="zh-CN"/>
        </w:rPr>
        <w:t>2.1甲方提供的，经甲方权限流程审批的本工程</w:t>
      </w:r>
      <w:r>
        <w:rPr>
          <w:rFonts w:hint="eastAsia" w:ascii="仿宋" w:hAnsi="仿宋" w:eastAsia="仿宋" w:cs="仿宋"/>
          <w:i w:val="0"/>
          <w:iCs w:val="0"/>
          <w:color w:val="auto"/>
          <w:sz w:val="28"/>
          <w:szCs w:val="28"/>
          <w:highlight w:val="none"/>
          <w:u w:val="none"/>
          <w:lang w:val="en-US" w:eastAsia="zh-CN"/>
        </w:rPr>
        <w:t>施工图及施工做法、</w:t>
      </w:r>
      <w:r>
        <w:rPr>
          <w:rFonts w:hint="eastAsia" w:ascii="仿宋" w:hAnsi="仿宋" w:eastAsia="仿宋" w:cs="仿宋"/>
          <w:color w:val="auto"/>
          <w:sz w:val="28"/>
          <w:szCs w:val="28"/>
          <w:highlight w:val="none"/>
          <w:lang w:val="en-US" w:eastAsia="zh-CN"/>
        </w:rPr>
        <w:t>报价</w:t>
      </w:r>
      <w:r>
        <w:rPr>
          <w:rFonts w:hint="eastAsia" w:ascii="仿宋" w:hAnsi="仿宋" w:eastAsia="仿宋" w:cs="仿宋"/>
          <w:color w:val="auto"/>
          <w:sz w:val="28"/>
          <w:szCs w:val="28"/>
          <w:highlight w:val="none"/>
        </w:rPr>
        <w:t>清单</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详见附件</w:t>
      </w:r>
      <w:r>
        <w:rPr>
          <w:rFonts w:hint="eastAsia" w:ascii="仿宋" w:hAnsi="仿宋" w:eastAsia="仿宋" w:cs="仿宋"/>
          <w:color w:val="auto"/>
          <w:sz w:val="28"/>
          <w:szCs w:val="28"/>
          <w:highlight w:val="none"/>
          <w:lang w:eastAsia="zh-CN"/>
        </w:rPr>
        <w:t>）、交楼标准、图纸会审、</w:t>
      </w:r>
      <w:r>
        <w:rPr>
          <w:rFonts w:hint="eastAsia" w:ascii="仿宋" w:hAnsi="仿宋" w:eastAsia="仿宋" w:cs="仿宋"/>
          <w:i w:val="0"/>
          <w:iCs w:val="0"/>
          <w:color w:val="auto"/>
          <w:sz w:val="28"/>
          <w:szCs w:val="28"/>
          <w:highlight w:val="none"/>
          <w:lang w:val="en-US" w:eastAsia="zh-CN"/>
        </w:rPr>
        <w:t>经甲方权限流程审批的</w:t>
      </w:r>
      <w:r>
        <w:rPr>
          <w:rFonts w:hint="eastAsia" w:ascii="仿宋" w:hAnsi="仿宋" w:eastAsia="仿宋" w:cs="仿宋"/>
          <w:b/>
          <w:bCs/>
          <w:color w:val="auto"/>
          <w:sz w:val="28"/>
          <w:szCs w:val="28"/>
          <w:highlight w:val="none"/>
          <w:lang w:val="en-US" w:eastAsia="zh-CN"/>
        </w:rPr>
        <w:t>施工方案或施工组织设计等</w:t>
      </w:r>
      <w:r>
        <w:rPr>
          <w:rFonts w:hint="eastAsia" w:ascii="仿宋" w:hAnsi="仿宋" w:eastAsia="仿宋" w:cs="仿宋"/>
          <w:color w:val="auto"/>
          <w:sz w:val="28"/>
          <w:szCs w:val="28"/>
          <w:highlight w:val="none"/>
          <w:lang w:eastAsia="zh-CN"/>
        </w:rPr>
        <w:t>文件</w:t>
      </w:r>
      <w:r>
        <w:rPr>
          <w:rFonts w:hint="eastAsia" w:ascii="仿宋" w:hAnsi="仿宋" w:eastAsia="仿宋" w:cs="仿宋"/>
          <w:i w:val="0"/>
          <w:iCs w:val="0"/>
          <w:color w:val="auto"/>
          <w:sz w:val="28"/>
          <w:szCs w:val="28"/>
          <w:highlight w:val="none"/>
          <w:lang w:val="en-US" w:eastAsia="zh-CN"/>
        </w:rPr>
        <w:t>所含内容由乙方施工，除</w:t>
      </w:r>
      <w:r>
        <w:rPr>
          <w:rFonts w:hint="eastAsia" w:ascii="仿宋" w:hAnsi="仿宋" w:eastAsia="仿宋" w:cs="仿宋"/>
          <w:b w:val="0"/>
          <w:bCs w:val="0"/>
          <w:i w:val="0"/>
          <w:iCs w:val="0"/>
          <w:color w:val="auto"/>
          <w:sz w:val="28"/>
          <w:szCs w:val="28"/>
          <w:highlight w:val="none"/>
          <w:shd w:val="clear" w:color="auto" w:fill="auto"/>
        </w:rPr>
        <w:t>本合同另有约定的除外。甲方有权调整乙方的承包范围及内容，乙方不得以任何理由拒绝，否则甲方有权单方解除合同。</w:t>
      </w:r>
    </w:p>
    <w:p w14:paraId="4EB8F331">
      <w:pPr>
        <w:keepNext w:val="0"/>
        <w:keepLines w:val="0"/>
        <w:pageBreakBefore w:val="0"/>
        <w:widowControl w:val="0"/>
        <w:tabs>
          <w:tab w:val="left" w:pos="6780"/>
        </w:tabs>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lang w:val="en-US" w:eastAsia="zh-CN"/>
        </w:rPr>
        <w:t>2.2</w:t>
      </w:r>
      <w:r>
        <w:rPr>
          <w:rFonts w:hint="eastAsia" w:ascii="仿宋" w:hAnsi="仿宋" w:eastAsia="仿宋" w:cs="仿宋"/>
          <w:b w:val="0"/>
          <w:bCs w:val="0"/>
          <w:i w:val="0"/>
          <w:iCs w:val="0"/>
          <w:color w:val="auto"/>
          <w:sz w:val="28"/>
          <w:szCs w:val="28"/>
          <w:highlight w:val="none"/>
          <w:shd w:val="clear" w:color="auto" w:fill="auto"/>
          <w:lang w:val="en-US" w:eastAsia="zh-CN"/>
        </w:rPr>
        <w:t>乙方施工前，须在甲方施工员组织下对甲方（或其他单位）交付的施工界面进行检查，并签订好《工完场清交接单》（格式详见附件）后方可进场施工；如乙方未签订《工完场清交接单》即施工的，视乙方认为适于施工并作为乙方施工前提，因该界面导致乙方施工内容不符合合同要求的，乙方自费返工至符合合同要求且不向甲方（或其他施工单位）索赔。</w:t>
      </w:r>
    </w:p>
    <w:p w14:paraId="2FE39D66">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lang w:val="en-US" w:eastAsia="zh-CN"/>
        </w:rPr>
        <w:t>2.3</w:t>
      </w:r>
      <w:r>
        <w:rPr>
          <w:rFonts w:hint="eastAsia" w:ascii="仿宋" w:hAnsi="仿宋" w:eastAsia="仿宋" w:cs="仿宋"/>
          <w:b w:val="0"/>
          <w:bCs w:val="0"/>
          <w:i w:val="0"/>
          <w:iCs w:val="0"/>
          <w:color w:val="auto"/>
          <w:sz w:val="28"/>
          <w:szCs w:val="28"/>
          <w:highlight w:val="none"/>
          <w:shd w:val="clear" w:color="auto" w:fill="auto"/>
        </w:rPr>
        <w:t>乙方负责购买其在本项目工作的所有人员的社会保险、工伤保险、人身意外伤害保险，对本工程质量按合同约定承担保修责任，对本工程的施工质量、安全生产、文明施工、工期进度和甲供材限额使用等相关事项承担全部责任，相关费用等已包含在本合同</w:t>
      </w:r>
      <w:r>
        <w:rPr>
          <w:rFonts w:hint="eastAsia" w:ascii="仿宋" w:hAnsi="仿宋" w:eastAsia="仿宋" w:cs="仿宋"/>
          <w:b w:val="0"/>
          <w:bCs w:val="0"/>
          <w:i w:val="0"/>
          <w:iCs w:val="0"/>
          <w:color w:val="auto"/>
          <w:sz w:val="28"/>
          <w:szCs w:val="28"/>
          <w:highlight w:val="none"/>
          <w:shd w:val="clear" w:color="auto" w:fill="auto"/>
          <w:lang w:val="en-US" w:eastAsia="zh-CN"/>
        </w:rPr>
        <w:t>第一部分合同专用条款</w:t>
      </w:r>
      <w:r>
        <w:rPr>
          <w:rFonts w:hint="eastAsia" w:ascii="仿宋" w:hAnsi="仿宋" w:eastAsia="仿宋" w:cs="仿宋"/>
          <w:b w:val="0"/>
          <w:bCs w:val="0"/>
          <w:i w:val="0"/>
          <w:iCs w:val="0"/>
          <w:color w:val="auto"/>
          <w:sz w:val="28"/>
          <w:szCs w:val="28"/>
          <w:highlight w:val="none"/>
          <w:shd w:val="clear" w:color="auto" w:fill="auto"/>
        </w:rPr>
        <w:t>第六章约定的合同价格中，甲方无需另行支付费用给乙方。</w:t>
      </w:r>
    </w:p>
    <w:p w14:paraId="235B96B4">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2.4</w:t>
      </w:r>
      <w:r>
        <w:rPr>
          <w:rFonts w:hint="eastAsia" w:ascii="仿宋" w:hAnsi="仿宋" w:eastAsia="仿宋" w:cs="仿宋"/>
          <w:i w:val="0"/>
          <w:iCs w:val="0"/>
          <w:color w:val="auto"/>
          <w:sz w:val="28"/>
          <w:szCs w:val="28"/>
          <w:highlight w:val="none"/>
          <w:u w:val="none"/>
          <w:shd w:val="clear" w:color="auto" w:fill="auto"/>
          <w:lang w:eastAsia="zh-CN"/>
        </w:rPr>
        <w:t>本项目</w:t>
      </w:r>
      <w:r>
        <w:rPr>
          <w:rFonts w:hint="eastAsia" w:ascii="仿宋" w:hAnsi="仿宋" w:eastAsia="仿宋" w:cs="仿宋"/>
          <w:i w:val="0"/>
          <w:iCs w:val="0"/>
          <w:color w:val="auto"/>
          <w:sz w:val="28"/>
          <w:szCs w:val="28"/>
          <w:highlight w:val="none"/>
          <w:u w:val="none"/>
          <w:shd w:val="clear" w:color="auto" w:fill="auto"/>
        </w:rPr>
        <w:t>设计变更引起的增加工程，</w:t>
      </w:r>
      <w:r>
        <w:rPr>
          <w:rFonts w:hint="eastAsia" w:ascii="仿宋" w:hAnsi="仿宋" w:eastAsia="仿宋" w:cs="仿宋"/>
          <w:i w:val="0"/>
          <w:iCs w:val="0"/>
          <w:color w:val="auto"/>
          <w:sz w:val="28"/>
          <w:szCs w:val="28"/>
          <w:highlight w:val="none"/>
          <w:u w:val="none"/>
          <w:shd w:val="clear" w:color="auto" w:fill="auto"/>
          <w:lang w:val="en-US" w:eastAsia="zh-CN"/>
        </w:rPr>
        <w:t>无论工程量大小及施工难度系数高低，如甲方要求</w:t>
      </w:r>
      <w:r>
        <w:rPr>
          <w:rFonts w:hint="eastAsia" w:ascii="仿宋" w:hAnsi="仿宋" w:eastAsia="仿宋" w:cs="仿宋"/>
          <w:i w:val="0"/>
          <w:iCs w:val="0"/>
          <w:color w:val="auto"/>
          <w:sz w:val="28"/>
          <w:szCs w:val="28"/>
          <w:highlight w:val="none"/>
          <w:u w:val="none"/>
          <w:shd w:val="clear" w:color="auto" w:fill="auto"/>
        </w:rPr>
        <w:t>乙方</w:t>
      </w:r>
      <w:r>
        <w:rPr>
          <w:rFonts w:hint="eastAsia" w:ascii="仿宋" w:hAnsi="仿宋" w:eastAsia="仿宋" w:cs="仿宋"/>
          <w:i w:val="0"/>
          <w:iCs w:val="0"/>
          <w:color w:val="auto"/>
          <w:sz w:val="28"/>
          <w:szCs w:val="28"/>
          <w:highlight w:val="none"/>
          <w:u w:val="none"/>
          <w:shd w:val="clear" w:color="auto" w:fill="auto"/>
          <w:lang w:val="en-US" w:eastAsia="zh-CN"/>
        </w:rPr>
        <w:t>施工，乙方须按甲方要求施工</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相关费用</w:t>
      </w:r>
      <w:r>
        <w:rPr>
          <w:rFonts w:hint="eastAsia" w:ascii="仿宋" w:hAnsi="仿宋" w:eastAsia="仿宋" w:cs="仿宋"/>
          <w:i w:val="0"/>
          <w:iCs w:val="0"/>
          <w:color w:val="auto"/>
          <w:sz w:val="28"/>
          <w:szCs w:val="28"/>
          <w:highlight w:val="none"/>
          <w:u w:val="none"/>
          <w:shd w:val="clear" w:color="auto" w:fill="auto"/>
        </w:rPr>
        <w:t>按本合同</w:t>
      </w:r>
      <w:r>
        <w:rPr>
          <w:rFonts w:hint="eastAsia" w:ascii="仿宋" w:hAnsi="仿宋" w:eastAsia="仿宋" w:cs="仿宋"/>
          <w:i w:val="0"/>
          <w:iCs w:val="0"/>
          <w:color w:val="auto"/>
          <w:sz w:val="28"/>
          <w:szCs w:val="28"/>
          <w:highlight w:val="none"/>
          <w:u w:val="none"/>
          <w:shd w:val="clear" w:color="auto" w:fill="auto"/>
          <w:lang w:val="en-US" w:eastAsia="zh-CN"/>
        </w:rPr>
        <w:t>约定办理</w:t>
      </w:r>
      <w:r>
        <w:rPr>
          <w:rFonts w:hint="eastAsia" w:ascii="仿宋" w:hAnsi="仿宋" w:eastAsia="仿宋" w:cs="仿宋"/>
          <w:b w:val="0"/>
          <w:bCs w:val="0"/>
          <w:i w:val="0"/>
          <w:iCs w:val="0"/>
          <w:color w:val="auto"/>
          <w:sz w:val="28"/>
          <w:szCs w:val="28"/>
          <w:highlight w:val="none"/>
          <w:u w:val="none"/>
          <w:shd w:val="clear" w:color="auto" w:fill="auto"/>
        </w:rPr>
        <w:t>。</w:t>
      </w:r>
    </w:p>
    <w:p w14:paraId="0AB4CFEF">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rPr>
        <w:t>鉴于本合同所列单价未必完善，如本工程施工过程中发生新的工程变更内容（例：工程设计变更或增加承包内容等导致的新工程等）且无适用的合同单价，乙方须按甲方要求先行施工（否则每延迟一天乙方向甲方承担违约金人民币两千元），并在甲方通知施工之日起三个工作日内书面向甲方申报工程单价（申报格式以甲方确定的为准），逾期不申报视为乙方同意甲方单方确定的结算价格</w:t>
      </w:r>
      <w:r>
        <w:rPr>
          <w:rFonts w:hint="eastAsia" w:ascii="仿宋" w:hAnsi="仿宋" w:eastAsia="仿宋" w:cs="仿宋"/>
          <w:b w:val="0"/>
          <w:bCs w:val="0"/>
          <w:i w:val="0"/>
          <w:iCs w:val="0"/>
          <w:color w:val="auto"/>
          <w:sz w:val="28"/>
          <w:szCs w:val="28"/>
          <w:highlight w:val="none"/>
          <w:u w:val="none"/>
          <w:shd w:val="clear" w:color="auto" w:fill="auto"/>
          <w:lang w:eastAsia="zh-CN"/>
        </w:rPr>
        <w:t>。</w:t>
      </w:r>
    </w:p>
    <w:p w14:paraId="6E0E37DB">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2.5</w:t>
      </w:r>
      <w:r>
        <w:rPr>
          <w:rFonts w:hint="eastAsia" w:ascii="仿宋" w:hAnsi="仿宋" w:eastAsia="仿宋" w:cs="仿宋"/>
          <w:i w:val="0"/>
          <w:iCs w:val="0"/>
          <w:color w:val="auto"/>
          <w:sz w:val="28"/>
          <w:szCs w:val="28"/>
          <w:highlight w:val="none"/>
          <w:u w:val="none"/>
          <w:shd w:val="clear" w:color="auto" w:fill="auto"/>
        </w:rPr>
        <w:t>乙方负责</w:t>
      </w:r>
      <w:r>
        <w:rPr>
          <w:rFonts w:hint="eastAsia" w:ascii="仿宋" w:hAnsi="仿宋" w:eastAsia="仿宋" w:cs="仿宋"/>
          <w:i w:val="0"/>
          <w:iCs w:val="0"/>
          <w:color w:val="auto"/>
          <w:sz w:val="28"/>
          <w:szCs w:val="28"/>
          <w:highlight w:val="none"/>
          <w:u w:val="none"/>
          <w:shd w:val="clear" w:color="auto" w:fill="auto"/>
          <w:lang w:eastAsia="zh-CN"/>
        </w:rPr>
        <w:t>本工程</w:t>
      </w:r>
      <w:r>
        <w:rPr>
          <w:rFonts w:hint="eastAsia" w:ascii="仿宋" w:hAnsi="仿宋" w:eastAsia="仿宋" w:cs="仿宋"/>
          <w:i w:val="0"/>
          <w:iCs w:val="0"/>
          <w:color w:val="auto"/>
          <w:sz w:val="28"/>
          <w:szCs w:val="28"/>
          <w:highlight w:val="none"/>
          <w:u w:val="none"/>
          <w:shd w:val="clear" w:color="auto" w:fill="auto"/>
        </w:rPr>
        <w:t>施工现场内所需材料、机具的</w:t>
      </w:r>
      <w:r>
        <w:rPr>
          <w:rFonts w:hint="eastAsia" w:ascii="仿宋" w:hAnsi="仿宋" w:eastAsia="仿宋" w:cs="仿宋"/>
          <w:b w:val="0"/>
          <w:bCs w:val="0"/>
          <w:i w:val="0"/>
          <w:iCs w:val="0"/>
          <w:color w:val="auto"/>
          <w:sz w:val="28"/>
          <w:szCs w:val="28"/>
          <w:highlight w:val="none"/>
          <w:u w:val="none"/>
          <w:shd w:val="clear" w:color="auto" w:fill="auto"/>
        </w:rPr>
        <w:t>运输</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14:paraId="21309E74">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2.6</w:t>
      </w:r>
      <w:r>
        <w:rPr>
          <w:rFonts w:hint="eastAsia" w:ascii="仿宋" w:hAnsi="仿宋" w:eastAsia="仿宋" w:cs="仿宋"/>
          <w:i w:val="0"/>
          <w:iCs w:val="0"/>
          <w:color w:val="auto"/>
          <w:sz w:val="28"/>
          <w:szCs w:val="28"/>
          <w:highlight w:val="none"/>
          <w:u w:val="none"/>
          <w:shd w:val="clear" w:color="auto" w:fill="auto"/>
        </w:rPr>
        <w:t>乙方负责</w:t>
      </w:r>
      <w:r>
        <w:rPr>
          <w:rFonts w:hint="eastAsia" w:ascii="仿宋" w:hAnsi="仿宋" w:eastAsia="仿宋" w:cs="仿宋"/>
          <w:i w:val="0"/>
          <w:iCs w:val="0"/>
          <w:color w:val="auto"/>
          <w:sz w:val="28"/>
          <w:szCs w:val="28"/>
          <w:highlight w:val="none"/>
          <w:u w:val="none"/>
          <w:shd w:val="clear" w:color="auto" w:fill="auto"/>
          <w:lang w:val="en-US" w:eastAsia="zh-CN"/>
        </w:rPr>
        <w:t>本工程</w:t>
      </w:r>
      <w:r>
        <w:rPr>
          <w:rFonts w:hint="eastAsia" w:ascii="仿宋" w:hAnsi="仿宋" w:eastAsia="仿宋" w:cs="仿宋"/>
          <w:i w:val="0"/>
          <w:iCs w:val="0"/>
          <w:color w:val="auto"/>
          <w:sz w:val="28"/>
          <w:szCs w:val="28"/>
          <w:highlight w:val="none"/>
          <w:u w:val="none"/>
          <w:shd w:val="clear" w:color="auto" w:fill="auto"/>
        </w:rPr>
        <w:t>材料、机具堆放场的文明施工工作。</w:t>
      </w:r>
      <w:bookmarkStart w:id="90" w:name="_Toc10183"/>
      <w:bookmarkStart w:id="91" w:name="_Toc28064"/>
    </w:p>
    <w:p w14:paraId="66491B29">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2.7</w:t>
      </w:r>
      <w:r>
        <w:rPr>
          <w:rFonts w:hint="eastAsia" w:ascii="仿宋" w:hAnsi="仿宋" w:eastAsia="仿宋" w:cs="仿宋"/>
          <w:color w:val="auto"/>
          <w:sz w:val="28"/>
          <w:szCs w:val="28"/>
          <w:highlight w:val="none"/>
          <w:lang w:val="en-US" w:eastAsia="zh-CN"/>
        </w:rPr>
        <w:t>因乙方原因导致甲方被政府部门等单位处罚，导致本项目或本工程停工的，全部责任和各方损失均由乙方承担。</w:t>
      </w:r>
    </w:p>
    <w:p w14:paraId="0C98A09F">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color w:val="auto"/>
          <w:sz w:val="28"/>
          <w:szCs w:val="28"/>
          <w:highlight w:val="none"/>
          <w:lang w:val="en-US" w:eastAsia="zh-CN"/>
        </w:rPr>
        <w:t>2.8</w:t>
      </w:r>
      <w:r>
        <w:rPr>
          <w:rFonts w:hint="eastAsia" w:ascii="仿宋" w:hAnsi="仿宋" w:eastAsia="仿宋" w:cs="仿宋"/>
          <w:i w:val="0"/>
          <w:iCs w:val="0"/>
          <w:color w:val="auto"/>
          <w:sz w:val="28"/>
          <w:szCs w:val="28"/>
          <w:highlight w:val="none"/>
          <w:shd w:val="clear" w:color="auto" w:fill="auto"/>
        </w:rPr>
        <w:t>乙方</w:t>
      </w:r>
      <w:r>
        <w:rPr>
          <w:rFonts w:hint="eastAsia" w:ascii="仿宋" w:hAnsi="仿宋" w:eastAsia="仿宋" w:cs="仿宋"/>
          <w:i w:val="0"/>
          <w:iCs w:val="0"/>
          <w:color w:val="auto"/>
          <w:sz w:val="28"/>
          <w:szCs w:val="28"/>
          <w:highlight w:val="none"/>
          <w:shd w:val="clear" w:color="auto" w:fill="auto"/>
          <w:lang w:val="en-US" w:eastAsia="zh-CN"/>
        </w:rPr>
        <w:t>自行解决乙方人员在本项目的食</w:t>
      </w:r>
      <w:r>
        <w:rPr>
          <w:rFonts w:hint="eastAsia" w:ascii="仿宋" w:hAnsi="仿宋" w:eastAsia="仿宋" w:cs="仿宋"/>
          <w:i w:val="0"/>
          <w:iCs w:val="0"/>
          <w:color w:val="auto"/>
          <w:sz w:val="28"/>
          <w:szCs w:val="28"/>
          <w:highlight w:val="none"/>
          <w:shd w:val="clear" w:color="auto" w:fill="auto"/>
        </w:rPr>
        <w:t>宿</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相关费用已包含在各项合同单价中，不另行单列计费</w:t>
      </w:r>
      <w:r>
        <w:rPr>
          <w:rFonts w:hint="eastAsia" w:ascii="仿宋" w:hAnsi="仿宋" w:eastAsia="仿宋" w:cs="仿宋"/>
          <w:i w:val="0"/>
          <w:iCs w:val="0"/>
          <w:color w:val="auto"/>
          <w:sz w:val="28"/>
          <w:szCs w:val="28"/>
          <w:highlight w:val="none"/>
          <w:shd w:val="clear" w:color="auto" w:fill="auto"/>
        </w:rPr>
        <w:t>。</w:t>
      </w:r>
    </w:p>
    <w:p w14:paraId="4D6564B1">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2.9乙方负责协调、处理本工程涉及的各类关系（包括但不限于政府部门、周边居民等关系），确保进退场及施工过程中合法、合规、不扰民，相关费用已包含在各项合同单价内，不另行计取。</w:t>
      </w:r>
    </w:p>
    <w:p w14:paraId="471E04EE">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199" w:leftChars="-95"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第三章、工期</w:t>
      </w:r>
      <w:bookmarkEnd w:id="90"/>
      <w:bookmarkEnd w:id="91"/>
    </w:p>
    <w:p w14:paraId="59503EA4">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3.1本合同工期为计划工期，实际应开工、竣工时间以甲方书面通知为准，</w:t>
      </w:r>
      <w:r>
        <w:rPr>
          <w:rFonts w:hint="eastAsia" w:ascii="仿宋" w:hAnsi="仿宋" w:eastAsia="仿宋" w:cs="仿宋"/>
          <w:i w:val="0"/>
          <w:iCs w:val="0"/>
          <w:caps w:val="0"/>
          <w:color w:val="auto"/>
          <w:spacing w:val="0"/>
          <w:sz w:val="28"/>
          <w:szCs w:val="28"/>
          <w:highlight w:val="none"/>
          <w:u w:val="none"/>
          <w:shd w:val="clear" w:fill="FFFFFF" w:themeFill="background1"/>
        </w:rPr>
        <w:t>乙方收到甲方书面发出的《分包</w:t>
      </w:r>
      <w:r>
        <w:rPr>
          <w:rFonts w:hint="eastAsia" w:ascii="仿宋" w:hAnsi="仿宋" w:eastAsia="仿宋" w:cs="仿宋"/>
          <w:i w:val="0"/>
          <w:iCs w:val="0"/>
          <w:caps w:val="0"/>
          <w:color w:val="auto"/>
          <w:spacing w:val="0"/>
          <w:sz w:val="28"/>
          <w:szCs w:val="28"/>
          <w:highlight w:val="none"/>
          <w:u w:val="none"/>
          <w:shd w:val="clear" w:fill="FFFFFF" w:themeFill="background1"/>
          <w:lang w:val="en-US" w:eastAsia="zh-CN"/>
        </w:rPr>
        <w:t>单位</w:t>
      </w:r>
      <w:r>
        <w:rPr>
          <w:rFonts w:hint="eastAsia" w:ascii="仿宋" w:hAnsi="仿宋" w:eastAsia="仿宋" w:cs="仿宋"/>
          <w:i w:val="0"/>
          <w:iCs w:val="0"/>
          <w:caps w:val="0"/>
          <w:color w:val="auto"/>
          <w:spacing w:val="0"/>
          <w:sz w:val="28"/>
          <w:szCs w:val="28"/>
          <w:highlight w:val="none"/>
          <w:u w:val="none"/>
          <w:shd w:val="clear" w:fill="FFFFFF" w:themeFill="background1"/>
        </w:rPr>
        <w:t>开工令》后方可进场，开工时间以开工令要求</w:t>
      </w:r>
      <w:r>
        <w:rPr>
          <w:rFonts w:hint="eastAsia" w:ascii="仿宋" w:hAnsi="仿宋" w:eastAsia="仿宋" w:cs="仿宋"/>
          <w:i w:val="0"/>
          <w:iCs w:val="0"/>
          <w:caps w:val="0"/>
          <w:color w:val="auto"/>
          <w:spacing w:val="0"/>
          <w:sz w:val="28"/>
          <w:szCs w:val="28"/>
          <w:highlight w:val="none"/>
          <w:u w:val="none"/>
          <w:shd w:val="clear" w:fill="FFFFFF" w:themeFill="background1"/>
          <w:lang w:val="en-US" w:eastAsia="zh-CN"/>
        </w:rPr>
        <w:t>的</w:t>
      </w:r>
      <w:r>
        <w:rPr>
          <w:rFonts w:hint="eastAsia" w:ascii="仿宋" w:hAnsi="仿宋" w:eastAsia="仿宋" w:cs="仿宋"/>
          <w:i w:val="0"/>
          <w:iCs w:val="0"/>
          <w:caps w:val="0"/>
          <w:color w:val="auto"/>
          <w:spacing w:val="0"/>
          <w:sz w:val="28"/>
          <w:szCs w:val="28"/>
          <w:highlight w:val="none"/>
          <w:u w:val="none"/>
          <w:shd w:val="clear" w:fill="FFFFFF" w:themeFill="background1"/>
        </w:rPr>
        <w:t>时间为准</w:t>
      </w:r>
      <w:r>
        <w:rPr>
          <w:rFonts w:hint="eastAsia" w:ascii="仿宋" w:hAnsi="仿宋" w:eastAsia="仿宋" w:cs="仿宋"/>
          <w:i w:val="0"/>
          <w:iCs w:val="0"/>
          <w:caps w:val="0"/>
          <w:color w:val="auto"/>
          <w:spacing w:val="0"/>
          <w:sz w:val="28"/>
          <w:szCs w:val="28"/>
          <w:highlight w:val="none"/>
          <w:u w:val="none"/>
          <w:shd w:val="clear" w:fill="FFFFFF" w:themeFill="background1"/>
          <w:lang w:eastAsia="zh-CN"/>
        </w:rPr>
        <w:t>。</w:t>
      </w:r>
      <w:r>
        <w:rPr>
          <w:rFonts w:hint="eastAsia" w:ascii="仿宋" w:hAnsi="仿宋" w:eastAsia="仿宋" w:cs="仿宋"/>
          <w:i w:val="0"/>
          <w:iCs w:val="0"/>
          <w:color w:val="auto"/>
          <w:sz w:val="28"/>
          <w:szCs w:val="28"/>
          <w:highlight w:val="none"/>
          <w:u w:val="none"/>
          <w:shd w:val="clear" w:color="auto" w:fill="auto"/>
          <w:lang w:val="en-US" w:eastAsia="zh-CN"/>
        </w:rPr>
        <w:t>甲方书面通知形式包括不限于微信、短信、传真、电子邮件、纸质文件等，乙方无条件按甲方要求调整开工、竣工时间。如甲方变更工期，乙方自行调整其人员、施工机械、材料物资、资金的安排，随时配合甲方开工、竣工并按本合同约定执行。因甲方变更工期导致乙方损失的补偿费用已经包含在</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合同单价/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内，甲方不另补偿或增加任何费用给乙方。因甲方原因导致乙方延迟进场的，经甲方书面确认后工期相应顺延，但甲方不额外支付窝工费、停工费等费用给乙方，乙方不因此追究甲方任何责任及赔偿损失。</w:t>
      </w:r>
    </w:p>
    <w:p w14:paraId="2133AFBD">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3.2</w:t>
      </w:r>
      <w:r>
        <w:rPr>
          <w:rFonts w:hint="eastAsia" w:ascii="仿宋" w:hAnsi="仿宋" w:eastAsia="仿宋" w:cs="仿宋"/>
          <w:i w:val="0"/>
          <w:iCs w:val="0"/>
          <w:color w:val="auto"/>
          <w:sz w:val="28"/>
          <w:szCs w:val="28"/>
          <w:highlight w:val="none"/>
          <w:shd w:val="clear" w:color="auto" w:fill="auto"/>
          <w:lang w:val="en-US" w:eastAsia="zh-CN"/>
        </w:rPr>
        <w:t>乙方提交的开工资料须满足甲方要求。乙方在收到甲方项目经理签发并加盖甲方项目章的开工令后，按开工令要求进场。</w:t>
      </w:r>
    </w:p>
    <w:p w14:paraId="6D8DB376">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3.3乙方的施工物资须持有上述甲方签发的有效书面开工令后方可进场，否则视乙方物资未经甲方允许而占用本项目场地，乙方须立即按甲方要求将物资退场。用于本项目的进场物资由乙方自行保管。如乙方的行为给甲方造成损失，乙方自愿承担相应的全部损失及费用，包括但不限于人工清理费用、修复费用、场地租赁费用、延误赔偿金等。</w:t>
      </w:r>
    </w:p>
    <w:p w14:paraId="3EB97875">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3.4乙方须严格遵照甲方制订的施工进度计划施工及完成相关工作，接受甲方项目部施工任务安排，否则甲方可按合同对乙方收取违约金。</w:t>
      </w:r>
    </w:p>
    <w:p w14:paraId="4A73548E">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3.5乙方已充分考虑天气因素、除不可抗力（如：地震、海啸、瘟疫、骚乱、戒严、暴动、战争等法定情形）外其他原因可能对工期的影响，乙方同意不因任何原因要求延长工期。</w:t>
      </w:r>
    </w:p>
    <w:p w14:paraId="65E11903">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3.6本工程施工过程出现赶工、交叉作业、停工（包括建设单位原因造成的停工）及工人工资、材料费、机具费上涨等导致乙方成本、费用发生增加，乙方不因此要求甲方对合同价格进行调整和另行增补费用。</w:t>
      </w:r>
    </w:p>
    <w:p w14:paraId="485E5DFB">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3.7春节、元旦、五一、十一、周末等法定节假日及技术要求或进度计划要求进行赶工、加班等费用已包含在本合同约定的☑合同单价/□合同总价内，甲方无需另行付费给乙方。</w:t>
      </w:r>
    </w:p>
    <w:p w14:paraId="1AF6A486">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3.8乙方在本合同签订前已勘察本项目现场，对本工程特性全部清楚，因甲方原因导致施工计划调整的，乙方免费积极配合。</w:t>
      </w:r>
    </w:p>
    <w:p w14:paraId="3FC11F87">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3.9乙方认为甲方或其他单位未配合提供所需工作面、机具及材料而影响施工进度时，须书面告知甲方并按甲方要求办理相关事宜，否则视为不影响乙方施工，乙方不得因此要求延长工期。</w:t>
      </w:r>
    </w:p>
    <w:p w14:paraId="5D5C227C">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3.10乙方须严格遵照甲方制订的施工进度计划开展具体施工工作，每</w:t>
      </w:r>
      <w:r>
        <w:rPr>
          <w:rFonts w:hint="eastAsia" w:ascii="仿宋" w:hAnsi="仿宋" w:eastAsia="仿宋" w:cs="仿宋"/>
          <w:b w:val="0"/>
          <w:bCs w:val="0"/>
          <w:i w:val="0"/>
          <w:iCs w:val="0"/>
          <w:color w:val="auto"/>
          <w:sz w:val="28"/>
          <w:szCs w:val="28"/>
          <w:highlight w:val="none"/>
          <w:u w:val="none"/>
          <w:lang w:val="en-US" w:eastAsia="zh-CN"/>
        </w:rPr>
        <w:t>周</w:t>
      </w:r>
      <w:r>
        <w:rPr>
          <w:rFonts w:hint="eastAsia" w:ascii="仿宋" w:hAnsi="仿宋" w:eastAsia="仿宋" w:cs="仿宋"/>
          <w:i w:val="0"/>
          <w:iCs w:val="0"/>
          <w:color w:val="auto"/>
          <w:sz w:val="28"/>
          <w:szCs w:val="28"/>
          <w:highlight w:val="none"/>
          <w:u w:val="none"/>
          <w:shd w:val="clear" w:color="auto" w:fill="auto"/>
          <w:lang w:val="en-US" w:eastAsia="zh-CN"/>
        </w:rPr>
        <w:t>必须到甲方项目部在《施工任务表》上签认施工任务并保证完成，否则向甲方承担违约金人民币五千元/次。</w:t>
      </w:r>
    </w:p>
    <w:p w14:paraId="1E938AFC">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3.11本项目竣工验收移交甲方后、保修期结束前，如甲方在本项目内有新增工程且要求乙方进行报价施工时，乙方须予配合。</w:t>
      </w:r>
    </w:p>
    <w:p w14:paraId="0EFEFF1C">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199" w:leftChars="-95"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92" w:name="_Toc29199"/>
      <w:bookmarkStart w:id="93" w:name="_Toc3219"/>
      <w:r>
        <w:rPr>
          <w:rFonts w:hint="eastAsia" w:ascii="仿宋" w:hAnsi="仿宋" w:eastAsia="仿宋" w:cs="仿宋"/>
          <w:b/>
          <w:bCs/>
          <w:i w:val="0"/>
          <w:iCs w:val="0"/>
          <w:color w:val="auto"/>
          <w:sz w:val="28"/>
          <w:szCs w:val="28"/>
          <w:highlight w:val="none"/>
          <w:shd w:val="clear" w:color="auto" w:fill="auto"/>
          <w:lang w:val="en-US" w:eastAsia="zh-CN"/>
        </w:rPr>
        <w:t>第四章、工程质量标准</w:t>
      </w:r>
      <w:bookmarkEnd w:id="92"/>
      <w:bookmarkEnd w:id="93"/>
    </w:p>
    <w:p w14:paraId="0F86FE12">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4.1</w:t>
      </w:r>
      <w:r>
        <w:rPr>
          <w:rFonts w:hint="eastAsia" w:ascii="仿宋" w:hAnsi="仿宋" w:eastAsia="仿宋" w:cs="仿宋"/>
          <w:color w:val="auto"/>
          <w:sz w:val="28"/>
          <w:szCs w:val="28"/>
          <w:highlight w:val="none"/>
        </w:rPr>
        <w:t>甲方（或监理、建设单位、政府部门）检查、验收本工程或本项目时，</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lang w:val="en-US" w:eastAsia="zh-CN"/>
        </w:rPr>
        <w:t>须</w:t>
      </w:r>
      <w:r>
        <w:rPr>
          <w:rFonts w:hint="eastAsia" w:ascii="仿宋" w:hAnsi="仿宋" w:eastAsia="仿宋" w:cs="仿宋"/>
          <w:color w:val="auto"/>
          <w:sz w:val="28"/>
          <w:szCs w:val="28"/>
          <w:highlight w:val="none"/>
        </w:rPr>
        <w:t>安排管理人员配合检查、验收，否则每次向甲方承担违约金人民币</w:t>
      </w:r>
      <w:r>
        <w:rPr>
          <w:rFonts w:hint="eastAsia" w:ascii="仿宋" w:hAnsi="仿宋" w:eastAsia="仿宋" w:cs="仿宋"/>
          <w:color w:val="auto"/>
          <w:sz w:val="28"/>
          <w:szCs w:val="28"/>
          <w:highlight w:val="none"/>
          <w:lang w:eastAsia="zh-CN"/>
        </w:rPr>
        <w:t>壹</w:t>
      </w:r>
      <w:r>
        <w:rPr>
          <w:rFonts w:hint="eastAsia" w:ascii="仿宋" w:hAnsi="仿宋" w:eastAsia="仿宋" w:cs="仿宋"/>
          <w:color w:val="auto"/>
          <w:sz w:val="28"/>
          <w:szCs w:val="28"/>
          <w:highlight w:val="none"/>
        </w:rPr>
        <w:t>万元。乙方施工过程中必须进行质量检查，并按甲方要求做好标记及书面资料，严格执行三级检查制度。乙方须坚决落实甲方、政府部门提出的整改要求，凡未按要求落实整改的，乙方</w:t>
      </w:r>
      <w:r>
        <w:rPr>
          <w:rFonts w:hint="eastAsia" w:ascii="仿宋" w:hAnsi="仿宋" w:eastAsia="仿宋" w:cs="仿宋"/>
          <w:color w:val="auto"/>
          <w:sz w:val="28"/>
          <w:szCs w:val="28"/>
          <w:highlight w:val="none"/>
          <w:lang w:val="en-US" w:eastAsia="zh-CN"/>
        </w:rPr>
        <w:t>向</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en-US" w:eastAsia="zh-CN"/>
        </w:rPr>
        <w:t>承担违约金</w:t>
      </w:r>
      <w:r>
        <w:rPr>
          <w:rFonts w:hint="eastAsia" w:ascii="仿宋" w:hAnsi="仿宋" w:eastAsia="仿宋" w:cs="仿宋"/>
          <w:color w:val="auto"/>
          <w:sz w:val="28"/>
          <w:szCs w:val="28"/>
          <w:highlight w:val="none"/>
        </w:rPr>
        <w:t>贰仟至伍万元/次，整改二次以上的甲方有权对本工程按</w:t>
      </w: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rPr>
        <w:t>合同单价</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rPr>
        <w:t>□合同总价下浮5%予以结算。</w:t>
      </w:r>
      <w:r>
        <w:rPr>
          <w:rFonts w:hint="eastAsia" w:ascii="仿宋" w:hAnsi="仿宋" w:eastAsia="仿宋" w:cs="仿宋"/>
          <w:i w:val="0"/>
          <w:iCs w:val="0"/>
          <w:color w:val="auto"/>
          <w:sz w:val="28"/>
          <w:szCs w:val="28"/>
          <w:highlight w:val="none"/>
          <w:u w:val="none"/>
          <w:shd w:val="clear" w:color="auto" w:fill="auto"/>
        </w:rPr>
        <w:t xml:space="preserve"> </w:t>
      </w:r>
    </w:p>
    <w:p w14:paraId="5E2DFBC2">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color w:val="auto"/>
          <w:sz w:val="28"/>
          <w:szCs w:val="28"/>
          <w:highlight w:val="none"/>
          <w:lang w:val="en-US" w:eastAsia="zh-CN"/>
        </w:rPr>
        <w:t>4.2由于乙方原因导致本工程任一部位质量达不到合同约定的质量标准或不符合施工规范的，该部位按相应的合同单价下调10％结算且乙方无条件完成整改，所发生的一切费用由乙方自行承担。</w:t>
      </w:r>
      <w:r>
        <w:rPr>
          <w:rFonts w:hint="eastAsia" w:ascii="仿宋" w:hAnsi="仿宋" w:eastAsia="仿宋" w:cs="仿宋"/>
          <w:i w:val="0"/>
          <w:iCs w:val="0"/>
          <w:color w:val="auto"/>
          <w:sz w:val="28"/>
          <w:szCs w:val="28"/>
          <w:highlight w:val="none"/>
          <w:u w:val="none"/>
          <w:shd w:val="clear" w:color="auto" w:fill="auto"/>
        </w:rPr>
        <w:t xml:space="preserve">                    </w:t>
      </w:r>
    </w:p>
    <w:p w14:paraId="41086194">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outlineLvl w:val="2"/>
        <w:rPr>
          <w:rFonts w:hint="eastAsia" w:ascii="仿宋" w:hAnsi="仿宋" w:eastAsia="仿宋" w:cs="仿宋"/>
          <w:color w:val="auto"/>
          <w:sz w:val="28"/>
          <w:szCs w:val="28"/>
          <w:highlight w:val="none"/>
          <w:lang w:val="en-US" w:eastAsia="zh-CN"/>
        </w:rPr>
      </w:pPr>
      <w:bookmarkStart w:id="94" w:name="_Toc14414"/>
      <w:bookmarkStart w:id="95" w:name="_Toc20800"/>
      <w:r>
        <w:rPr>
          <w:rFonts w:hint="eastAsia" w:ascii="仿宋" w:hAnsi="仿宋" w:eastAsia="仿宋" w:cs="仿宋"/>
          <w:color w:val="auto"/>
          <w:sz w:val="28"/>
          <w:szCs w:val="28"/>
          <w:highlight w:val="none"/>
          <w:lang w:val="en-US" w:eastAsia="zh-CN"/>
        </w:rPr>
        <w:t>4.3乙供材料收货验收流程及标准</w:t>
      </w:r>
      <w:bookmarkEnd w:id="94"/>
      <w:bookmarkEnd w:id="95"/>
    </w:p>
    <w:p w14:paraId="1A670CE1">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4.3.1乙方签约后3日内将所有进入施工现场的材料、机械、仪表、设备等报订货进场计划申报单，并将其明细报交甲方项目部核实并存档，清单须包含材料的名称、规格、型号、数量、订货时间（附合同或订货依据）、抵达乙方时间、抵达施工现场时间等内容，各方签字确认并留存，以作为各阶段进度计划的附页及退场时的核查依据。</w:t>
      </w:r>
    </w:p>
    <w:p w14:paraId="643DE947">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乙方在选择运输材料的设备时，须提前向甲方项目部安全员报备，选择适合的路线准时抵达，避免现场车辆拥堵，运输设备总重不得超过现场道路限载，并服从甲方项目人员指挥，装卸时注意施工安全。</w:t>
      </w:r>
    </w:p>
    <w:p w14:paraId="7E1A577E">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施工周转材料和小型机具，进场前应报甲方项目部进行检查，并做好特殊标记，并由备案人员进行清点后方可使用，无特殊标记的周转材料不得进场，私自进场的不得外运。</w:t>
      </w:r>
    </w:p>
    <w:p w14:paraId="5F23C389">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4.3.2甲方施工员在乙供材料、设备进场时对品牌、规格、型号、质量等进行抽检并拍照留存。</w:t>
      </w:r>
    </w:p>
    <w:p w14:paraId="38ED6D14">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4.3.3乙方所供材料质量如不符本合同要求，甲方项目部无权同意用于本工程（无论是否折价交易），此种情况下，无论甲方项目部任何人员签字同意均无效且视为乙方未履行提供合格材料的义务，甲方不支付相关款项，乙方按合同约定承担未提供合格材料的违约责任。</w:t>
      </w:r>
    </w:p>
    <w:p w14:paraId="0F4A047D">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4.3.4对不符合合同要求的乙供材料（如材料的品牌、规格、型号、质量等不符合合同约定），由甲方本合同执行联系人按合同要求直接拒收、退场并作好记录备查，不允许折价收货不符合合同要求的材料，且乙方向甲方承担违约金（违约金金额等于不符合合同约定的材料金额的三倍但最少不低于壹万元/次），甲方有权在任意应付给乙方的合同款中自行扣取违约金。</w:t>
      </w:r>
    </w:p>
    <w:p w14:paraId="6BC19EEF">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4.3.5乙方用于本工程的所有材料、机械设备必须符合现行国家及项目当地的相关规定，同时按甲方《分包单位材料管理制度》执行。 </w:t>
      </w:r>
    </w:p>
    <w:p w14:paraId="1458B8EF">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color w:val="auto"/>
          <w:sz w:val="28"/>
          <w:szCs w:val="28"/>
          <w:highlight w:val="none"/>
          <w:lang w:val="en-US" w:eastAsia="zh-CN"/>
        </w:rPr>
        <w:t>4.4乙方必须以甲方验收合格为标准，无条件接受返工、整改，工期不得顺延。</w:t>
      </w:r>
      <w:r>
        <w:rPr>
          <w:rFonts w:hint="eastAsia" w:ascii="仿宋" w:hAnsi="仿宋" w:eastAsia="仿宋" w:cs="仿宋"/>
          <w:color w:val="auto"/>
          <w:sz w:val="28"/>
          <w:szCs w:val="28"/>
          <w:highlight w:val="none"/>
        </w:rPr>
        <w:t xml:space="preserve"> </w:t>
      </w:r>
    </w:p>
    <w:p w14:paraId="5FDA138B">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199" w:leftChars="-95"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96" w:name="_Toc17786"/>
      <w:bookmarkStart w:id="97" w:name="_Toc12383"/>
      <w:bookmarkStart w:id="98" w:name="_Toc13366"/>
      <w:r>
        <w:rPr>
          <w:rFonts w:hint="eastAsia" w:ascii="仿宋" w:hAnsi="仿宋" w:eastAsia="仿宋" w:cs="仿宋"/>
          <w:b/>
          <w:bCs/>
          <w:i w:val="0"/>
          <w:iCs w:val="0"/>
          <w:color w:val="auto"/>
          <w:sz w:val="28"/>
          <w:szCs w:val="28"/>
          <w:highlight w:val="none"/>
          <w:shd w:val="clear" w:color="auto" w:fill="auto"/>
          <w:lang w:val="en-US" w:eastAsia="zh-CN"/>
        </w:rPr>
        <w:t>第五章、合同价款</w:t>
      </w:r>
      <w:bookmarkEnd w:id="96"/>
      <w:bookmarkEnd w:id="97"/>
      <w:bookmarkEnd w:id="98"/>
    </w:p>
    <w:p w14:paraId="64DC748E">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bookmarkStart w:id="99" w:name="_Toc12707"/>
      <w:bookmarkStart w:id="100" w:name="_Toc1479"/>
      <w:bookmarkStart w:id="101" w:name="_Toc4027"/>
      <w:r>
        <w:rPr>
          <w:rFonts w:hint="eastAsia" w:ascii="仿宋" w:hAnsi="仿宋" w:eastAsia="仿宋" w:cs="仿宋"/>
          <w:color w:val="auto"/>
          <w:sz w:val="28"/>
          <w:szCs w:val="28"/>
          <w:highlight w:val="none"/>
          <w:lang w:val="en-US" w:eastAsia="zh-CN"/>
        </w:rPr>
        <w:t>5.1☑合同单价/□合同总价包括乙方完成下述工作及应对下述情况的费用、风险的费用，甲方无需另行付费给乙方：</w:t>
      </w:r>
      <w:bookmarkEnd w:id="99"/>
      <w:bookmarkEnd w:id="100"/>
      <w:bookmarkEnd w:id="101"/>
    </w:p>
    <w:p w14:paraId="6FF3A8E1">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1</w:t>
      </w:r>
      <w:r>
        <w:rPr>
          <w:rFonts w:hint="eastAsia" w:ascii="仿宋" w:hAnsi="仿宋" w:eastAsia="仿宋" w:cs="仿宋"/>
          <w:b w:val="0"/>
          <w:bCs w:val="0"/>
          <w:i w:val="0"/>
          <w:iCs w:val="0"/>
          <w:color w:val="auto"/>
          <w:sz w:val="28"/>
          <w:szCs w:val="28"/>
          <w:highlight w:val="none"/>
          <w:u w:val="none"/>
          <w:shd w:val="clear" w:color="auto" w:fill="auto"/>
          <w:lang w:eastAsia="zh-CN"/>
        </w:rPr>
        <w:t>）确保本工程满足本项目所在地建设安全管理标准化施工要求，一次性达到本项目所在地建设行政主管部门的达标要求及本合同要求。</w:t>
      </w:r>
    </w:p>
    <w:p w14:paraId="5FD987CC">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2</w:t>
      </w:r>
      <w:r>
        <w:rPr>
          <w:rFonts w:hint="eastAsia" w:ascii="仿宋" w:hAnsi="仿宋" w:eastAsia="仿宋" w:cs="仿宋"/>
          <w:b w:val="0"/>
          <w:bCs w:val="0"/>
          <w:i w:val="0"/>
          <w:iCs w:val="0"/>
          <w:color w:val="auto"/>
          <w:sz w:val="28"/>
          <w:szCs w:val="28"/>
          <w:highlight w:val="none"/>
          <w:u w:val="none"/>
          <w:shd w:val="clear" w:color="auto" w:fill="auto"/>
          <w:lang w:eastAsia="zh-CN"/>
        </w:rPr>
        <w:t>）配备本工程所需电工，且电工须持证上岗。甲方电工仅对乙方电工进行监督、检查、管理、指导。</w:t>
      </w:r>
    </w:p>
    <w:p w14:paraId="7DA8A257">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3</w:t>
      </w:r>
      <w:r>
        <w:rPr>
          <w:rFonts w:hint="eastAsia" w:ascii="仿宋" w:hAnsi="仿宋" w:eastAsia="仿宋" w:cs="仿宋"/>
          <w:b w:val="0"/>
          <w:bCs w:val="0"/>
          <w:i w:val="0"/>
          <w:iCs w:val="0"/>
          <w:color w:val="auto"/>
          <w:sz w:val="28"/>
          <w:szCs w:val="28"/>
          <w:highlight w:val="none"/>
          <w:u w:val="none"/>
          <w:shd w:val="clear" w:color="auto" w:fill="auto"/>
          <w:lang w:eastAsia="zh-CN"/>
        </w:rPr>
        <w:t>）春节、元旦、五一、十一、周末等法定节假日及技术要求或进度计划要求进行赶工、加班。</w:t>
      </w:r>
    </w:p>
    <w:p w14:paraId="62954801">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4</w:t>
      </w:r>
      <w:r>
        <w:rPr>
          <w:rFonts w:hint="eastAsia" w:ascii="仿宋" w:hAnsi="仿宋" w:eastAsia="仿宋" w:cs="仿宋"/>
          <w:b w:val="0"/>
          <w:bCs w:val="0"/>
          <w:i w:val="0"/>
          <w:iCs w:val="0"/>
          <w:color w:val="auto"/>
          <w:sz w:val="28"/>
          <w:szCs w:val="28"/>
          <w:highlight w:val="none"/>
          <w:u w:val="none"/>
          <w:shd w:val="clear" w:color="auto" w:fill="auto"/>
          <w:lang w:eastAsia="zh-CN"/>
        </w:rPr>
        <w:t>）参与甲供材料（如</w:t>
      </w:r>
      <w:r>
        <w:rPr>
          <w:rFonts w:hint="eastAsia" w:ascii="仿宋" w:hAnsi="仿宋" w:eastAsia="仿宋" w:cs="仿宋"/>
          <w:b w:val="0"/>
          <w:bCs w:val="0"/>
          <w:i w:val="0"/>
          <w:iCs w:val="0"/>
          <w:color w:val="auto"/>
          <w:sz w:val="28"/>
          <w:szCs w:val="28"/>
          <w:highlight w:val="none"/>
          <w:u w:val="none"/>
          <w:shd w:val="clear" w:color="auto" w:fill="auto"/>
          <w:lang w:val="en-US" w:eastAsia="zh-CN"/>
        </w:rPr>
        <w:t>有</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的</w:t>
      </w:r>
      <w:r>
        <w:rPr>
          <w:rFonts w:hint="eastAsia" w:ascii="仿宋" w:hAnsi="仿宋" w:eastAsia="仿宋" w:cs="仿宋"/>
          <w:b w:val="0"/>
          <w:bCs w:val="0"/>
          <w:i w:val="0"/>
          <w:iCs w:val="0"/>
          <w:color w:val="auto"/>
          <w:sz w:val="28"/>
          <w:szCs w:val="28"/>
          <w:highlight w:val="none"/>
          <w:u w:val="none"/>
          <w:shd w:val="clear" w:color="auto" w:fill="auto"/>
          <w:lang w:eastAsia="zh-CN"/>
        </w:rPr>
        <w:t>申报采购、验收和收货，其数量作为</w:t>
      </w:r>
      <w:r>
        <w:rPr>
          <w:rFonts w:hint="eastAsia" w:ascii="仿宋" w:hAnsi="仿宋" w:eastAsia="仿宋" w:cs="仿宋"/>
          <w:b w:val="0"/>
          <w:bCs w:val="0"/>
          <w:i w:val="0"/>
          <w:iCs w:val="0"/>
          <w:color w:val="auto"/>
          <w:sz w:val="28"/>
          <w:szCs w:val="28"/>
          <w:highlight w:val="none"/>
          <w:u w:val="none"/>
          <w:shd w:val="clear" w:color="auto" w:fill="auto"/>
          <w:lang w:val="en-US" w:eastAsia="zh-CN"/>
        </w:rPr>
        <w:t>甲供</w:t>
      </w:r>
      <w:r>
        <w:rPr>
          <w:rFonts w:hint="eastAsia" w:ascii="仿宋" w:hAnsi="仿宋" w:eastAsia="仿宋" w:cs="仿宋"/>
          <w:b w:val="0"/>
          <w:bCs w:val="0"/>
          <w:i w:val="0"/>
          <w:iCs w:val="0"/>
          <w:color w:val="auto"/>
          <w:sz w:val="28"/>
          <w:szCs w:val="28"/>
          <w:highlight w:val="none"/>
          <w:u w:val="none"/>
          <w:shd w:val="clear" w:color="auto" w:fill="auto"/>
          <w:lang w:eastAsia="zh-CN"/>
        </w:rPr>
        <w:t>材料损耗率的核算依据</w:t>
      </w:r>
      <w:r>
        <w:rPr>
          <w:rFonts w:hint="eastAsia" w:ascii="仿宋" w:hAnsi="仿宋" w:eastAsia="仿宋" w:cs="仿宋"/>
          <w:b w:val="0"/>
          <w:bCs w:val="0"/>
          <w:i w:val="0"/>
          <w:iCs w:val="0"/>
          <w:color w:val="auto"/>
          <w:sz w:val="28"/>
          <w:szCs w:val="28"/>
          <w:highlight w:val="none"/>
          <w:u w:val="none"/>
          <w:shd w:val="clear" w:color="auto" w:fill="auto"/>
          <w:lang w:val="en-US" w:eastAsia="zh-CN"/>
        </w:rPr>
        <w:t>之一</w:t>
      </w:r>
      <w:r>
        <w:rPr>
          <w:rFonts w:hint="eastAsia" w:ascii="仿宋" w:hAnsi="仿宋" w:eastAsia="仿宋" w:cs="仿宋"/>
          <w:b w:val="0"/>
          <w:bCs w:val="0"/>
          <w:i w:val="0"/>
          <w:iCs w:val="0"/>
          <w:color w:val="auto"/>
          <w:sz w:val="28"/>
          <w:szCs w:val="28"/>
          <w:highlight w:val="none"/>
          <w:u w:val="none"/>
          <w:shd w:val="clear" w:color="auto" w:fill="auto"/>
          <w:lang w:eastAsia="zh-CN"/>
        </w:rPr>
        <w:t>。</w:t>
      </w:r>
    </w:p>
    <w:p w14:paraId="29953E5C">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val="en-US"/>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5</w:t>
      </w:r>
      <w:r>
        <w:rPr>
          <w:rFonts w:hint="eastAsia" w:ascii="仿宋" w:hAnsi="仿宋" w:eastAsia="仿宋" w:cs="仿宋"/>
          <w:b w:val="0"/>
          <w:bCs w:val="0"/>
          <w:i w:val="0"/>
          <w:iCs w:val="0"/>
          <w:color w:val="auto"/>
          <w:sz w:val="28"/>
          <w:szCs w:val="28"/>
          <w:highlight w:val="none"/>
          <w:u w:val="none"/>
          <w:shd w:val="clear" w:color="auto" w:fill="auto"/>
          <w:lang w:eastAsia="zh-CN"/>
        </w:rPr>
        <w:t>）本工程</w:t>
      </w:r>
      <w:r>
        <w:rPr>
          <w:rFonts w:hint="eastAsia" w:ascii="仿宋" w:hAnsi="仿宋" w:eastAsia="仿宋" w:cs="仿宋"/>
          <w:b w:val="0"/>
          <w:bCs w:val="0"/>
          <w:i w:val="0"/>
          <w:iCs w:val="0"/>
          <w:color w:val="auto"/>
          <w:sz w:val="28"/>
          <w:szCs w:val="28"/>
          <w:highlight w:val="none"/>
          <w:u w:val="none"/>
          <w:shd w:val="clear" w:color="auto" w:fill="auto"/>
        </w:rPr>
        <w:t>施工过程出现赶工</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交叉作业</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停工</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工人工资、材料费、机具费上涨等</w:t>
      </w:r>
      <w:r>
        <w:rPr>
          <w:rFonts w:hint="eastAsia" w:ascii="仿宋" w:hAnsi="仿宋" w:eastAsia="仿宋" w:cs="仿宋"/>
          <w:b w:val="0"/>
          <w:bCs w:val="0"/>
          <w:i w:val="0"/>
          <w:iCs w:val="0"/>
          <w:color w:val="auto"/>
          <w:sz w:val="28"/>
          <w:szCs w:val="28"/>
          <w:highlight w:val="none"/>
          <w:u w:val="none"/>
          <w:shd w:val="clear" w:color="auto" w:fill="auto"/>
          <w:lang w:val="en-US" w:eastAsia="zh-CN"/>
        </w:rPr>
        <w:t>导致乙方成本、费用发生</w:t>
      </w:r>
      <w:r>
        <w:rPr>
          <w:rFonts w:hint="eastAsia" w:ascii="仿宋" w:hAnsi="仿宋" w:eastAsia="仿宋" w:cs="仿宋"/>
          <w:b w:val="0"/>
          <w:bCs w:val="0"/>
          <w:i w:val="0"/>
          <w:iCs w:val="0"/>
          <w:color w:val="auto"/>
          <w:sz w:val="28"/>
          <w:szCs w:val="28"/>
          <w:highlight w:val="none"/>
          <w:u w:val="none"/>
          <w:shd w:val="clear" w:color="auto" w:fill="auto"/>
        </w:rPr>
        <w:t>增</w:t>
      </w:r>
      <w:r>
        <w:rPr>
          <w:rFonts w:hint="eastAsia" w:ascii="仿宋" w:hAnsi="仿宋" w:eastAsia="仿宋" w:cs="仿宋"/>
          <w:b w:val="0"/>
          <w:bCs w:val="0"/>
          <w:i w:val="0"/>
          <w:iCs w:val="0"/>
          <w:color w:val="auto"/>
          <w:sz w:val="28"/>
          <w:szCs w:val="28"/>
          <w:highlight w:val="none"/>
          <w:u w:val="none"/>
          <w:shd w:val="clear" w:color="auto" w:fill="auto"/>
          <w:lang w:val="en-US" w:eastAsia="zh-CN"/>
        </w:rPr>
        <w:t>加的情况</w:t>
      </w:r>
    </w:p>
    <w:p w14:paraId="49099E25">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578" w:rightChars="-275"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5.2</w:t>
      </w:r>
      <w:r>
        <w:rPr>
          <w:rFonts w:hint="eastAsia" w:ascii="仿宋" w:hAnsi="仿宋" w:eastAsia="仿宋" w:cs="仿宋"/>
          <w:color w:val="auto"/>
          <w:sz w:val="28"/>
          <w:szCs w:val="28"/>
          <w:highlight w:val="none"/>
          <w:lang w:val="en-US" w:eastAsia="zh-CN"/>
        </w:rPr>
        <w:t>☑合同单价/□合同总价</w:t>
      </w:r>
      <w:r>
        <w:rPr>
          <w:rFonts w:hint="eastAsia" w:ascii="仿宋" w:hAnsi="仿宋" w:eastAsia="仿宋" w:cs="仿宋"/>
          <w:b w:val="0"/>
          <w:bCs w:val="0"/>
          <w:i w:val="0"/>
          <w:iCs w:val="0"/>
          <w:color w:val="auto"/>
          <w:sz w:val="28"/>
          <w:szCs w:val="28"/>
          <w:highlight w:val="none"/>
          <w:u w:val="none"/>
          <w:shd w:val="clear" w:color="auto" w:fill="auto"/>
          <w:lang w:val="en-US" w:eastAsia="zh-CN"/>
        </w:rPr>
        <w:t>已考虑突发疫情等流行疾病影响因素，乙方不以疫情防控为由要求甲方对合同价、合同结算办法及工期等合同条款进行调整，防疫措施的一切费用已包含在合同价内，不另计费。</w:t>
      </w:r>
    </w:p>
    <w:p w14:paraId="3A3CA18C">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5.3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合同执行联系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p w14:paraId="5FF0997E">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jc w:val="left"/>
        <w:textAlignment w:val="auto"/>
        <w:rPr>
          <w:rFonts w:hint="eastAsia" w:ascii="仿宋" w:hAnsi="仿宋" w:eastAsia="仿宋" w:cs="仿宋"/>
          <w:color w:val="auto"/>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5.4乙方在合同履约过程中，报送甲方项目部签名的台班记录单、送货单、对账单等单据中，表述的各种违背本合同约定的文字内容均无效，乙方承诺均按本合同执行。</w:t>
      </w:r>
    </w:p>
    <w:p w14:paraId="0CACE4CD">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199" w:leftChars="-95"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02" w:name="_Toc13078"/>
      <w:bookmarkStart w:id="103" w:name="_Toc23429"/>
      <w:bookmarkStart w:id="104" w:name="_Toc17936"/>
      <w:r>
        <w:rPr>
          <w:rFonts w:hint="eastAsia" w:ascii="仿宋" w:hAnsi="仿宋" w:eastAsia="仿宋" w:cs="仿宋"/>
          <w:b/>
          <w:bCs/>
          <w:i w:val="0"/>
          <w:iCs w:val="0"/>
          <w:color w:val="auto"/>
          <w:sz w:val="28"/>
          <w:szCs w:val="28"/>
          <w:highlight w:val="none"/>
          <w:shd w:val="clear" w:color="auto" w:fill="auto"/>
          <w:lang w:val="en-US" w:eastAsia="zh-CN"/>
        </w:rPr>
        <w:t>第六章、计量计价方式及结算方式</w:t>
      </w:r>
      <w:bookmarkEnd w:id="102"/>
      <w:bookmarkEnd w:id="103"/>
      <w:bookmarkEnd w:id="104"/>
    </w:p>
    <w:p w14:paraId="6B1C99D2">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w:t>
      </w:r>
      <w:r>
        <w:rPr>
          <w:rFonts w:hint="eastAsia" w:ascii="仿宋" w:hAnsi="仿宋" w:eastAsia="仿宋" w:cs="仿宋"/>
          <w:color w:val="auto"/>
          <w:sz w:val="28"/>
          <w:szCs w:val="32"/>
          <w:highlight w:val="none"/>
          <w:shd w:val="clear" w:color="auto" w:fill="auto"/>
          <w:lang w:val="en-US" w:eastAsia="zh-CN"/>
        </w:rPr>
        <w:t>工程量有竣工图纸部分，按甲方确认的竣工图计算，无图纸部分以甲方与建设单位签字确认的签证单工程量或按照甲方《分包单位签证管理制度》和《临时设施管理制度》等签证相关要求（如本章第6.3条等）执行</w:t>
      </w:r>
      <w:r>
        <w:rPr>
          <w:rFonts w:hint="eastAsia" w:ascii="仿宋" w:hAnsi="仿宋" w:eastAsia="仿宋" w:cs="仿宋"/>
          <w:b w:val="0"/>
          <w:bCs w:val="0"/>
          <w:i w:val="0"/>
          <w:iCs w:val="0"/>
          <w:color w:val="auto"/>
          <w:sz w:val="28"/>
          <w:szCs w:val="28"/>
          <w:highlight w:val="none"/>
          <w:lang w:val="en-US" w:eastAsia="zh-CN"/>
        </w:rPr>
        <w:t>。</w:t>
      </w:r>
      <w:r>
        <w:rPr>
          <w:rFonts w:hint="eastAsia" w:ascii="仿宋" w:hAnsi="仿宋" w:eastAsia="仿宋" w:cs="仿宋"/>
          <w:color w:val="auto"/>
          <w:sz w:val="28"/>
          <w:szCs w:val="28"/>
          <w:highlight w:val="none"/>
          <w:lang w:val="en-US" w:eastAsia="zh-CN"/>
        </w:rPr>
        <w:t>经甲方项目部验收合格的工程，按合同约定的计价方式结算。</w:t>
      </w:r>
    </w:p>
    <w:p w14:paraId="4C3297A4">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sym w:font="Wingdings" w:char="00FE"/>
      </w:r>
      <w:r>
        <w:rPr>
          <w:rFonts w:hint="eastAsia" w:ascii="仿宋" w:hAnsi="仿宋" w:eastAsia="仿宋" w:cs="仿宋"/>
          <w:color w:val="auto"/>
          <w:sz w:val="28"/>
          <w:szCs w:val="28"/>
          <w:highlight w:val="none"/>
          <w:lang w:val="en-US" w:eastAsia="zh-CN"/>
        </w:rPr>
        <w:t>固定单价合同结算方式：结算总价=完成并达到合同标准的工程量×合同单价-合同约定扣除费用。</w:t>
      </w:r>
    </w:p>
    <w:p w14:paraId="01375458">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sym w:font="Wingdings" w:char="00A8"/>
      </w:r>
      <w:r>
        <w:rPr>
          <w:rFonts w:hint="eastAsia" w:ascii="仿宋" w:hAnsi="仿宋" w:eastAsia="仿宋" w:cs="仿宋"/>
          <w:color w:val="auto"/>
          <w:sz w:val="28"/>
          <w:szCs w:val="28"/>
          <w:highlight w:val="none"/>
          <w:lang w:val="en-US" w:eastAsia="zh-CN"/>
        </w:rPr>
        <w:t>固定总价合同结算方式：结算总价=合同固定总价-合同内未施工内容+合同外增加内容【须有建设单位与甲方的签证或甲方确认的“分包签证确认单”（格式详见附件）和“分项工程/认质认价申报审批表”（格式详见附件）等定价文件】-合同约定扣除费用。</w:t>
      </w:r>
    </w:p>
    <w:p w14:paraId="0C6753F5">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6.2计量依据：</w:t>
      </w:r>
    </w:p>
    <w:p w14:paraId="771C0FCA">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6.2.1甲方招标报价版施工图纸或甲方签认下发的施工图；</w:t>
      </w:r>
    </w:p>
    <w:p w14:paraId="7C97CF2A">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6.2.2设计变更、甲方与建设单位签认的交楼标准、联系单及签证单；</w:t>
      </w:r>
    </w:p>
    <w:p w14:paraId="5B06F882">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6.2.3甲方、建设单位、监理签认的竣工图；</w:t>
      </w:r>
    </w:p>
    <w:p w14:paraId="12DB2B47">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6.2.4图纸会审纪要；</w:t>
      </w:r>
    </w:p>
    <w:p w14:paraId="527B6D3E">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6.2.5政府主管部门要求而图纸中没有且建设单位同意施工的内容；</w:t>
      </w:r>
    </w:p>
    <w:p w14:paraId="666D694F">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6.2.6建设单位、监理、甲方、乙方四方测量签字确认的原始场地标高图及场地完成后标高图（适用于土方工程）；</w:t>
      </w:r>
    </w:p>
    <w:p w14:paraId="60EFF927">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6.2.7建设单位、监理、甲方、乙方四方测量签字确认的打桩记录表、桩位编号图（适用于桩基工程、搅拌桩工程、钢板桩工程、旋挖桩、工法桩等全部桩基工程）；</w:t>
      </w:r>
    </w:p>
    <w:p w14:paraId="7C262393">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6.2.8打拔钢板桩时间记录表（时间以建设单位签字确认的记录表为准）。</w:t>
      </w:r>
    </w:p>
    <w:p w14:paraId="6B368EAE">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6.3签证工程管理制度</w:t>
      </w:r>
    </w:p>
    <w:p w14:paraId="13727864">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6.3.1签证必须包括的内容、资料及要求  </w:t>
      </w:r>
    </w:p>
    <w:p w14:paraId="648E75F3">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6.3.1.1签证单签发时间及编号。</w:t>
      </w:r>
    </w:p>
    <w:p w14:paraId="29EF8CFA">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6.3.1.2签证事实发生的原因、工作内容、完成的工程量。</w:t>
      </w:r>
    </w:p>
    <w:p w14:paraId="56B67AF1">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6.3.1.3签证单（含附件：①草签单，②通知单/联系单/设计变更文件，③影像资料等。由乙方按甲方规定的格式填写。）</w:t>
      </w:r>
    </w:p>
    <w:p w14:paraId="478E64B7">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6.3.1.4执行签证事实的依据：如建设单位签发的建设单位通知单、联系函、设计变更等文件。</w:t>
      </w:r>
    </w:p>
    <w:p w14:paraId="30357B40">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6.3.1.5对于无法按图计算的工程内容或者比较重要的签证，须附现场彩色相片，特别是临时增补工程（比如：园林苗木的更换、基础换填、零星工程、隐蔽工程、水电迁移、拆改工程等）。</w:t>
      </w:r>
    </w:p>
    <w:p w14:paraId="09183C16">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6.3.1.6对于不能根据工程实体计算工程量的工程，如抽水、场地清理等，应尽量对该项工作进行描述：如水泵的型号、功率、抽水时间；场地清理范围、内容；必须清楚列明工作具体位置和实际用工记录，不能直接签署抽水台班或人工工日。</w:t>
      </w:r>
    </w:p>
    <w:p w14:paraId="2728B04D">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6.3.1.7签证执行“一事一签证”的原则，分别列明，不能混编，当出现零星维修、抢修、改造工程，工程量少，过程中间接工序多，无法实际、准确反映乙方产生实际成本的，必须清楚记录具体部位和实际用工记录。</w:t>
      </w:r>
    </w:p>
    <w:p w14:paraId="2C42BC3E">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6.3.1.8乙方现场执行人签名及印章，内容不清楚、不齐全的签证单或工程量计算单，甲方项目部有权拒收。</w:t>
      </w:r>
    </w:p>
    <w:p w14:paraId="216EEF51">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6.3.1.9对同一签证内容，如“甲方与乙方的签证”和“建设单位与甲方的签证”不一致，以较小的量、价对乙方签证确认。</w:t>
      </w:r>
    </w:p>
    <w:p w14:paraId="50176EB7">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6.3.1.10对同一签证内容，甲方与建设单位办理了签证单，而该签证单内容甲方又分给了多家施工单位完成的，乙方须提供甲乙双方确认的《签证单分包说明》（格式详见附件）作为乙方结算依据方可结算。</w:t>
      </w:r>
    </w:p>
    <w:p w14:paraId="7D7A840F">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6.3.1.11甲方与建设单位未办理签证单，但属于绿色文明施工范围内或因其它原因（如临时设施等）使得甲方确需与乙方办理签证的情况，则乙方须提供甲方签认的《分包签证确认单》方可作为结算依据。</w:t>
      </w:r>
    </w:p>
    <w:p w14:paraId="3F6D9D41">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6.3.1.12签证单必须有甲方项目经理签名方为有效签证，否则甲方不予办理结算。</w:t>
      </w:r>
    </w:p>
    <w:p w14:paraId="10999CE1">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6.3.1.13</w:t>
      </w:r>
      <w:r>
        <w:rPr>
          <w:rFonts w:hint="eastAsia" w:ascii="仿宋" w:hAnsi="仿宋" w:eastAsia="仿宋" w:cs="仿宋"/>
          <w:color w:val="auto"/>
          <w:sz w:val="28"/>
          <w:szCs w:val="28"/>
          <w:highlight w:val="none"/>
        </w:rPr>
        <w:t>对于增加或变更工程，乙方凭甲方项目经理签认的签证单及相关资料办理结算。甲方签证单须有本合同授权的甲方项目经理亲自签字确认并加盖公章的书面文件方为有效签证。甲方项目经理委托/授权他人代签均为无效签证，甲方不予办理付款及结算。任何人的口头指示、通知、电话通知、微信通知不作为结算依据。未经甲方盖章书面签证确认或乙方超出图纸、合同清单范围施工的工程量，不属于增加工程，不纳入结算</w:t>
      </w:r>
      <w:r>
        <w:rPr>
          <w:rFonts w:hint="eastAsia" w:ascii="仿宋" w:hAnsi="仿宋" w:eastAsia="仿宋" w:cs="仿宋"/>
          <w:color w:val="auto"/>
          <w:sz w:val="28"/>
          <w:szCs w:val="28"/>
          <w:highlight w:val="none"/>
          <w:lang w:eastAsia="zh-CN"/>
        </w:rPr>
        <w:t>。</w:t>
      </w:r>
    </w:p>
    <w:p w14:paraId="1291CB8E">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6.3.2乙方申报签证程序</w:t>
      </w:r>
    </w:p>
    <w:p w14:paraId="4796F142">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6.3.2.1乙方须在工程部位隐蔽前（变更工程被隐蔽后无法计量的，甲方有权拒绝签证）组织甲方等相关单位共同对工程量以草签单形式进行确认。乙方须在签证内容完成之日起7个日历天内提交签证单及相应的签证预算书（各一式两份，含电子版）由乙方现场执行人签字并加盖公章后报甲方，逾期提报的，甲方不受理，一切责任及损失由乙方自行承担。</w:t>
      </w:r>
    </w:p>
    <w:p w14:paraId="5C5E2112">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6.3.2.2草签单由甲方的施工员、成本管理员、副经理共同现场收方、见证完成并签名，乙方由合同约定的现场执行人签认。</w:t>
      </w:r>
    </w:p>
    <w:p w14:paraId="5325DA22">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6.3.2.3草签单须提供施工前、施工中、施工后的照片、签证预算书作为乙方向甲方办理“分包签证确认单”的必备附件。</w:t>
      </w:r>
    </w:p>
    <w:p w14:paraId="5E670E9A">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6.3.3零星工时计价及相关规定</w:t>
      </w:r>
    </w:p>
    <w:p w14:paraId="64739D92">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6.3.3.1零星用工以分包签证确认单的方式结算，工程量以该签证单确认工程量计算。</w:t>
      </w:r>
    </w:p>
    <w:p w14:paraId="6121E4A0">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6.3.3.2甲方范围内的零星用工单价：按 230 元/工日（含税）计取。</w:t>
      </w:r>
    </w:p>
    <w:p w14:paraId="12FE1FD6">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6.3.3.3零星时工填写签证单时，格式按甲方规定填写，属甲方承担的填写《分包签证确认单》《工程量现场草签记录表》（格式详见附件）；如乙方工程范围未完成属扣乙方的单独写单，并注明扣乙方具体施工位置；属建设单位签证的（不属甲方范围的零星用工）必须附《签证单分包说明》及建设单位签证单复印件；所有签证资料须附上通知单/联系单/设计变更文件、影像资料等。</w:t>
      </w:r>
    </w:p>
    <w:p w14:paraId="05D76178">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6.3.3.4零星时工签证要求及申报程序按照本章第6.3条执行。</w:t>
      </w:r>
    </w:p>
    <w:p w14:paraId="042E7853">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6.4甲方巡检发现存在质量问题或验收不合格的工程，工程量不予结算。</w:t>
      </w:r>
    </w:p>
    <w:p w14:paraId="3D0032FD">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6.5因合同中已有施工方案的变化引起的工程价款变化，结算时不再调整（合同中未明确的施工方案除外）。</w:t>
      </w:r>
    </w:p>
    <w:p w14:paraId="04F1E22B">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6.6乙方未按甲方要求完成的工作，甲方有权安排他人完成并按500元/工日/人计价且从应付给乙方的款项中直接扣款，如实际费用超出500元/工日/人，甲方按实际发生的费用从应付给乙方的款项中直接扣款。</w:t>
      </w:r>
    </w:p>
    <w:p w14:paraId="520A9BAC">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6.7乙方递交的结算资料要求：①递交完整的结算书一式两份（正副本各一份）及电子档文件（计价软件、模型算量要求使用“广联达”，计算表格要求“Excel”格式，图纸要求PDF和 CAD格式）、结算书扫描件、中泰供材确认表等;②装订要求：胶装、盖骑缝章、法人代表签章；③结算资料排序：封面、目录、结算申请表、承包单位工程结算送审承诺书、工程结算资料审查表、工程合同、工程验收单、分包单位结算情况说明、工程结算支付证明单（格式详见附件）、分包签证确认单（签证单必须有甲方项目经理签名且加盖甲方项目章方为有效签证）、分项工程/认质认价申报审批表、工程结算书、签证预算书、变更单、签证联系函及签证单、照片及相关图纸、记录文件、竣工图或竣工图移交清单（如有）、竣工图承诺书（如有）等；④乙方递交结算资料的前提是，甲方已有建设单位签字的完整版竣工图，否则甲方有权不接收结算资料且不办理结算；⑤递交结算资料须按《结算申请表》、《工程结算资料审查表》要求填写。</w:t>
      </w:r>
    </w:p>
    <w:p w14:paraId="690DF7D0">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6.8双方办理结算时，乙方必须按甲方要求注明结算金额中的每个地块/组团/楼栋具体金额（以便甲方统计各地块/组团/楼栋的费用），否则甲方有权不结算且不承担任何违约责任。</w:t>
      </w:r>
    </w:p>
    <w:p w14:paraId="4C7D3E6D">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6.9乙方提交的竣工资料、建设单位与甲方的签证单（须附工程量确认单、开工前照片、施工中照片、施工后照片及签证单分包说明原件等相关资料）、甲方与乙方的分包签证确认单（须附工程量现场草签记录表、联系单、开工前照片、施工中照片、施工后照片等资料）必须为签章齐全的原件。若建设单位与甲方的签证单存在多个单位施工，则提交结算资料时须注明签证单原件资料所在的单项工程，采用签证单复印件的须在签证单上加盖乙方公章方为有效，否则甲方有权不予结算相关费用。</w:t>
      </w:r>
    </w:p>
    <w:p w14:paraId="760C7355">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6.10鉴于本合同所列单价未必完善，如在施工过程中发生新的工程变更内容且无适用的合同单价（例如：工程设计变更或增加承包内容等导致的新工程等），乙方须按甲方要求先行施工（否则每延迟一天乙方须向甲方支付违约金人民币两千元），并在甲方通知施工之日起三个工作日内书面向甲方申报工程单价（申报格式以甲方确定的为准），逾期不申报视为乙方则视为乙方给与甲方的优惠，乙方自愿放弃主张该事项的权利和相关费用。</w:t>
      </w:r>
    </w:p>
    <w:p w14:paraId="2D32BA92">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6.11乙方办理工程进度款申请书、结算书时必须提供甲方主管施工员和项目经理签名的“工完场清交接单”，否则甲方有权不予付款及结算。</w:t>
      </w:r>
    </w:p>
    <w:p w14:paraId="6B39916B">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6.12乙方须实事求是办理结算，不得虚报工程结算。</w:t>
      </w:r>
    </w:p>
    <w:p w14:paraId="6DEF40DD">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6.13合同内未施工的清单分项、图纸内容，乙方在申报结算书中未扣减相应费用而向甲方申报结算的，乙方按上述其未施工项目申报的结算金额的200%向甲方承担违约金，甲方可在任意应付乙方的合同款中扣取违约金。</w:t>
      </w:r>
    </w:p>
    <w:p w14:paraId="05A76BE0">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6.14工程结算书及相关结算资料由乙方自行编制并一次性报齐给甲方，申报次数仅限一次，申报一次后不得增补任何结算资料。申报格式及表格等相关要求按照甲方统一要求执行，如乙方所报结算书的申报工程量少于实际工程量，视为乙方放弃差额部分的权利和款项，结算时不予计算，甲方无需支付。若乙方申报的结算价经甲方审核后，审减额(审减额=报送总金额-审定金额)与报送总金额之比超过 10%以上时，核减超过10%以外的金额乘以20%作为违约金在结算中一次性扣除。</w:t>
      </w:r>
    </w:p>
    <w:p w14:paraId="2A188AA2">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outlineLvl w:val="2"/>
        <w:rPr>
          <w:rFonts w:hint="eastAsia" w:ascii="仿宋" w:hAnsi="仿宋" w:eastAsia="仿宋" w:cs="仿宋"/>
          <w:color w:val="auto"/>
          <w:sz w:val="28"/>
          <w:szCs w:val="28"/>
          <w:highlight w:val="none"/>
          <w:lang w:val="en-US" w:eastAsia="zh-CN"/>
        </w:rPr>
      </w:pPr>
      <w:bookmarkStart w:id="105" w:name="_Toc17329"/>
      <w:bookmarkStart w:id="106" w:name="_Toc31711"/>
      <w:bookmarkStart w:id="107" w:name="_Toc15975"/>
      <w:bookmarkStart w:id="108" w:name="_Toc30160"/>
      <w:bookmarkStart w:id="109" w:name="_Toc12061"/>
      <w:bookmarkStart w:id="110" w:name="_Toc5229"/>
      <w:r>
        <w:rPr>
          <w:rFonts w:hint="eastAsia" w:ascii="仿宋" w:hAnsi="仿宋" w:eastAsia="仿宋" w:cs="仿宋"/>
          <w:color w:val="auto"/>
          <w:sz w:val="28"/>
          <w:szCs w:val="28"/>
          <w:highlight w:val="none"/>
          <w:lang w:val="en-US" w:eastAsia="zh-CN"/>
        </w:rPr>
        <w:t>6.15本工程甲供材损耗率按本合同相关条款执行。</w:t>
      </w:r>
      <w:bookmarkEnd w:id="105"/>
      <w:bookmarkEnd w:id="106"/>
      <w:bookmarkEnd w:id="107"/>
      <w:bookmarkEnd w:id="108"/>
      <w:bookmarkEnd w:id="109"/>
      <w:bookmarkEnd w:id="110"/>
    </w:p>
    <w:p w14:paraId="163F39CD">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6.16乙方提交的结算资料须符合本合同要求（如附件《工程结算资料目录》等的要求），否则甲方有权不办理结算且不违约。</w:t>
      </w:r>
    </w:p>
    <w:p w14:paraId="65EC68DD">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6.17如竣工图由乙方绘制，乙方承诺按甲方要求编汇竣工图并按甲方要求提报甲方，承诺竣工图内容与现场实际完全相符（详见附件《结算竣工图承诺书》格式）。如乙方存在合同内未施工的清单分项、图纸内容或竣工图内容或工程量大于现场实际的情形或虚报等弄虚作假行为，其金额超过甲乙双方最终确认结算价10%及以上的，乙方同意赔偿甲方因此遭受的全部损失并按虚报工程量对应金额的20%承担违约金，违约金在结算时扣除。违约金金额与本合同其他条款约定的金额不一致时，按违约金金额高的标准执行。</w:t>
      </w:r>
    </w:p>
    <w:p w14:paraId="28628EEF">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199" w:leftChars="-95"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11" w:name="_Toc4997"/>
      <w:bookmarkStart w:id="112" w:name="_Toc11671"/>
      <w:bookmarkStart w:id="113" w:name="_Toc3326"/>
      <w:r>
        <w:rPr>
          <w:rFonts w:hint="eastAsia" w:ascii="仿宋" w:hAnsi="仿宋" w:eastAsia="仿宋" w:cs="仿宋"/>
          <w:b/>
          <w:bCs/>
          <w:i w:val="0"/>
          <w:iCs w:val="0"/>
          <w:color w:val="auto"/>
          <w:sz w:val="28"/>
          <w:szCs w:val="28"/>
          <w:highlight w:val="none"/>
          <w:shd w:val="clear" w:color="auto" w:fill="auto"/>
          <w:lang w:val="en-US" w:eastAsia="zh-CN"/>
        </w:rPr>
        <w:t>第七章、付款方式</w:t>
      </w:r>
      <w:bookmarkEnd w:id="111"/>
      <w:bookmarkEnd w:id="112"/>
      <w:bookmarkEnd w:id="113"/>
    </w:p>
    <w:p w14:paraId="2412155C">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7.1每笔进度款支付分配安排如下：</w:t>
      </w:r>
    </w:p>
    <w:p w14:paraId="41E8EE85">
      <w:pPr>
        <w:pStyle w:val="3"/>
        <w:keepNext w:val="0"/>
        <w:keepLines w:val="0"/>
        <w:pageBreakBefore w:val="0"/>
        <w:widowControl w:val="0"/>
        <w:shd w:val="clear"/>
        <w:kinsoku/>
        <w:wordWrap/>
        <w:overflowPunct/>
        <w:topLinePunct w:val="0"/>
        <w:autoSpaceDE/>
        <w:autoSpaceDN/>
        <w:bidi w:val="0"/>
        <w:adjustRightInd w:val="0"/>
        <w:snapToGrid w:val="0"/>
        <w:spacing w:line="520" w:lineRule="exact"/>
        <w:ind w:left="-199" w:leftChars="-95" w:right="0" w:rightChars="0" w:firstLine="560" w:firstLineChars="200"/>
        <w:jc w:val="both"/>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乙方每月的工人工资款项从甲方工人工资专用账户直接发放至工人本人的银行帐户上。用于支付工人工资的银行账户所绑定的乙方工人本人银行卡，乙方或者其他人员不得以任何理由扣押或者变相扣押。乙方申请进度款时须按甲方要求提交工人工资表等资料，例如：乙方申请3月份进度款时，须在4月10日前将3月份实名制报备登记和打卡的《建筑工人工资表》（格式详见附件）、3月份发放工人工资金额、4月份实名制报备登记和打卡的《建筑工人工资表》、4月份预计发放的工人工资金额作为附件资料提供给甲方项目部。如乙方违反前述任一约定，甲方有权中止后续合同付款且不构成违约。乙方须如实提供本项目工人工资表数据，并负责工人工资个税申报。工资发放的次月15日前，乙方须提供加盖乙方公章的上月工人工资个税申报表至甲方项目部，否则甲方有权中止后续付款且乙方承担违约</w:t>
      </w:r>
      <w:r>
        <w:rPr>
          <w:rFonts w:hint="eastAsia" w:ascii="仿宋" w:hAnsi="仿宋" w:eastAsia="仿宋" w:cs="仿宋"/>
          <w:color w:val="auto"/>
          <w:sz w:val="28"/>
          <w:szCs w:val="28"/>
          <w:highlight w:val="none"/>
          <w:lang w:val="en-US" w:eastAsia="zh-CN"/>
        </w:rPr>
        <w:t>金壹万元/次</w:t>
      </w:r>
      <w:r>
        <w:rPr>
          <w:rFonts w:hint="eastAsia" w:ascii="仿宋" w:hAnsi="仿宋" w:eastAsia="仿宋" w:cs="仿宋"/>
          <w:i w:val="0"/>
          <w:iCs w:val="0"/>
          <w:color w:val="auto"/>
          <w:sz w:val="28"/>
          <w:szCs w:val="28"/>
          <w:highlight w:val="none"/>
          <w:lang w:val="en-US" w:eastAsia="zh-CN"/>
        </w:rPr>
        <w:t>。乙方工人考勤打卡及实名要求按甲方《项目实名制及劳资管理制度》执行。</w:t>
      </w:r>
    </w:p>
    <w:p w14:paraId="6E887BD3">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若乙方当次申请的、达到付款条件的合同款金额不足以覆盖当次待付工人工资的，差额部分由乙方在提交工人工资表当日内支付至甲方公司账户，由甲方对乙方工人工资进行统一全额支付，若乙方未及时向甲方支付差额部分导致甲方垫付工人工资的，甲方有权追偿或在下一次合同款中直接扣除。该行为属乙方违约，甲方按垫支付额的150%扣减费用并按约定处罚乙方。若乙方当次申请的、达到付款条件的合同款金额支付当次待付工人工资后尚有余额，余额由甲方直接支付至乙方公司账户。</w:t>
      </w:r>
    </w:p>
    <w:p w14:paraId="4A947E82">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7.2甲方每次付款给乙方前，乙方向甲方付清所有罚款、代付款、赔偿及违约金等所有应付款项。凡甲方收取的款项（包括但不限于：各类押金、保证金、违约金、罚款、垃圾处理费、水电费、租金、代收代缴款项等），乙方必须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14:paraId="65428FED">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7.3付款形式：优先使用网银、银行承兑汇票等，支票、电汇视情况而定。甲方选择其中任意一种支付形式给乙方合同款，均视为乙方收到该合同款。</w:t>
      </w:r>
    </w:p>
    <w:p w14:paraId="33549BC3">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7.4乙方每次向甲方请款时，必须提供甲方认可且符合合同约定的等额合法增值税专用发票（开票内容须与合同内容一致，各组团或各地块独立开具发票，以甲方要求为准），否则甲方有权不付款。甲方以实际收到乙方请款资料（包括《工人工资发放承诺书》，格式详见附件）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拒付合同款且不违约。</w:t>
      </w:r>
    </w:p>
    <w:p w14:paraId="5D6F5BD8">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7.5乙方每次向甲方请款时，按甲方要求注明该次请款所含的每个组团、每个地块、每栋楼具体金额，否则甲方有权不付款且不违约。</w:t>
      </w:r>
    </w:p>
    <w:p w14:paraId="60EEA090">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乙方每次申请进度款必须提供《工程形象进度确认表》、《已完产值汇总表》、《工人工资发放承诺书》等资料，且提供的资料须乙方合同执行人或现场代表签名并加盖公章，具体按甲方《工程分包、劳务分包及机械租赁类款项支付管理办法》执行。</w:t>
      </w:r>
    </w:p>
    <w:p w14:paraId="20FB27E1">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7.7如甲乙双方对应付款金额、结算金额产生争议，甲方有权暂不付款且不违约，甲方无需向乙方支付违约金或利息，直至双方达成一致意见后方可按甲方相应流程办理付款手续。</w:t>
      </w:r>
    </w:p>
    <w:p w14:paraId="7FB86FA2">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7.8甲乙双方完成本工程结算且结算款（扣除预留的保修金）支付完毕后，视为乙方关于除保修金外的合同款支付事宜的全部权利全部消灭，乙方不得基于合同款收付事宜向甲方提出任何权利主张或追索其他任何费用。</w:t>
      </w:r>
    </w:p>
    <w:p w14:paraId="04747C3E">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7.9乙方必须按税法规定的四流合一执行合同，即合同流、货物流、发票流、资金流一致，否则视为乙方违约，且由乙方承担所有责任及损失，直至满足四流合一后，甲方才可付款。</w:t>
      </w:r>
    </w:p>
    <w:p w14:paraId="2FE926E2">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7.10凡是乙方在本项目工作的人员，如未在本项目实名制登记备案、打卡，甲方不计发该人员在工人工资专用账户的工资，由乙方自行解决，由此所导致的一切后果和全部责任由乙方承担，同时甲方对乙方此行为按1000元/人/次收取违约金。</w:t>
      </w:r>
    </w:p>
    <w:p w14:paraId="0E5606B4">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7.11如乙方申报了乙方不在本项目工作人员的工人工资，属于乙方违约，由此所导致的一切后果和全部责任均由乙方承担，同时甲方对乙方此违约行为按1000元/人/次收取违约金。</w:t>
      </w:r>
    </w:p>
    <w:p w14:paraId="7C2F4625">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color w:val="auto"/>
          <w:highlight w:val="none"/>
          <w:lang w:val="en-US" w:eastAsia="zh-CN"/>
        </w:rPr>
      </w:pPr>
      <w:r>
        <w:rPr>
          <w:rFonts w:hint="eastAsia" w:ascii="仿宋" w:hAnsi="仿宋" w:eastAsia="仿宋" w:cs="仿宋"/>
          <w:i w:val="0"/>
          <w:iCs w:val="0"/>
          <w:color w:val="auto"/>
          <w:sz w:val="28"/>
          <w:szCs w:val="28"/>
          <w:highlight w:val="none"/>
          <w:lang w:val="en-US" w:eastAsia="zh-CN"/>
        </w:rPr>
        <w:t>7.12对招标清单（详见合同附件）说明清单“编制依据”不是“审图通过版图纸”的建筑物/构筑物：在建设单位提供“审图通过版图纸”后，如按该图纸计算出来的工程量与招标清单所列工程量偏差＞±3%，则甲乙双方按审图通过版图纸计算出来的工程量及合同单价调整相应建筑物/构筑物的合同暂定价及合同暂定总价，随后的付款金额则以最新的相应建筑物/构筑物的合同暂定价及合同暂定总价为基数进行计算，付款节点、付款比例不作调整。如按该图纸计算出来的工程量与招标清单所列工程量偏差≤±3%，则合同暂定总价、付款方式、各建筑物/构筑物的合同暂定价不作调整</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14:paraId="72589119">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199" w:leftChars="-95"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14" w:name="_Toc9906"/>
      <w:bookmarkStart w:id="115" w:name="_Toc28744"/>
      <w:bookmarkStart w:id="116" w:name="_Toc17862"/>
      <w:r>
        <w:rPr>
          <w:rFonts w:hint="eastAsia" w:ascii="仿宋" w:hAnsi="仿宋" w:eastAsia="仿宋" w:cs="仿宋"/>
          <w:b/>
          <w:bCs/>
          <w:i w:val="0"/>
          <w:iCs w:val="0"/>
          <w:color w:val="auto"/>
          <w:sz w:val="28"/>
          <w:szCs w:val="28"/>
          <w:highlight w:val="none"/>
          <w:shd w:val="clear" w:color="auto" w:fill="auto"/>
          <w:lang w:val="en-US" w:eastAsia="zh-CN"/>
        </w:rPr>
        <w:t>第八章、双方责任和权利</w:t>
      </w:r>
      <w:bookmarkEnd w:id="114"/>
      <w:bookmarkEnd w:id="115"/>
      <w:bookmarkEnd w:id="116"/>
    </w:p>
    <w:p w14:paraId="4D2B59A2">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2" w:firstLineChars="200"/>
        <w:textAlignment w:val="auto"/>
        <w:outlineLvl w:val="2"/>
        <w:rPr>
          <w:rFonts w:hint="eastAsia" w:ascii="仿宋" w:hAnsi="仿宋" w:eastAsia="仿宋" w:cs="仿宋"/>
          <w:b/>
          <w:bCs/>
          <w:i w:val="0"/>
          <w:iCs w:val="0"/>
          <w:color w:val="auto"/>
          <w:sz w:val="28"/>
          <w:szCs w:val="28"/>
          <w:highlight w:val="none"/>
          <w:shd w:val="clear" w:color="auto" w:fill="auto"/>
        </w:rPr>
      </w:pPr>
      <w:bookmarkStart w:id="117" w:name="_Toc6947"/>
      <w:bookmarkStart w:id="118" w:name="_Toc7257"/>
      <w:r>
        <w:rPr>
          <w:rFonts w:hint="eastAsia" w:ascii="仿宋" w:hAnsi="仿宋" w:eastAsia="仿宋" w:cs="仿宋"/>
          <w:b/>
          <w:bCs/>
          <w:i w:val="0"/>
          <w:iCs w:val="0"/>
          <w:color w:val="auto"/>
          <w:sz w:val="28"/>
          <w:szCs w:val="28"/>
          <w:highlight w:val="none"/>
          <w:shd w:val="clear" w:color="auto" w:fill="auto"/>
          <w:lang w:val="en-US" w:eastAsia="zh-CN"/>
        </w:rPr>
        <w:t>8</w:t>
      </w:r>
      <w:r>
        <w:rPr>
          <w:rFonts w:hint="eastAsia" w:ascii="仿宋" w:hAnsi="仿宋" w:eastAsia="仿宋" w:cs="仿宋"/>
          <w:b/>
          <w:bCs/>
          <w:i w:val="0"/>
          <w:iCs w:val="0"/>
          <w:color w:val="auto"/>
          <w:sz w:val="28"/>
          <w:szCs w:val="28"/>
          <w:highlight w:val="none"/>
          <w:shd w:val="clear" w:color="auto" w:fill="auto"/>
          <w:lang w:eastAsia="zh-CN"/>
        </w:rPr>
        <w:t>.</w:t>
      </w:r>
      <w:r>
        <w:rPr>
          <w:rFonts w:hint="eastAsia" w:ascii="仿宋" w:hAnsi="仿宋" w:eastAsia="仿宋" w:cs="仿宋"/>
          <w:b/>
          <w:bCs/>
          <w:i w:val="0"/>
          <w:iCs w:val="0"/>
          <w:color w:val="auto"/>
          <w:sz w:val="28"/>
          <w:szCs w:val="28"/>
          <w:highlight w:val="none"/>
          <w:shd w:val="clear" w:color="auto" w:fill="auto"/>
        </w:rPr>
        <w:t>1甲方责任和权利</w:t>
      </w:r>
      <w:bookmarkEnd w:id="117"/>
      <w:bookmarkEnd w:id="118"/>
    </w:p>
    <w:p w14:paraId="341B86E9">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8.1.1对乙方进行本工程技术交底及质量、安全、进度、文明施工、成本控制等管理。</w:t>
      </w:r>
    </w:p>
    <w:p w14:paraId="6CFA7A0C">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8.1.2按国家工程质量标准对乙方施工成品进行内部核验，并办理过程验收手续和完工后总体验收手续。在验收合格情况下按照合同约定及时办理结算和付款。</w:t>
      </w:r>
    </w:p>
    <w:p w14:paraId="06658253">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8.1.3提供乙方施工工人在本项目现场住宿的设施，并按合同向乙方收取费用。</w:t>
      </w:r>
    </w:p>
    <w:p w14:paraId="7D15419A">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8.1.4提供给乙方工作面及本合同约定的甲供材料和机具，提供乙方作业所需的施工场所。</w:t>
      </w:r>
    </w:p>
    <w:p w14:paraId="00721DD9">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8.1.5为乙方员工办理人脸识别进场资料。</w:t>
      </w:r>
    </w:p>
    <w:p w14:paraId="5F17921A">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8.1.6督促乙方及其工人遵章守纪、按章操作，强化现场安全防护工作。</w:t>
      </w:r>
    </w:p>
    <w:p w14:paraId="1780DE9F">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8.1.7根据本项目总体情况安排、调整本工程工期，规定乙方先做某部位后做某部位，何时增加工人何时减少工人，乙方必须服从调动及安排。</w:t>
      </w:r>
    </w:p>
    <w:p w14:paraId="51318A60">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8.1.8对乙方的不符合设计图纸、违反施工规范和安全操作规程、材料浪费等违规行为强行制止，并要求乙方在规定时间内按要求完成整改，同时根据具体情况对乙方计取违约金。</w:t>
      </w:r>
    </w:p>
    <w:p w14:paraId="5CE89850">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8.1.9对乙方及其人员进行技术考核，考核不合格人员禁止上岗，乙方按甲方要求调换合格人员接替上岗。</w:t>
      </w:r>
    </w:p>
    <w:p w14:paraId="7C4571F3">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8.1.10</w:t>
      </w:r>
      <w:r>
        <w:rPr>
          <w:rFonts w:hint="eastAsia" w:ascii="仿宋" w:hAnsi="仿宋" w:eastAsia="仿宋" w:cs="仿宋"/>
          <w:i w:val="0"/>
          <w:iCs w:val="0"/>
          <w:color w:val="auto"/>
          <w:sz w:val="28"/>
          <w:szCs w:val="28"/>
          <w:highlight w:val="none"/>
          <w:shd w:val="clear" w:color="auto" w:fill="auto"/>
          <w:lang w:val="en-US" w:eastAsia="zh-CN"/>
        </w:rPr>
        <w:t>甲方对乙方向乙方人员发放报酬的情况有知情权，乙方工人工资金额由乙方提供书面文件给甲方项目部及甲方工程部核实确定。甲方有权掌握乙方工人的工资分配制度和实施情况，对不合理、违规的分配甲方有权制止及干预。乙方应及时支付工人工资及材料款，如乙方欠款导致甲方被追索，甲方有权自应付给乙方的款项中扣款代付，但此举不视为甲方同意对乙方债务承担责任。乙方对甲方代付行为及金额无异议，如应付给乙方的合同款不足以代付导致甲方需垫付费用，乙方需在甲方发出书面通知起3个日历天内还清甲方垫付款并自甲方垫付之日起按一年期贷款市场报价利率(LPR)的4倍为标准支付利息给甲方。</w:t>
      </w:r>
    </w:p>
    <w:p w14:paraId="063A960E">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8.1.11对乙方进行管理，有权要求乙方管理人员必须坚守岗位，在施工现场组织指导工人作业。</w:t>
      </w:r>
    </w:p>
    <w:p w14:paraId="1D2C575B">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8.1.12</w:t>
      </w:r>
      <w:r>
        <w:rPr>
          <w:rFonts w:hint="eastAsia" w:ascii="仿宋" w:hAnsi="仿宋" w:eastAsia="仿宋" w:cs="仿宋"/>
          <w:i w:val="0"/>
          <w:iCs w:val="0"/>
          <w:color w:val="auto"/>
          <w:sz w:val="28"/>
          <w:szCs w:val="28"/>
          <w:highlight w:val="none"/>
          <w:shd w:val="clear" w:color="auto" w:fill="auto"/>
          <w:lang w:val="en-US" w:eastAsia="zh-CN"/>
        </w:rPr>
        <w:t>对乙方违反合同约定、行业标准、国家或地方政策规范、设计要求的事宜，甲方有权要求乙方整改，乙方拒不整改或整改二次后仍不能满足甲方要求的，甲方有权单方解除本合同且不付款，同时乙方赔偿甲方的损失（包括但不限于甲方因本工程逾期完工而需对建设单位承担的违约责任、损失赔偿责任等）。</w:t>
      </w:r>
    </w:p>
    <w:p w14:paraId="75406019">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1.13</w:t>
      </w:r>
      <w:r>
        <w:rPr>
          <w:rFonts w:hint="eastAsia" w:ascii="仿宋" w:hAnsi="仿宋" w:eastAsia="仿宋" w:cs="仿宋"/>
          <w:b w:val="0"/>
          <w:bCs w:val="0"/>
          <w:i w:val="0"/>
          <w:iCs w:val="0"/>
          <w:color w:val="auto"/>
          <w:sz w:val="28"/>
          <w:szCs w:val="28"/>
          <w:highlight w:val="none"/>
          <w:shd w:val="clear" w:color="auto" w:fill="auto"/>
          <w:lang w:val="en-US" w:eastAsia="zh-CN"/>
        </w:rPr>
        <w:t>凡甲方认为会影响本工程质量或可能导致安全事故的乙方自备材料、机具等，乙方不得用于本项目，否则乙方无条件更换且每次向甲方承担违约金壹万元及不延长工期。</w:t>
      </w:r>
    </w:p>
    <w:p w14:paraId="6FB53FAD">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shd w:val="clear" w:color="auto" w:fill="auto"/>
          <w:lang w:eastAsia="zh-CN"/>
        </w:rPr>
        <w:t>.1.14甲方因参与本合同履行而发出、或与乙方达成合意所形成的一切相关文件，均须同时加盖甲方公章及经法定代表人（或授权代表人）签名，否则均不对甲方产生约束力，除非事后获得甲方另行追认。</w:t>
      </w:r>
    </w:p>
    <w:p w14:paraId="5AD6503E">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8.1.15对乙方不按合同约定时间向甲方申报其工人工资资料等行为，甲方有权对乙方收取违约金，每逾期一天的违约金不少于伍佰元/人（按乙方在本工程施工工人人数计）。</w:t>
      </w:r>
    </w:p>
    <w:p w14:paraId="1DE9A4A4">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8.1.16若乙方原因导致其工人工资不能及时发放，工人发生停工或静坐、闹事等不良行为的，甲方有权按本合同相关条款（如本合同第二部分合同通用条款第十四章等）向乙方收取违约金。</w:t>
      </w:r>
    </w:p>
    <w:p w14:paraId="32F1F8E3">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8.1.17工程若有变更，甲方必须以书面形式通知乙方，若因工程变更导致增加工程量，甲方应给予乙方合理的备料期（具体时间双方协商）并办理签证确认。</w:t>
      </w:r>
    </w:p>
    <w:p w14:paraId="281A5502">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8.1.18按合同约定向乙方支付工程款。</w:t>
      </w:r>
    </w:p>
    <w:p w14:paraId="20D98C54">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8.1.19协调乙方与建设单位、监理单位的关系。</w:t>
      </w:r>
    </w:p>
    <w:p w14:paraId="1E7D255C">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bookmarkStart w:id="119" w:name="_Toc31817"/>
      <w:bookmarkStart w:id="120" w:name="_Toc3364"/>
      <w:r>
        <w:rPr>
          <w:rFonts w:hint="eastAsia" w:ascii="仿宋" w:hAnsi="仿宋" w:eastAsia="仿宋" w:cs="仿宋"/>
          <w:i w:val="0"/>
          <w:iCs w:val="0"/>
          <w:color w:val="auto"/>
          <w:sz w:val="28"/>
          <w:szCs w:val="28"/>
          <w:highlight w:val="none"/>
          <w:shd w:val="clear" w:color="auto" w:fill="auto"/>
          <w:lang w:val="en-US" w:eastAsia="zh-CN"/>
        </w:rPr>
        <w:t>8.2、乙方责任和权利</w:t>
      </w:r>
      <w:bookmarkEnd w:id="119"/>
      <w:bookmarkEnd w:id="120"/>
    </w:p>
    <w:p w14:paraId="6CD054B4">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8.2.1按设计图纸和施工规范施工，在每一道分项工序开始时，乙方先做出样板部位报甲方项目部确认后方可进入一下步施工，保证施工成品质量满足合同要求。因乙方原因导致的质量事故，由乙方赔偿甲方损失。</w:t>
      </w:r>
    </w:p>
    <w:p w14:paraId="4126D3BD">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8.2.2按时完成本工程每一阶段的施工任务，保证符合甲方工期要求，因乙方原因导致的工期延误及甲方遭受的损失均由乙方赔偿甲方。</w:t>
      </w:r>
    </w:p>
    <w:p w14:paraId="02C0E563">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8.2.3遵守安全生产、文明施工法规。乙方违规操作发生的安全或质量事故所造成的甲方损失均由乙方赔偿甲方。</w:t>
      </w:r>
    </w:p>
    <w:p w14:paraId="3B092915">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8.2.4在施工过程中乙方指定专人认真做好施工记录，工程竣工后须及时将资料整理完整，移交甲方资料员。</w:t>
      </w:r>
    </w:p>
    <w:p w14:paraId="6D58AAD3">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8.2.5乙方须保护好自身施工的材料、机械等设备，如有被偷盗、损坏等现象发生，由乙方自行负责。</w:t>
      </w:r>
    </w:p>
    <w:p w14:paraId="64BFB858">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8.2.6遵守甲方管理制度，服从甲方管理。</w:t>
      </w:r>
    </w:p>
    <w:p w14:paraId="139B5570">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8.2.7乙方对完成的每一道工序及时、认真进行自检，自检合格后提请甲方验收。对甲方提出的问题按甲方要求彻底整改，每延误一天完成整改的，向甲方承担违约金壹仟元。</w:t>
      </w:r>
    </w:p>
    <w:p w14:paraId="10873171">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8.2.8加强自身团队建设。乙方管理人员须经常对下属工人进行技术交底、安全教育，作业人员必须持证上岗。乙方管理人员必须坚守岗位，特殊情况需离开工地时，经甲方项目部批准后方能离开。</w:t>
      </w:r>
    </w:p>
    <w:p w14:paraId="1C3F9EE7">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8.2.9如实向甲方提供《建筑工人工资表》，每月第十个日历天前向甲方完成申报工人工资，否则甲方有权中止支付任何款项且不违约。乙方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p>
    <w:p w14:paraId="5E473935">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8.2.10在甲方的监督下办理工人工资发放专户，由银行代发乙方工人工资。</w:t>
      </w:r>
    </w:p>
    <w:p w14:paraId="314F1B2A">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8.2.11任意一组团/批次进场开工之日三天前，乙方须向甲方提交所有进场人员（包括但不限于施工人员）花名册、身份证复印件及联系电话、乙方与进场人员签订的劳动合同（加盖乙方公章）作实名登记，否则甲方有权按逾期天数认定乙方延迟开工计收违约金。乙方与进场人员签订了劳动合同而未提供在花名册内或未提供该人员身份证复印件及联系电话的不得进入施工现场，如有发现，乙方向甲方支付违约金贰仟元/人/次且甲方不发放该人员的工资。乙方人员花名册如有更新，须在3天内补充新进人员身份证复印件及联系电话、乙方与进场人员签订的劳动合同给甲方。乙方须提供与人员花名册一致的班组工人工资表原件及复印件，且工人工资表金额要与当期支付的工人工资一致。乙方人员每天进场必须进行考勤打卡，且考勤打卡记录须与提供的花名册相符。乙方人员退场时，须提交工资结清证明（加盖乙方公章）给甲方留存，否则甲方有权不予办理结算和支付工程款。</w:t>
      </w:r>
    </w:p>
    <w:p w14:paraId="7815DE12">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8.2.12乙方须如实主动申报及发放工人工资，甲方有权核对，如发现乙方弄虚作假，甲方暂停支付乙方合同款。</w:t>
      </w:r>
    </w:p>
    <w:p w14:paraId="0BAF91C3">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8.2.13乙方有权要求甲方按合同约定提供充足的甲供材料和机具。乙方自备的机具、材料经甲方验收合格后方可进场使用。甲供材料、机具十天以上（不含十天）不到位，或其它非乙方原因造成的阶段性、区域停工十天以上（不含十天），乙方有权调离多余工人，因此形成的短期怠工（十天以内）及进出场的费用已包括在</w:t>
      </w:r>
      <w:r>
        <w:rPr>
          <w:rFonts w:hint="eastAsia" w:ascii="仿宋" w:hAnsi="仿宋" w:eastAsia="仿宋" w:cs="仿宋"/>
          <w:color w:val="auto"/>
          <w:sz w:val="28"/>
          <w:szCs w:val="28"/>
          <w:highlight w:val="none"/>
          <w:lang w:val="en-US" w:eastAsia="zh-CN"/>
        </w:rPr>
        <w:t>☑合同单价/□合同总价</w:t>
      </w:r>
      <w:r>
        <w:rPr>
          <w:rFonts w:hint="eastAsia" w:ascii="仿宋" w:hAnsi="仿宋" w:eastAsia="仿宋" w:cs="仿宋"/>
          <w:i w:val="0"/>
          <w:iCs w:val="0"/>
          <w:color w:val="auto"/>
          <w:sz w:val="28"/>
          <w:szCs w:val="28"/>
          <w:highlight w:val="none"/>
          <w:shd w:val="clear" w:color="auto" w:fill="auto"/>
          <w:lang w:val="en-US" w:eastAsia="zh-CN"/>
        </w:rPr>
        <w:t>中，不另计价。</w:t>
      </w:r>
    </w:p>
    <w:p w14:paraId="47B762B1">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8.2.14乙方施工过程中，负责本工程工作面上所用材料、机具的清理，做到每天工完场清，并自行负责所有建筑垃圾、生活垃圾、有机物垃圾的处置，相关费用已含于</w:t>
      </w:r>
      <w:r>
        <w:rPr>
          <w:rFonts w:hint="eastAsia" w:ascii="仿宋" w:hAnsi="仿宋" w:eastAsia="仿宋" w:cs="仿宋"/>
          <w:color w:val="auto"/>
          <w:sz w:val="28"/>
          <w:szCs w:val="28"/>
          <w:highlight w:val="none"/>
          <w:lang w:val="en-US" w:eastAsia="zh-CN"/>
        </w:rPr>
        <w:t>☑合同单价/□合同总价</w:t>
      </w:r>
      <w:r>
        <w:rPr>
          <w:rFonts w:hint="eastAsia" w:ascii="仿宋" w:hAnsi="仿宋" w:eastAsia="仿宋" w:cs="仿宋"/>
          <w:i w:val="0"/>
          <w:iCs w:val="0"/>
          <w:color w:val="auto"/>
          <w:sz w:val="28"/>
          <w:szCs w:val="28"/>
          <w:highlight w:val="none"/>
          <w:shd w:val="clear" w:color="auto" w:fill="auto"/>
          <w:lang w:val="en-US" w:eastAsia="zh-CN"/>
        </w:rPr>
        <w:t>中，甲方无需另行计费给乙方。如乙方未能自行处置，由甲方统一就该部分垃圾处理费（含外运及机械台班费等）按责、按量进行分摊后，由乙方及相关分包单位承担，并以书面形式确认，在结算时予以扣除。乙方提交的结算书须包含甲方项目部按照垃圾产生的责任单位进行数量和全部费用的分摊表，该表须甲方施工员、项目副经理、项目经理签认，否则甲方有权不予办理结算且不违约。</w:t>
      </w:r>
    </w:p>
    <w:p w14:paraId="09DE3233">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乙方必须于每道工序验收前把本工程工作面有关的建筑垃圾、生活垃圾、有机物垃圾等清理到甲方指定位置，负责隐蔽工程验收前把本工程工作面有关材料、机具、垃圾清理到甲方指定位置，相关费用已含于本合同第一部分合同专用条款第六章约定的合同价中，甲方无需另行计费给乙方。</w:t>
      </w:r>
    </w:p>
    <w:p w14:paraId="248D0872">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8.2.15乙方进入穿插施工工作面前必须按甲方项目部要求办理“工完场清交接单”，如乙方对穿插工作面不能接收，须对进场施工产生的增加费用及工程量在“工完场清交接单”中填报并报甲方项目部确认。乙方不得因穿插工作面达不到接收要求而拒绝进场施工，否则视作延迟开工。</w:t>
      </w:r>
    </w:p>
    <w:p w14:paraId="7AF5DB9E">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8.2.16合同履行过程中，如乙方中途自行退场，甲方不支付任何款项，因此造成甲方损失的由乙方赔偿。</w:t>
      </w:r>
    </w:p>
    <w:p w14:paraId="2E304B1F">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8.2.17乙方须合理使用甲供材料和机具，在保证质量的情况下，按合同约定及相应规范控制使用。</w:t>
      </w:r>
    </w:p>
    <w:p w14:paraId="0CC72BA9">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8.2.18乙方施工中须与其他分包单位积极配合，保护所有成品，保护费用及责任由乙方承担。非经甲方书面同意，所有已进场材料设备不能运出工地。</w:t>
      </w:r>
    </w:p>
    <w:p w14:paraId="759283C3">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8.2.19如乙方人员使用甲方提供的宿舍，住宿按7人/间配置，凡按乙方人员分配房间超过数量的，甲方将按1000元/间/月（税金另计）向乙方收取房租，乙方必须每月按实缴纳宿舍所有电费用【线路损耗按装表计量实际量加10%损耗计（税金另计）】和空调使用费【按1.3元/间/天计（税金另计），未安装空调的此项不计】和房租给甲方。乙方每次向甲方请款时，甲方合同执行联系人可直接扣除乙方上月产生的房租、宿舍电费及空调使用费，并按扣除后的金额申请进度款。</w:t>
      </w:r>
    </w:p>
    <w:p w14:paraId="0D54C656">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8.2.20对违章指挥，乙方有权拒绝服从。</w:t>
      </w:r>
    </w:p>
    <w:p w14:paraId="383790F3">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8.2.21因乙方材料或施工质量问题引起的返工、维修、更换、损失及工期延误等造成的一切费用由乙方承担。</w:t>
      </w:r>
    </w:p>
    <w:p w14:paraId="41A731EA">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 xml:space="preserve">8.2.22乙方供应的每批材料必须经甲方现场管理人员（或甲方施工员）确认是否符合合同要求及本工程所需，如不符合，一律不准进场并按甲方要求更换且不得因此延长工期，同时乙方每次向甲方承担违约金壹万元。 </w:t>
      </w:r>
    </w:p>
    <w:p w14:paraId="2E1B6F2F">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8.2.23乙方确保本工程的质量和进度一次性达到合同要求，否则造成的一切损失由乙方承担且每次向甲方承担违约金壹万元。</w:t>
      </w:r>
    </w:p>
    <w:p w14:paraId="323566D8">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8.2.24乙方签订本合同前已充分了解本工程现场实际情况，确定☑合同单价/□合同总价已包含处理现场各种因素导致的多次进退场、怠工、误工等不能正常开工情形的费用，甲方无需另行计费给乙方。</w:t>
      </w:r>
    </w:p>
    <w:p w14:paraId="177D6AD8">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8.2.25乙方人员进场前须提供本项目所在地三甲医院出具的体检健康证明，否则甲方有权将无证人员驱逐出本项目。无论乙方是否提供该证明，乙方人员须身体健康，无妨碍从事工作的疾病和生理缺陷，符合进场及该工种的操作要求。因乙方人员自身疾病或生理缺陷等原因导致的伤亡均由乙方自行承担全责，甲方无需承担责任及赔偿任何费用。</w:t>
      </w:r>
    </w:p>
    <w:p w14:paraId="51C76170">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8.2.26本合同履行过程中，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14:paraId="21C89335">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8.2.27乙方须按甲方书面确定的图纸、设计变更通知单施工，未经甲方书面同意而脱离图纸、设计变更通知单而擅自施工的，无论是否影响本工程质量或工期，乙方每次承担违约金人民币壹万元并承担因此导致的一切后果及赔偿甲方损失，同时甲方不承担由此增加的费用，由此节约的费用（以甲方计算的为准）则由甲方享有。（因乙方擅自施工系单方变更合同的违约行为，节约的费用视同支付给甲方的违约金。）</w:t>
      </w:r>
    </w:p>
    <w:p w14:paraId="0F3ADFF1">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8.2.28乙方原因导致的一切安全事故，属乙方责任，所有损失及费用由乙方承担。</w:t>
      </w:r>
    </w:p>
    <w:p w14:paraId="0BB13A06">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8.2.29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14:paraId="0CBD2861">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8.2.30乙方人员（包括乙方家属、朋友等人员）在本项目地点发生的所有安全事故均与甲方无关，甲方不承担任何责任和费用，一切责任和费用均由乙方承担。</w:t>
      </w:r>
    </w:p>
    <w:p w14:paraId="0E5780D7">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8.2.31</w:t>
      </w:r>
      <w:r>
        <w:rPr>
          <w:rFonts w:hint="eastAsia" w:ascii="仿宋" w:hAnsi="仿宋" w:eastAsia="仿宋" w:cs="仿宋"/>
          <w:b w:val="0"/>
          <w:bCs w:val="0"/>
          <w:i w:val="0"/>
          <w:iCs w:val="0"/>
          <w:color w:val="auto"/>
          <w:sz w:val="28"/>
          <w:szCs w:val="28"/>
          <w:highlight w:val="none"/>
          <w:shd w:val="clear" w:color="auto" w:fill="auto"/>
          <w:lang w:val="en-US" w:eastAsia="zh-CN"/>
        </w:rPr>
        <w:t>乙方应根据工程需要，提供施工使用的围栏设施，负责安全保卫工作，合理安排施工作业时间，避免施工影响周边居民正常生活。乙方如需使用甲方位于施工区域周边的残旧建筑作为材料库、员工临时宿舍等用途，因建筑本身导致消防、安全等事故造成的一切损失由乙方承担。</w:t>
      </w:r>
    </w:p>
    <w:p w14:paraId="4034B64D">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8.2.32乙方与第三人签订的劳动、租赁、买卖等一切合同，与甲方无关。乙方在履约产生的与第三方一切债务，由乙方自行全责处理并承担责任。</w:t>
      </w:r>
    </w:p>
    <w:p w14:paraId="4FAEF3B4">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8.2.33乙方与第三方发生的任何经济往来、债务纠纷均与甲方无关。乙方保证所供材料无权属上的瑕疵也无知识产权的争议，若因此对甲方造成损失，由乙方全责赔偿甲方。</w:t>
      </w:r>
    </w:p>
    <w:p w14:paraId="7C38C644">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8.2.34乙方组织施工人员进场时，须向甲方实名申报《技术工人素质承诺书》（格式详见附件），否则不得进场，并且按甲方要求提供技术工人现场实操施工样板或组织甲方观摩技术工人现场分步分项施工技能，经甲方检验合格后乙方相关技术工人方可进入本项目施工，技术不合格人员须无条件按甲方要求当天退场且甲方不承担任何费用和责任，乙方同时按甲方要求另行组织合格人员进场施工。</w:t>
      </w:r>
    </w:p>
    <w:p w14:paraId="368B6A48">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i w:val="0"/>
          <w:iCs w:val="0"/>
          <w:color w:val="auto"/>
          <w:sz w:val="28"/>
          <w:szCs w:val="28"/>
          <w:highlight w:val="none"/>
          <w:shd w:val="clear" w:color="auto" w:fill="auto"/>
          <w:lang w:val="en-US" w:eastAsia="zh-CN"/>
        </w:rPr>
        <w:t>8.2.35乙方人员在本合同履行期间所发生的所有安全事故，均由乙方承担所发生的全部费用及损失，对甲方造成损失的则由乙方赔偿甲方损失。</w:t>
      </w:r>
    </w:p>
    <w:p w14:paraId="24322A46">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199" w:leftChars="-95"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21" w:name="_Toc11160"/>
      <w:bookmarkStart w:id="122" w:name="_Toc28158"/>
      <w:bookmarkStart w:id="123" w:name="_Toc28266"/>
      <w:bookmarkStart w:id="124" w:name="_Toc22397"/>
      <w:bookmarkStart w:id="125" w:name="_Toc807"/>
      <w:r>
        <w:rPr>
          <w:rFonts w:hint="eastAsia" w:ascii="仿宋" w:hAnsi="仿宋" w:eastAsia="仿宋" w:cs="仿宋"/>
          <w:b/>
          <w:bCs/>
          <w:i w:val="0"/>
          <w:iCs w:val="0"/>
          <w:color w:val="auto"/>
          <w:sz w:val="28"/>
          <w:szCs w:val="28"/>
          <w:highlight w:val="none"/>
          <w:shd w:val="clear" w:color="auto" w:fill="auto"/>
          <w:lang w:val="en-US" w:eastAsia="zh-CN"/>
        </w:rPr>
        <w:t>第九章、安全生产、文明施工要求</w:t>
      </w:r>
      <w:bookmarkEnd w:id="121"/>
      <w:bookmarkEnd w:id="122"/>
      <w:bookmarkEnd w:id="123"/>
      <w:bookmarkEnd w:id="124"/>
      <w:bookmarkEnd w:id="125"/>
    </w:p>
    <w:p w14:paraId="55023FF0">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26" w:name="_Toc27493"/>
      <w:bookmarkStart w:id="127" w:name="_Toc5758"/>
      <w:r>
        <w:rPr>
          <w:rFonts w:hint="eastAsia" w:ascii="仿宋" w:hAnsi="仿宋" w:eastAsia="仿宋" w:cs="仿宋"/>
          <w:i w:val="0"/>
          <w:iCs w:val="0"/>
          <w:color w:val="auto"/>
          <w:sz w:val="28"/>
          <w:szCs w:val="28"/>
          <w:highlight w:val="none"/>
          <w:u w:val="none"/>
          <w:shd w:val="clear" w:color="auto" w:fill="auto"/>
          <w:lang w:val="en-US" w:eastAsia="zh-CN"/>
        </w:rPr>
        <w:t>9.1甲方应对乙方进场的施工人员进行安全教育。</w:t>
      </w:r>
      <w:bookmarkEnd w:id="126"/>
      <w:bookmarkEnd w:id="127"/>
    </w:p>
    <w:p w14:paraId="345C461A">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9.2甲方不得违反《建设工程安全生产管理条例》（有更新版本则按最新版本执行）的规定要求乙方违章施工。因甲方指挥失误导致的安全事故由甲方承担相应责任和费用。</w:t>
      </w:r>
    </w:p>
    <w:p w14:paraId="4C5415C1">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9.3乙方须严格遵守《建筑施工安全检查标准》（JGJ59-2011标准，</w:t>
      </w:r>
      <w:r>
        <w:rPr>
          <w:rFonts w:hint="eastAsia" w:ascii="仿宋" w:hAnsi="仿宋" w:eastAsia="仿宋" w:cs="仿宋"/>
          <w:i w:val="0"/>
          <w:iCs w:val="0"/>
          <w:color w:val="auto"/>
          <w:sz w:val="28"/>
          <w:szCs w:val="28"/>
          <w:highlight w:val="none"/>
          <w:u w:val="none"/>
          <w:shd w:val="clear" w:color="auto" w:fill="auto"/>
          <w:lang w:val="en-US" w:eastAsia="zh-CN"/>
        </w:rPr>
        <w:t>有更新版本则按最新版本执</w:t>
      </w:r>
      <w:r>
        <w:rPr>
          <w:rFonts w:hint="eastAsia" w:ascii="仿宋" w:hAnsi="仿宋" w:eastAsia="仿宋" w:cs="仿宋"/>
          <w:color w:val="auto"/>
          <w:sz w:val="28"/>
          <w:szCs w:val="28"/>
          <w:highlight w:val="none"/>
          <w:lang w:val="en-US" w:eastAsia="zh-CN"/>
        </w:rPr>
        <w:t>）、《建设工程安全生产管理条例》（有更新版本则按最新版本执行）等地方政府相关法律法规文件及甲方针对本工程的安全生产、文明施工管理制度的规定，组织安排工人施工，消除安全隐患。乙方进场施工人员年龄必须在18至55周岁之间（政府部门有更严格要求的，从其要求），否则</w:t>
      </w:r>
      <w:r>
        <w:rPr>
          <w:rFonts w:hint="eastAsia" w:ascii="仿宋" w:hAnsi="仿宋" w:eastAsia="仿宋" w:cs="仿宋"/>
          <w:b w:val="0"/>
          <w:bCs w:val="0"/>
          <w:i w:val="0"/>
          <w:iCs w:val="0"/>
          <w:color w:val="auto"/>
          <w:sz w:val="28"/>
          <w:szCs w:val="28"/>
          <w:highlight w:val="none"/>
          <w:shd w:val="clear" w:color="auto" w:fill="auto"/>
          <w:lang w:val="en-US" w:eastAsia="zh-CN"/>
        </w:rPr>
        <w:t>按甲方要求当天退场且甲方不承担任何费用和责任</w:t>
      </w:r>
      <w:r>
        <w:rPr>
          <w:rFonts w:hint="eastAsia" w:ascii="仿宋" w:hAnsi="仿宋" w:eastAsia="仿宋" w:cs="仿宋"/>
          <w:color w:val="auto"/>
          <w:sz w:val="28"/>
          <w:szCs w:val="28"/>
          <w:highlight w:val="none"/>
          <w:lang w:val="en-US" w:eastAsia="zh-CN"/>
        </w:rPr>
        <w:t>。乙方保证甲方不承担任何因乙方原因导致的人身伤亡或财产损失所发生的一切责任，保障甲方不承担任何属于乙方及其人员引起的诉讼，控告、索赔责任及可能发生的相关费用，否则甲方的全部损失由乙方赔偿。</w:t>
      </w:r>
    </w:p>
    <w:p w14:paraId="1E7B6693">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9.4乙方施工过程中，上道工序完成与下道工序必须进行工作面交接并以书面形式确认，甲方及相关单位签字确认的“隐蔽验收表”作为工程进度款申请书及结算书的附件。</w:t>
      </w:r>
    </w:p>
    <w:p w14:paraId="76E0435F">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28" w:name="_Toc7882"/>
      <w:bookmarkStart w:id="129" w:name="_Toc18465"/>
      <w:r>
        <w:rPr>
          <w:rFonts w:hint="eastAsia" w:ascii="仿宋" w:hAnsi="仿宋" w:eastAsia="仿宋" w:cs="仿宋"/>
          <w:i w:val="0"/>
          <w:iCs w:val="0"/>
          <w:color w:val="auto"/>
          <w:sz w:val="28"/>
          <w:szCs w:val="28"/>
          <w:highlight w:val="none"/>
          <w:u w:val="none"/>
          <w:shd w:val="clear" w:color="auto" w:fill="auto"/>
          <w:lang w:val="en-US" w:eastAsia="zh-CN"/>
        </w:rPr>
        <w:t>9.5其它事项：</w:t>
      </w:r>
      <w:bookmarkEnd w:id="128"/>
      <w:bookmarkEnd w:id="129"/>
    </w:p>
    <w:p w14:paraId="3535A4D2">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9.5.1拆除时不得高空抛弃材料，必须通过机械或人工传递至地面；</w:t>
      </w:r>
    </w:p>
    <w:p w14:paraId="0FA5FC86">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9.5.2必须正确佩戴安全帽及安全带；</w:t>
      </w:r>
    </w:p>
    <w:p w14:paraId="2B9E8489">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9.5.3不许酒后上班；</w:t>
      </w:r>
    </w:p>
    <w:p w14:paraId="1ADC9454">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9.5.4不许穿拖鞋、硬底鞋上班。</w:t>
      </w:r>
    </w:p>
    <w:p w14:paraId="4491508B">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199" w:leftChars="-95"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30" w:name="_Toc12086"/>
      <w:bookmarkStart w:id="131" w:name="_Toc4623"/>
      <w:bookmarkStart w:id="132" w:name="_Toc22606"/>
      <w:r>
        <w:rPr>
          <w:rFonts w:hint="eastAsia" w:ascii="仿宋" w:hAnsi="仿宋" w:eastAsia="仿宋" w:cs="仿宋"/>
          <w:b/>
          <w:bCs/>
          <w:i w:val="0"/>
          <w:iCs w:val="0"/>
          <w:color w:val="auto"/>
          <w:sz w:val="28"/>
          <w:szCs w:val="28"/>
          <w:highlight w:val="none"/>
          <w:shd w:val="clear" w:color="auto" w:fill="auto"/>
          <w:lang w:val="en-US" w:eastAsia="zh-CN"/>
        </w:rPr>
        <w:t>第十章、甲供材料设备</w:t>
      </w:r>
      <w:bookmarkEnd w:id="130"/>
      <w:bookmarkEnd w:id="131"/>
      <w:bookmarkEnd w:id="132"/>
    </w:p>
    <w:p w14:paraId="4EC11C21">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10.1乙方领用甲供材、甲供机具都必须按甲方规定办理租用、借用、领用手续。</w:t>
      </w:r>
    </w:p>
    <w:p w14:paraId="49D88647">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10.2乙方对周转材料、建筑材料和施工机具应做到限额合理使用、工完场清，对机具负责正常保养维护。因违反操作规程造成损坏或因保管不严造成丢失的，乙方须负赔偿责任。</w:t>
      </w:r>
    </w:p>
    <w:p w14:paraId="380A14D1">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10.3本工程竣工之日起10个日历天内，乙方须到甲方仓库完成甲供材料和机具的退还手续，每延迟一日，向甲方承担违约金人民币伍佰元，且甲方有权不办理结算直至全部退还为止。</w:t>
      </w:r>
    </w:p>
    <w:p w14:paraId="226F37E3">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10.4乙方配合甲方制定本工程甲供材料和机具的需求计划，每批甲供材需求单须在领用之日的十个工作日前报至甲方项目经理审批，经甲方项目经理审批后方可到甲方仓库领取，乙方每延迟申报一日，向甲方承担违约金伍佰元且不得要求延长工期。</w:t>
      </w:r>
    </w:p>
    <w:p w14:paraId="0E9CDD2D">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1</w:t>
      </w:r>
      <w:r>
        <w:rPr>
          <w:rFonts w:hint="eastAsia" w:ascii="仿宋" w:hAnsi="仿宋" w:eastAsia="仿宋" w:cs="仿宋"/>
          <w:color w:val="auto"/>
          <w:sz w:val="28"/>
          <w:szCs w:val="28"/>
          <w:highlight w:val="none"/>
          <w:lang w:val="en-US" w:eastAsia="zh-CN"/>
        </w:rPr>
        <w:t>0</w:t>
      </w:r>
      <w:r>
        <w:rPr>
          <w:rFonts w:hint="eastAsia" w:ascii="仿宋" w:hAnsi="仿宋" w:eastAsia="仿宋" w:cs="仿宋"/>
          <w:color w:val="auto"/>
          <w:sz w:val="28"/>
          <w:szCs w:val="28"/>
          <w:highlight w:val="none"/>
          <w:lang w:eastAsia="zh-CN"/>
        </w:rPr>
        <w:t>.5乙方指定其现场负责人办理甲供材领料手续，由该负责人办理甲供材领料手续，领料流程按甲方相关管理规定执行，乙方现场负责人签署的该流程所有手续在本工程完工后作为乙方材料损耗计量和结算依据</w:t>
      </w:r>
      <w:r>
        <w:rPr>
          <w:rFonts w:hint="eastAsia" w:ascii="仿宋" w:hAnsi="仿宋" w:eastAsia="仿宋" w:cs="仿宋"/>
          <w:color w:val="auto"/>
          <w:sz w:val="28"/>
          <w:szCs w:val="28"/>
          <w:highlight w:val="none"/>
          <w:lang w:val="en-US" w:eastAsia="zh-CN"/>
        </w:rPr>
        <w:t>之一</w:t>
      </w:r>
      <w:r>
        <w:rPr>
          <w:rFonts w:hint="eastAsia" w:ascii="仿宋" w:hAnsi="仿宋" w:eastAsia="仿宋" w:cs="仿宋"/>
          <w:color w:val="auto"/>
          <w:sz w:val="28"/>
          <w:szCs w:val="28"/>
          <w:highlight w:val="none"/>
          <w:lang w:eastAsia="zh-CN"/>
        </w:rPr>
        <w:t>。</w:t>
      </w:r>
    </w:p>
    <w:p w14:paraId="7C2A038C">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10.6甲方供应的不合格材料不得用于本项目，乙方领料时有检验义务和退回不合格材料的权利。因使用甲供不合格材料造成的质量或工期延误问题，乙方负一定责任并承担费用（按不合格材料所致损失总额的10%承担费用，如实际损失超出前述数额的，乙方按实际损失赔偿甲方），不得推脱。</w:t>
      </w:r>
    </w:p>
    <w:p w14:paraId="2E29F3AF">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10.7</w:t>
      </w:r>
      <w:r>
        <w:rPr>
          <w:rFonts w:hint="eastAsia" w:ascii="仿宋" w:hAnsi="仿宋" w:eastAsia="仿宋" w:cs="仿宋"/>
          <w:i w:val="0"/>
          <w:iCs w:val="0"/>
          <w:color w:val="auto"/>
          <w:sz w:val="28"/>
          <w:szCs w:val="28"/>
          <w:highlight w:val="none"/>
          <w:shd w:val="clear" w:color="auto" w:fill="auto"/>
          <w:lang w:val="en-US" w:eastAsia="zh-CN"/>
        </w:rPr>
        <w:t>乙方在甲方领料时，以甲方出入库单为准，乙方参加验收和签收与出入库，使用甲方提供的材料、设备、机具前，有检查甲供材料、设备、机具是否合格的义务和拒绝使用不合格甲供材料、设备、机具的权利。乙方发现甲供材料、设备、机具不合格时须书面告知甲方并说明原因，如乙方未书面告知甲方而直接使用甲供材料、设备、机具，视为乙方认为该批材料、设备、机具质量合格、符合工程要求，使用该批材料、设备、机具的工程部位所发生的质量问题、工期延误及所有损失、费用，乙方均自愿承担不低于10%以上的费用。</w:t>
      </w:r>
    </w:p>
    <w:p w14:paraId="4E580919">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10.8劳保用品配置标准具体实施及费用收取标准、办法：</w:t>
      </w:r>
    </w:p>
    <w:p w14:paraId="358CA39A">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10.8.1本工程配置黄色的安全帽、荧光黄色的反光背心，款式按甲方颁布的《劳保用品配置标准及司旗款式》（V2022）制度执行。</w:t>
      </w:r>
    </w:p>
    <w:p w14:paraId="1ECA8B8B">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10.8.2甲方提供安全帽20元/顶、反光背心15元/件，按乙方实际领取数量的对应金额在结算时进行扣除。</w:t>
      </w:r>
    </w:p>
    <w:p w14:paraId="52015AD7">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199" w:leftChars="-95"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33" w:name="_Toc21107"/>
      <w:bookmarkStart w:id="134" w:name="_Toc28272"/>
      <w:bookmarkStart w:id="135" w:name="_Toc30878"/>
      <w:r>
        <w:rPr>
          <w:rFonts w:hint="eastAsia" w:ascii="仿宋" w:hAnsi="仿宋" w:eastAsia="仿宋" w:cs="仿宋"/>
          <w:b/>
          <w:bCs/>
          <w:i w:val="0"/>
          <w:iCs w:val="0"/>
          <w:color w:val="auto"/>
          <w:sz w:val="28"/>
          <w:szCs w:val="28"/>
          <w:highlight w:val="none"/>
          <w:shd w:val="clear" w:color="auto" w:fill="auto"/>
          <w:lang w:val="en-US" w:eastAsia="zh-CN"/>
        </w:rPr>
        <w:t>第十一章、验收及保修</w:t>
      </w:r>
      <w:bookmarkEnd w:id="133"/>
      <w:bookmarkEnd w:id="134"/>
      <w:bookmarkEnd w:id="135"/>
    </w:p>
    <w:p w14:paraId="56C93385">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rPr>
        <w:t>1</w:t>
      </w:r>
      <w:r>
        <w:rPr>
          <w:rFonts w:hint="eastAsia" w:ascii="仿宋" w:hAnsi="仿宋" w:eastAsia="仿宋" w:cs="仿宋"/>
          <w:b w:val="0"/>
          <w:bCs w:val="0"/>
          <w:i w:val="0"/>
          <w:iCs w:val="0"/>
          <w:color w:val="auto"/>
          <w:sz w:val="28"/>
          <w:szCs w:val="28"/>
          <w:highlight w:val="none"/>
          <w:u w:val="none"/>
          <w:shd w:val="clear" w:color="auto" w:fill="auto"/>
          <w:lang w:val="en-US" w:eastAsia="zh-CN"/>
        </w:rPr>
        <w:t>1</w:t>
      </w:r>
      <w:r>
        <w:rPr>
          <w:rFonts w:hint="eastAsia" w:ascii="仿宋" w:hAnsi="仿宋" w:eastAsia="仿宋" w:cs="仿宋"/>
          <w:b w:val="0"/>
          <w:bCs w:val="0"/>
          <w:i w:val="0"/>
          <w:iCs w:val="0"/>
          <w:color w:val="auto"/>
          <w:sz w:val="28"/>
          <w:szCs w:val="28"/>
          <w:highlight w:val="none"/>
          <w:u w:val="none"/>
          <w:shd w:val="clear" w:color="auto" w:fill="auto"/>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1</w:t>
      </w:r>
      <w:r>
        <w:rPr>
          <w:rFonts w:hint="eastAsia" w:ascii="仿宋" w:hAnsi="仿宋" w:eastAsia="仿宋" w:cs="仿宋"/>
          <w:b w:val="0"/>
          <w:bCs w:val="0"/>
          <w:i w:val="0"/>
          <w:iCs w:val="0"/>
          <w:color w:val="auto"/>
          <w:sz w:val="28"/>
          <w:szCs w:val="28"/>
          <w:highlight w:val="none"/>
          <w:u w:val="none"/>
          <w:shd w:val="clear" w:color="auto" w:fill="auto"/>
        </w:rPr>
        <w:t>保修期内，</w:t>
      </w:r>
      <w:r>
        <w:rPr>
          <w:rFonts w:hint="eastAsia" w:ascii="仿宋" w:hAnsi="仿宋" w:eastAsia="仿宋" w:cs="仿宋"/>
          <w:b w:val="0"/>
          <w:bCs w:val="0"/>
          <w:i w:val="0"/>
          <w:iCs w:val="0"/>
          <w:color w:val="auto"/>
          <w:sz w:val="28"/>
          <w:szCs w:val="28"/>
          <w:highlight w:val="none"/>
          <w:u w:val="none"/>
          <w:shd w:val="clear" w:color="auto" w:fill="auto"/>
          <w:lang w:eastAsia="zh-CN"/>
        </w:rPr>
        <w:t>本工程</w:t>
      </w:r>
      <w:r>
        <w:rPr>
          <w:rFonts w:hint="eastAsia" w:ascii="仿宋" w:hAnsi="仿宋" w:eastAsia="仿宋" w:cs="仿宋"/>
          <w:b w:val="0"/>
          <w:bCs w:val="0"/>
          <w:i w:val="0"/>
          <w:iCs w:val="0"/>
          <w:color w:val="auto"/>
          <w:sz w:val="28"/>
          <w:szCs w:val="28"/>
          <w:highlight w:val="none"/>
          <w:u w:val="none"/>
          <w:shd w:val="clear" w:color="auto" w:fill="auto"/>
        </w:rPr>
        <w:t>如因</w:t>
      </w:r>
      <w:r>
        <w:rPr>
          <w:rFonts w:hint="eastAsia" w:ascii="仿宋" w:hAnsi="仿宋" w:eastAsia="仿宋" w:cs="仿宋"/>
          <w:i w:val="0"/>
          <w:iCs w:val="0"/>
          <w:color w:val="auto"/>
          <w:sz w:val="28"/>
          <w:szCs w:val="28"/>
          <w:highlight w:val="none"/>
          <w:u w:val="none"/>
          <w:shd w:val="clear" w:color="auto" w:fill="auto"/>
        </w:rPr>
        <w:t>乙方原因出现质量问题，乙方须在接到甲方通知</w:t>
      </w:r>
      <w:r>
        <w:rPr>
          <w:rFonts w:hint="eastAsia" w:ascii="仿宋" w:hAnsi="仿宋" w:eastAsia="仿宋" w:cs="仿宋"/>
          <w:i w:val="0"/>
          <w:iCs w:val="0"/>
          <w:color w:val="auto"/>
          <w:sz w:val="28"/>
          <w:szCs w:val="28"/>
          <w:highlight w:val="none"/>
          <w:u w:val="none"/>
          <w:shd w:val="clear" w:color="auto" w:fill="auto"/>
          <w:lang w:eastAsia="zh-CN"/>
        </w:rPr>
        <w:t>起</w:t>
      </w:r>
      <w:r>
        <w:rPr>
          <w:rFonts w:hint="eastAsia" w:ascii="仿宋" w:hAnsi="仿宋" w:eastAsia="仿宋" w:cs="仿宋"/>
          <w:i w:val="0"/>
          <w:iCs w:val="0"/>
          <w:color w:val="auto"/>
          <w:sz w:val="28"/>
          <w:szCs w:val="28"/>
          <w:highlight w:val="none"/>
          <w:u w:val="none"/>
          <w:shd w:val="clear" w:color="auto" w:fill="auto"/>
        </w:rPr>
        <w:t>24小时内派人到达现场处理解决，否则甲方有权自行或委托第三方处理，乙方承担相关费用</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rPr>
        <w:t>责任</w:t>
      </w:r>
      <w:r>
        <w:rPr>
          <w:rFonts w:hint="eastAsia" w:ascii="仿宋" w:hAnsi="仿宋" w:eastAsia="仿宋" w:cs="仿宋"/>
          <w:i w:val="0"/>
          <w:iCs w:val="0"/>
          <w:color w:val="auto"/>
          <w:sz w:val="28"/>
          <w:szCs w:val="28"/>
          <w:highlight w:val="none"/>
          <w:u w:val="none"/>
          <w:shd w:val="clear" w:color="auto" w:fill="auto"/>
          <w:lang w:val="en-US" w:eastAsia="zh-CN"/>
        </w:rPr>
        <w:t>并向甲方支付</w:t>
      </w:r>
      <w:r>
        <w:rPr>
          <w:rFonts w:hint="eastAsia" w:ascii="仿宋" w:hAnsi="仿宋" w:eastAsia="仿宋" w:cs="仿宋"/>
          <w:i w:val="0"/>
          <w:iCs w:val="0"/>
          <w:color w:val="auto"/>
          <w:sz w:val="28"/>
          <w:szCs w:val="28"/>
          <w:highlight w:val="none"/>
          <w:u w:val="none"/>
          <w:shd w:val="clear" w:color="auto" w:fill="auto"/>
        </w:rPr>
        <w:t>违约金一万元/次</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rPr>
        <w:t>如发生的问题或事故系乙方导致或属于乙方保修内容，甲方所耗费用有权从乙方的</w:t>
      </w:r>
      <w:r>
        <w:rPr>
          <w:rFonts w:hint="eastAsia" w:ascii="仿宋" w:hAnsi="仿宋" w:eastAsia="仿宋" w:cs="仿宋"/>
          <w:i w:val="0"/>
          <w:iCs w:val="0"/>
          <w:color w:val="auto"/>
          <w:sz w:val="28"/>
          <w:szCs w:val="28"/>
          <w:highlight w:val="none"/>
          <w:u w:val="none"/>
          <w:shd w:val="clear" w:color="auto" w:fill="auto"/>
          <w:lang w:val="en-US" w:eastAsia="zh-CN"/>
        </w:rPr>
        <w:t>保修</w:t>
      </w:r>
      <w:r>
        <w:rPr>
          <w:rFonts w:hint="eastAsia" w:ascii="仿宋" w:hAnsi="仿宋" w:eastAsia="仿宋" w:cs="仿宋"/>
          <w:i w:val="0"/>
          <w:iCs w:val="0"/>
          <w:color w:val="auto"/>
          <w:sz w:val="28"/>
          <w:szCs w:val="28"/>
          <w:highlight w:val="none"/>
          <w:u w:val="none"/>
          <w:shd w:val="clear" w:color="auto" w:fill="auto"/>
        </w:rPr>
        <w:t>金中扣除，不足部分由乙方在甲方发出书面通知之日起10个日历天内支付</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rPr>
        <w:t>如非乙方原因所致，乙方仍应提供维修服务，但费用经双方商定后由责任方承担。</w:t>
      </w:r>
    </w:p>
    <w:p w14:paraId="63877332">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u w:val="none"/>
          <w:shd w:val="clear" w:color="auto" w:fill="auto"/>
        </w:rPr>
        <w:t>1</w:t>
      </w:r>
      <w:r>
        <w:rPr>
          <w:rFonts w:hint="eastAsia" w:ascii="仿宋" w:hAnsi="仿宋" w:eastAsia="仿宋" w:cs="仿宋"/>
          <w:i w:val="0"/>
          <w:iCs w:val="0"/>
          <w:color w:val="auto"/>
          <w:sz w:val="28"/>
          <w:szCs w:val="28"/>
          <w:highlight w:val="none"/>
          <w:u w:val="none"/>
          <w:shd w:val="clear" w:color="auto" w:fill="auto"/>
          <w:lang w:val="en-US" w:eastAsia="zh-CN"/>
        </w:rPr>
        <w:t>1</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2</w:t>
      </w:r>
      <w:r>
        <w:rPr>
          <w:rFonts w:hint="eastAsia" w:ascii="仿宋" w:hAnsi="仿宋" w:eastAsia="仿宋" w:cs="仿宋"/>
          <w:i w:val="0"/>
          <w:iCs w:val="0"/>
          <w:color w:val="auto"/>
          <w:sz w:val="28"/>
          <w:szCs w:val="28"/>
          <w:highlight w:val="none"/>
          <w:u w:val="none"/>
          <w:shd w:val="clear" w:color="auto" w:fill="auto"/>
        </w:rPr>
        <w:t xml:space="preserve"> </w:t>
      </w:r>
      <w:r>
        <w:rPr>
          <w:rFonts w:hint="eastAsia" w:ascii="仿宋" w:hAnsi="仿宋" w:eastAsia="仿宋" w:cs="仿宋"/>
          <w:i w:val="0"/>
          <w:iCs w:val="0"/>
          <w:color w:val="auto"/>
          <w:sz w:val="28"/>
          <w:szCs w:val="28"/>
          <w:highlight w:val="none"/>
          <w:shd w:val="clear" w:color="auto" w:fill="auto"/>
        </w:rPr>
        <w:t>保修期内若发生乙方原因导致的质量问题，乙方须赔偿甲方因此造成的一切损失；出现较大质量缺陷，乙方履行保修义务至验收合格后，工程</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rPr>
        <w:t>期自此时间开始顺延。</w:t>
      </w:r>
    </w:p>
    <w:p w14:paraId="378DB6A7">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rPr>
        <w:t>1</w:t>
      </w:r>
      <w:r>
        <w:rPr>
          <w:rFonts w:hint="eastAsia" w:ascii="仿宋" w:hAnsi="仿宋" w:eastAsia="仿宋" w:cs="仿宋"/>
          <w:i w:val="0"/>
          <w:iCs w:val="0"/>
          <w:color w:val="auto"/>
          <w:sz w:val="28"/>
          <w:szCs w:val="28"/>
          <w:highlight w:val="none"/>
          <w:u w:val="none"/>
          <w:shd w:val="clear" w:color="auto" w:fill="auto"/>
          <w:lang w:val="en-US" w:eastAsia="zh-CN"/>
        </w:rPr>
        <w:t>1</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3</w:t>
      </w:r>
      <w:r>
        <w:rPr>
          <w:rFonts w:hint="eastAsia" w:ascii="仿宋" w:hAnsi="仿宋" w:eastAsia="仿宋" w:cs="仿宋"/>
          <w:i w:val="0"/>
          <w:iCs w:val="0"/>
          <w:color w:val="auto"/>
          <w:sz w:val="28"/>
          <w:szCs w:val="28"/>
          <w:highlight w:val="none"/>
          <w:u w:val="none"/>
          <w:shd w:val="clear" w:color="auto" w:fill="auto"/>
        </w:rPr>
        <w:t xml:space="preserve"> 保修期</w:t>
      </w:r>
      <w:r>
        <w:rPr>
          <w:rFonts w:hint="eastAsia" w:ascii="仿宋" w:hAnsi="仿宋" w:eastAsia="仿宋" w:cs="仿宋"/>
          <w:i w:val="0"/>
          <w:iCs w:val="0"/>
          <w:color w:val="auto"/>
          <w:sz w:val="28"/>
          <w:szCs w:val="28"/>
          <w:highlight w:val="none"/>
          <w:u w:val="none"/>
          <w:shd w:val="clear" w:color="auto" w:fill="auto"/>
          <w:lang w:val="en-US" w:eastAsia="zh-CN"/>
        </w:rPr>
        <w:t>内</w:t>
      </w:r>
      <w:r>
        <w:rPr>
          <w:rFonts w:hint="eastAsia" w:ascii="仿宋" w:hAnsi="仿宋" w:eastAsia="仿宋" w:cs="仿宋"/>
          <w:i w:val="0"/>
          <w:iCs w:val="0"/>
          <w:color w:val="auto"/>
          <w:sz w:val="28"/>
          <w:szCs w:val="28"/>
          <w:highlight w:val="none"/>
          <w:u w:val="none"/>
          <w:shd w:val="clear" w:color="auto" w:fill="auto"/>
        </w:rPr>
        <w:t>，若出现质量问题需要鉴定，相关费用由乙方负责。</w:t>
      </w:r>
    </w:p>
    <w:p w14:paraId="0D49C83E">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11.4保修期届满后，由甲方工程部组织主导乙方、物业管理单位（如有）、建设单位等相关单位人员验收，验收合格后由甲方工程部出具《保修验收合格报告》作为保修金支付凭证，若验收不通过，由乙方整改后另行验收，相关费用由乙方负责。本工程整改两次才通过保修验收的，则保修期按乙方整改天数顺延，整改三次或以上验收合格的，保修期自整改验收合格之日起顺延一年。 </w:t>
      </w:r>
    </w:p>
    <w:p w14:paraId="7B16BD4C">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11.5如本工程在保修期满后发现乙方原因导致的质量问题（如乙方施工瑕疵、错误、乙供材料不合格等），乙方仍须承担修复责任，必须按甲方要求无偿修复并赔偿甲方因此遭受的损失，否则甲方有权另行安排第三方修复，同时乙方同意甲方从与乙方签订的其他合同中直接扣款用于抵扣上述修复费用和损失。甲乙双方特别约定本条款不因本合同的终止而失效。</w:t>
      </w:r>
    </w:p>
    <w:p w14:paraId="0730E181">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199" w:leftChars="-95"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36" w:name="_Toc6473"/>
      <w:bookmarkStart w:id="137" w:name="_Toc4352"/>
      <w:bookmarkStart w:id="138" w:name="_Toc3973"/>
      <w:bookmarkStart w:id="139" w:name="_Toc1279"/>
      <w:bookmarkStart w:id="140" w:name="_Toc16116"/>
      <w:bookmarkStart w:id="141" w:name="_Toc454"/>
      <w:r>
        <w:rPr>
          <w:rFonts w:hint="eastAsia" w:ascii="仿宋" w:hAnsi="仿宋" w:eastAsia="仿宋" w:cs="仿宋"/>
          <w:b/>
          <w:bCs/>
          <w:i w:val="0"/>
          <w:iCs w:val="0"/>
          <w:color w:val="auto"/>
          <w:sz w:val="28"/>
          <w:szCs w:val="28"/>
          <w:highlight w:val="none"/>
          <w:shd w:val="clear" w:color="auto" w:fill="auto"/>
          <w:lang w:val="en-US" w:eastAsia="zh-CN"/>
        </w:rPr>
        <w:t>第十二章、保险</w:t>
      </w:r>
      <w:bookmarkEnd w:id="136"/>
      <w:bookmarkEnd w:id="137"/>
      <w:bookmarkEnd w:id="138"/>
      <w:bookmarkEnd w:id="139"/>
      <w:bookmarkEnd w:id="140"/>
      <w:bookmarkEnd w:id="141"/>
    </w:p>
    <w:p w14:paraId="5FC3151F">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12.1由于不可抗力、自然灾害或意外事故等情形造成在本项目的乙方人员出险时，甲方如已办理本项目“建筑工程社会保险——工伤保险”且乙方向甲方申报工伤得到甲方确认的，乙方则须及时向甲方提交索赔资料并签订《出险声明函》（格式详见附件），同时配合保险公司调查并无条件接受保险公司的处理结果。甲方确认乙方申报的工伤仅指甲方将为乙方伤亡者申报保险，其伤亡的责任和费用由乙方承担。如本工程因乙方原因出现损失、损害或损坏，乙方须立即修复、补救及更换或维修任何受破坏或损坏之部位，同时按甲方要求清理及弃置任何残骸。</w:t>
      </w:r>
    </w:p>
    <w:p w14:paraId="7437A455">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12.2甲方未办理“建筑工程社会保险——工伤保险”时，对乙方导致的任何安全事故及工伤人员的全部安全事故，由乙方全部承担责任和费用，相关费用已包含在</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中，甲方不承担任何责任和费用。</w:t>
      </w:r>
    </w:p>
    <w:p w14:paraId="5928550A">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12.3乙方须为其属下人员、财产、现场各种施工设施、设备、材料购买保险，相关费用已含在</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中无需甲方另行支付给乙方。因各种原因导致乙方需要延长保险期所需增加的保险费由乙方自行承担，其费用已包含在</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内。乙方人员或因乙方原因造成任何事故(包括第三方人员在内)导致的损失、赔偿、补偿等责任和费用由乙方承担。</w:t>
      </w:r>
    </w:p>
    <w:p w14:paraId="0A3C21D5">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12.4甲乙双方在签订各自的保险合同时，其第三方责任险应将对方互相视为第三方。</w:t>
      </w:r>
    </w:p>
    <w:p w14:paraId="07D35D85">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12.5乙方须对本工程涉及的乙方人员购买人身意外伤害险等保险，保额不低于死亡赔偿人民币150万元/人及伤害赔偿人民币15万元/人，相关费用已含于</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中甲方无需另行支付给乙方。乙方须自保险合同生效之日起5个日历天内将保险合同复印件（加盖乙方公章）提交甲方项目部留存。</w:t>
      </w:r>
    </w:p>
    <w:p w14:paraId="7C7E51A1">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 xml:space="preserve">12.6无论甲乙任何一方有无按照本合同约定办理相关保险事宜，乙方人员或因乙方原因导致在本项目范围内发生的伤亡事故，均由乙方承担责任和费用。 </w:t>
      </w:r>
    </w:p>
    <w:p w14:paraId="5D919369">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199" w:leftChars="-95"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42" w:name="_Toc14823"/>
      <w:bookmarkStart w:id="143" w:name="_Toc30819"/>
      <w:bookmarkStart w:id="144" w:name="_Toc5657"/>
      <w:bookmarkStart w:id="145" w:name="_Toc20713"/>
      <w:bookmarkStart w:id="146" w:name="_Toc9446"/>
      <w:bookmarkStart w:id="147" w:name="_Toc7926"/>
      <w:bookmarkStart w:id="148" w:name="_Toc14887"/>
      <w:bookmarkStart w:id="149" w:name="_Toc15560"/>
      <w:bookmarkStart w:id="150" w:name="_Toc12559"/>
      <w:r>
        <w:rPr>
          <w:rFonts w:hint="eastAsia" w:ascii="仿宋" w:hAnsi="仿宋" w:eastAsia="仿宋" w:cs="仿宋"/>
          <w:b/>
          <w:bCs/>
          <w:i w:val="0"/>
          <w:iCs w:val="0"/>
          <w:color w:val="auto"/>
          <w:sz w:val="28"/>
          <w:szCs w:val="28"/>
          <w:highlight w:val="none"/>
          <w:shd w:val="clear" w:color="auto" w:fill="auto"/>
          <w:lang w:val="en-US" w:eastAsia="zh-CN"/>
        </w:rPr>
        <w:t>第十三章、奖罚条款</w:t>
      </w:r>
      <w:bookmarkEnd w:id="142"/>
      <w:bookmarkEnd w:id="143"/>
      <w:bookmarkEnd w:id="144"/>
      <w:bookmarkEnd w:id="145"/>
      <w:bookmarkEnd w:id="146"/>
      <w:bookmarkEnd w:id="147"/>
      <w:bookmarkEnd w:id="148"/>
      <w:bookmarkEnd w:id="149"/>
      <w:bookmarkEnd w:id="150"/>
    </w:p>
    <w:p w14:paraId="1FA76890">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51" w:name="_Toc21565"/>
      <w:bookmarkStart w:id="152" w:name="_Toc31201"/>
      <w:r>
        <w:rPr>
          <w:rFonts w:hint="eastAsia" w:ascii="仿宋" w:hAnsi="仿宋" w:eastAsia="仿宋" w:cs="仿宋"/>
          <w:i w:val="0"/>
          <w:iCs w:val="0"/>
          <w:color w:val="auto"/>
          <w:sz w:val="28"/>
          <w:szCs w:val="28"/>
          <w:highlight w:val="none"/>
          <w:u w:val="none"/>
          <w:shd w:val="clear" w:color="auto" w:fill="auto"/>
          <w:lang w:val="en-US" w:eastAsia="zh-CN"/>
        </w:rPr>
        <w:t>13.1奖励</w:t>
      </w:r>
      <w:bookmarkEnd w:id="151"/>
      <w:bookmarkEnd w:id="152"/>
    </w:p>
    <w:p w14:paraId="57F30A77">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如乙方施工的产品质量优质，施工进度快，安全生产、文明施工达标，作业队伍整体形象受各方好评且有下列情况之一的，甲方给予乙方一定的奖励（奖励额度按有关规定执行，最终解释权在甲方，甲方亦有权取消奖励。本条款不视为甲方对乙方作出的承诺）：</w:t>
      </w:r>
    </w:p>
    <w:p w14:paraId="22ABBC88">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13.1.1.1甲方组织的各类检查验收中，乙方组建的施工队伍被评为优质作业队伍。</w:t>
      </w:r>
    </w:p>
    <w:p w14:paraId="21878DE1">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13.1.1.2乙方负责施工的成品受到省、市有关部门表彰。</w:t>
      </w:r>
    </w:p>
    <w:p w14:paraId="26FA7C03">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13.1.1.3乙方负责施工的成品受到建设单位、监理好评。</w:t>
      </w:r>
    </w:p>
    <w:p w14:paraId="3CED799B">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13.1.1.4特定情况下，由于乙方的主观努力使甲方避免遭受巨大损失。</w:t>
      </w:r>
    </w:p>
    <w:p w14:paraId="6D7F6C9F">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13.1.1.5乙方工人安全生产、文明施工、节约用料、质量优、进度快。</w:t>
      </w:r>
    </w:p>
    <w:p w14:paraId="058E8193">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53" w:name="_Toc14079"/>
      <w:bookmarkStart w:id="154" w:name="_Toc5991"/>
      <w:r>
        <w:rPr>
          <w:rFonts w:hint="eastAsia" w:ascii="仿宋" w:hAnsi="仿宋" w:eastAsia="仿宋" w:cs="仿宋"/>
          <w:i w:val="0"/>
          <w:iCs w:val="0"/>
          <w:color w:val="auto"/>
          <w:sz w:val="28"/>
          <w:szCs w:val="28"/>
          <w:highlight w:val="none"/>
          <w:u w:val="none"/>
          <w:shd w:val="clear" w:color="auto" w:fill="auto"/>
          <w:lang w:val="en-US" w:eastAsia="zh-CN"/>
        </w:rPr>
        <w:t>13.2惩罚</w:t>
      </w:r>
      <w:bookmarkEnd w:id="153"/>
      <w:bookmarkEnd w:id="154"/>
    </w:p>
    <w:p w14:paraId="2AB64FF5">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13.2.1如乙方出现下列任一情况，甲方有权单方解除本合同，同时乙方赔偿甲方损失（包括但不限于因工期延误而使得甲方对建设单位承担的违约责任、损失赔偿责任等）：</w:t>
      </w:r>
    </w:p>
    <w:p w14:paraId="18CD7C44">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13.2.1.1乙方在质量、进度、安全、管理等方面经甲方二次警告或处罚后仍不能明显改善；</w:t>
      </w:r>
    </w:p>
    <w:p w14:paraId="4C3B8E61">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13.2.1.2乙方将本工程以各种形式转包、分包给他人；</w:t>
      </w:r>
    </w:p>
    <w:p w14:paraId="116CDD51">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13.2.1.3乙方发生偷工减料、以次充好、弄虚作假等情形。</w:t>
      </w:r>
    </w:p>
    <w:p w14:paraId="14E2C7D2">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13.2.2因下列情况导致的甲方损失均由乙方赔偿（包括但不限于因逾期完工而使得甲方对建设单位承担的违约责任、损失赔偿责任等）：</w:t>
      </w:r>
    </w:p>
    <w:p w14:paraId="12B3F201">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①因乙方施工质量事故造成的损失；</w:t>
      </w:r>
    </w:p>
    <w:p w14:paraId="3FD2B6CD">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②因乙方中途退场造成的损失；</w:t>
      </w:r>
    </w:p>
    <w:p w14:paraId="59E0929C">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③乙方发生偷工减料、以次充好、弄虚作假等情形。</w:t>
      </w:r>
    </w:p>
    <w:p w14:paraId="1D096FD8">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13.2.3因乙方导致工程质量或工期达不到合同要求或使用甲供材料用量超标的，均属乙方违约，甲方有权单方解除合同且不付款，同时乙方赔偿甲方由此造成的损失及费用。</w:t>
      </w:r>
    </w:p>
    <w:p w14:paraId="6DA35DA9">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13.2.4乙方或其人员有下列情况之一的，造成甲方损失的由乙方全额赔偿甲方，同时甲方有权对乙方采取每人或每次收取违约金壹佰元至叁万元的措施：</w:t>
      </w:r>
    </w:p>
    <w:p w14:paraId="52EB2346">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13.2.4.1隐蔽工程一次验收不合格；</w:t>
      </w:r>
    </w:p>
    <w:p w14:paraId="15B791C6">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13.2.4.2不能按甲方确定的周进度计划完成施工作业延误工期一天；</w:t>
      </w:r>
    </w:p>
    <w:p w14:paraId="1643D0DE">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13.2.4.3出现因质量、安全不满足本合同约定需整改；</w:t>
      </w:r>
    </w:p>
    <w:p w14:paraId="27F86C75">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13.2.4.4聚众赌博，影响他人休息；</w:t>
      </w:r>
    </w:p>
    <w:p w14:paraId="07E4CFF1">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13.2.4.5聚众闹事、打人、打架、偷抢行为；</w:t>
      </w:r>
    </w:p>
    <w:p w14:paraId="45D590A3">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13.2.4.6容留非本工程现场人员在本项目宿舍住宿；</w:t>
      </w:r>
    </w:p>
    <w:p w14:paraId="1A9FC5DE">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13.2.4.7不按甲方要求加班或人员不足导致延误工期一天；</w:t>
      </w:r>
    </w:p>
    <w:p w14:paraId="355B8C1D">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13.2.4.8浪费材料、损坏机具或破坏其它设施及成品；</w:t>
      </w:r>
    </w:p>
    <w:p w14:paraId="6ED6030A">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13.2.4.9在生活区存放易燃易爆物品或其它危险品；</w:t>
      </w:r>
    </w:p>
    <w:p w14:paraId="5B5C9E35">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13.2.4.10收留、聘用未成年人；（罚款的同时驱逐未成年人离开本项目）</w:t>
      </w:r>
    </w:p>
    <w:p w14:paraId="57D53045">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13.2.4.11在宿舍内做饭、使用大功率电器设备，如电磁炉、电饭煲、电热棒等。</w:t>
      </w:r>
    </w:p>
    <w:p w14:paraId="307D24E8">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13.2.5乙方或其人员有下列情况之一的，造成甲方损失的由乙方全额赔偿给甲方，同时，甲方有权对乙方采取每人或每次收取违约金壹佰元至叁万元的措施；</w:t>
      </w:r>
    </w:p>
    <w:p w14:paraId="1A4DF1F1">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13.2.5.1管理人员未经甲方同意离开工地两天以内；</w:t>
      </w:r>
    </w:p>
    <w:p w14:paraId="16CD64FB">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13.2.5.2未戴好安全帽、穿拖鞋或赤脚、赤膊进入作业区；</w:t>
      </w:r>
    </w:p>
    <w:p w14:paraId="7C112A4C">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13.2.5.3不戴工卡上岗；</w:t>
      </w:r>
    </w:p>
    <w:p w14:paraId="4DB4F87B">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13.2.5.4施工人员进场三天内不办理工作卡；</w:t>
      </w:r>
    </w:p>
    <w:p w14:paraId="287AA20C">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13.2.5.5未经甲方批准擅带家属及小孩进入施工现场或在宿舍居住；</w:t>
      </w:r>
    </w:p>
    <w:p w14:paraId="685A7F33">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13.2.5.6工棚内乱拉乱接电线，违反生活区管理制度；</w:t>
      </w:r>
    </w:p>
    <w:p w14:paraId="1D33A4B0">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13.2.5.7宿舍卫生不合格；</w:t>
      </w:r>
    </w:p>
    <w:p w14:paraId="06F6A830">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13.2.5.8材料、机具未按甲方要求堆放，建筑垃圾未按甲方要求处理，随地大小便，随意吸烟，在墙上乱涂乱画。</w:t>
      </w:r>
      <w:bookmarkStart w:id="155" w:name="_Toc6486"/>
      <w:bookmarkStart w:id="156" w:name="_Toc28593"/>
      <w:bookmarkStart w:id="157" w:name="_Toc16635"/>
    </w:p>
    <w:p w14:paraId="7D85278D">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13.2.5.9乙方人员、车辆不接受甲方门岗保卫检查。</w:t>
      </w:r>
    </w:p>
    <w:p w14:paraId="17405A44">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13.3合同履行期间，乙方无条件执行甲方与建设单位签订的</w:t>
      </w:r>
      <w:r>
        <w:rPr>
          <w:rFonts w:hint="eastAsia" w:ascii="仿宋" w:hAnsi="仿宋" w:eastAsia="仿宋" w:cs="仿宋"/>
          <w:b w:val="0"/>
          <w:bCs w:val="0"/>
          <w:color w:val="auto"/>
          <w:sz w:val="28"/>
          <w:szCs w:val="28"/>
          <w:highlight w:val="none"/>
          <w:lang w:val="en-US" w:eastAsia="zh-CN"/>
        </w:rPr>
        <w:t>施工现场管理办法等相关规章制度</w:t>
      </w:r>
      <w:r>
        <w:rPr>
          <w:rFonts w:hint="eastAsia" w:ascii="仿宋" w:hAnsi="仿宋" w:eastAsia="仿宋" w:cs="仿宋"/>
          <w:i w:val="0"/>
          <w:iCs w:val="0"/>
          <w:color w:val="auto"/>
          <w:sz w:val="28"/>
          <w:szCs w:val="28"/>
          <w:highlight w:val="none"/>
          <w:u w:val="none"/>
          <w:shd w:val="clear" w:color="auto" w:fill="auto"/>
          <w:lang w:val="en-US" w:eastAsia="zh-CN"/>
        </w:rPr>
        <w:t>，因乙方原因导致建设单位或其他部门对甲方进行处罚扣款的，乙方按该处罚金额的2倍向甲方承担违约金</w:t>
      </w:r>
      <w:r>
        <w:rPr>
          <w:rFonts w:hint="eastAsia" w:ascii="仿宋" w:hAnsi="仿宋" w:eastAsia="仿宋" w:cs="仿宋"/>
          <w:b w:val="0"/>
          <w:bCs w:val="0"/>
          <w:i w:val="0"/>
          <w:iCs w:val="0"/>
          <w:color w:val="auto"/>
          <w:sz w:val="28"/>
          <w:szCs w:val="28"/>
          <w:highlight w:val="none"/>
          <w:lang w:val="en-US" w:eastAsia="zh-CN"/>
        </w:rPr>
        <w:t>。</w:t>
      </w:r>
    </w:p>
    <w:p w14:paraId="2ADAEA2A">
      <w:pPr>
        <w:keepNext w:val="0"/>
        <w:keepLines w:val="0"/>
        <w:pageBreakBefore w:val="0"/>
        <w:widowControl w:val="0"/>
        <w:kinsoku/>
        <w:wordWrap/>
        <w:overflowPunct/>
        <w:topLinePunct w:val="0"/>
        <w:autoSpaceDE/>
        <w:autoSpaceDN/>
        <w:bidi w:val="0"/>
        <w:adjustRightInd w:val="0"/>
        <w:snapToGrid w:val="0"/>
        <w:spacing w:before="146" w:beforeLines="50" w:line="520" w:lineRule="exact"/>
        <w:ind w:left="-199" w:leftChars="-95"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58" w:name="_Toc30520"/>
      <w:bookmarkStart w:id="159" w:name="_Toc21006"/>
      <w:bookmarkStart w:id="160" w:name="_Toc8716"/>
      <w:bookmarkStart w:id="161" w:name="_Toc27799"/>
      <w:bookmarkStart w:id="162" w:name="_Toc2468"/>
      <w:bookmarkStart w:id="163" w:name="_Toc7591"/>
      <w:r>
        <w:rPr>
          <w:rFonts w:hint="eastAsia" w:ascii="仿宋" w:hAnsi="仿宋" w:eastAsia="仿宋" w:cs="仿宋"/>
          <w:b/>
          <w:bCs/>
          <w:i w:val="0"/>
          <w:iCs w:val="0"/>
          <w:color w:val="auto"/>
          <w:sz w:val="28"/>
          <w:szCs w:val="28"/>
          <w:highlight w:val="none"/>
          <w:shd w:val="clear" w:color="auto" w:fill="auto"/>
          <w:lang w:val="en-US" w:eastAsia="zh-CN"/>
        </w:rPr>
        <w:t>第十四章、违约条款</w:t>
      </w:r>
      <w:bookmarkEnd w:id="155"/>
      <w:bookmarkEnd w:id="156"/>
      <w:bookmarkEnd w:id="157"/>
      <w:bookmarkEnd w:id="158"/>
      <w:bookmarkEnd w:id="159"/>
      <w:bookmarkEnd w:id="160"/>
      <w:bookmarkEnd w:id="161"/>
      <w:bookmarkEnd w:id="162"/>
      <w:bookmarkEnd w:id="163"/>
    </w:p>
    <w:p w14:paraId="39FC7D8E">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乙方延迟开工或不能按合同约定的工期完成本工程任一节点内容的，每延迟一个日历天，乙方向甲方承担违约金人民币壹万元，延迟超过三个日历天的，甲方有权单方解除合同，已完工工程无偿归甲方，甲方无需支付合同款并有权委托其他单位继续完成本工程；乙方同时按</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的20%承担违约金并按甲方要求准时退场，每延迟一个日历天退场，乙方向甲方另行承担违约金人民币伍仟元，甲方的损失（包括但不限于因逾期而使得甲方需对建设单位承担的违约责任、损失赔偿责任等）由乙方赔偿。</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14.2乙方原因造成本工程质量达不到约定的质量标准的，乙方无条件返工至合格为止。甲方要求之日起3个日历天内，乙方仍未采取有效返工措施或未在甲方要求的期限内完成整改并通过甲方验收的，每延迟一个日历天，乙方向甲方承担违约金人民币壹万元并赔偿甲方损失（包括但不限于因逾期完工而使得甲方需对建设单位承担的违约责任、损失赔偿责任等），同时甲方有权：①单方解除合同并要求乙方期限内无条件撤场，乙方向甲方支付金额等于</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合同总价20%的违约金和赔偿甲方全部损失，已完工工程无偿归甲方，甲方无需支付合同款；②另行委托其他单位对本工程进行返修，乙方须无条件接受并配合，由此产生的一切费用乙方承担。</w:t>
      </w:r>
    </w:p>
    <w:p w14:paraId="7659D6BE">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14.3经甲方验核达不到约定质量标准的检验批（分项或分部），甲方有权对乙方按相应检验批的工程量收取金额等于</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合同总价5%的违约金，如果甲方被政府部门或建设单位处罚而需承担违约、赔偿责任或费用的，则由乙方全部承担，同时甲方保留对乙方追偿的权利。</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14.4合同履行期间，因乙方原因造成甲方或本工程或本项目被政府部门停工、整改导致扣分的，乙方按贰万元/分向甲方承担违约金（甲方可从任意合同款中扣款）。</w:t>
      </w:r>
    </w:p>
    <w:p w14:paraId="55812597">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color w:val="auto"/>
          <w:sz w:val="28"/>
          <w:szCs w:val="28"/>
          <w:highlight w:val="none"/>
          <w:lang w:val="en-US" w:eastAsia="zh-CN"/>
        </w:rPr>
        <w:t>14.5乙方及其人员、供应商不得以任何理由去政府部门上访、投诉、静坐，不得去建设单位投诉、静坐，否则视情节轻重由乙方向甲方承担违约金壹万至壹拾万元/次。</w:t>
      </w:r>
      <w:r>
        <w:rPr>
          <w:rFonts w:hint="eastAsia" w:ascii="仿宋" w:hAnsi="仿宋" w:eastAsia="仿宋" w:cs="仿宋"/>
          <w:color w:val="auto"/>
          <w:sz w:val="28"/>
          <w:szCs w:val="28"/>
          <w:highlight w:val="none"/>
          <w:lang w:val="en-US" w:eastAsia="zh-CN"/>
        </w:rPr>
        <w:br w:type="textWrapping"/>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i w:val="0"/>
          <w:iCs w:val="0"/>
          <w:color w:val="auto"/>
          <w:sz w:val="28"/>
          <w:szCs w:val="28"/>
          <w:highlight w:val="none"/>
          <w:u w:val="non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.6乙方无正当理由停工或提出不履行合同或拖延工期或不能正常开展工作连续3天以上或无力将本工程顺利开展下去的，属乙方违约，甲方有权单方解除合同，乙方按</w:t>
      </w:r>
      <w:r>
        <w:rPr>
          <w:rFonts w:hint="eastAsia" w:ascii="仿宋" w:hAnsi="仿宋" w:eastAsia="仿宋" w:cs="仿宋"/>
          <w:i w:val="0"/>
          <w:iCs w:val="0"/>
          <w:color w:val="auto"/>
          <w:kern w:val="0"/>
          <w:sz w:val="28"/>
          <w:szCs w:val="28"/>
          <w:highlight w:val="none"/>
          <w:u w:val="none"/>
          <w:shd w:val="clear" w:color="auto" w:fill="auto"/>
        </w:rPr>
        <w:sym w:font="Wingdings 2" w:char="0052"/>
      </w:r>
      <w:r>
        <w:rPr>
          <w:rFonts w:hint="eastAsia" w:ascii="仿宋" w:hAnsi="仿宋" w:eastAsia="仿宋" w:cs="仿宋"/>
          <w:b w:val="0"/>
          <w:bCs w:val="0"/>
          <w:i w:val="0"/>
          <w:iCs w:val="0"/>
          <w:color w:val="auto"/>
          <w:sz w:val="28"/>
          <w:szCs w:val="28"/>
          <w:highlight w:val="none"/>
          <w:shd w:val="clear" w:color="auto" w:fill="auto"/>
          <w:lang w:eastAsia="zh-CN"/>
        </w:rPr>
        <w:t>合同暂定总价/</w:t>
      </w:r>
      <w:r>
        <w:rPr>
          <w:rFonts w:hint="eastAsia" w:ascii="仿宋" w:hAnsi="仿宋" w:eastAsia="仿宋" w:cs="仿宋"/>
          <w:i w:val="0"/>
          <w:iCs w:val="0"/>
          <w:color w:val="auto"/>
          <w:kern w:val="0"/>
          <w:sz w:val="28"/>
          <w:szCs w:val="28"/>
          <w:highlight w:val="none"/>
          <w:u w:val="none"/>
          <w:shd w:val="clear" w:color="auto" w:fill="auto"/>
        </w:rPr>
        <w:sym w:font="Wingdings 2" w:char="00A3"/>
      </w:r>
      <w:r>
        <w:rPr>
          <w:rFonts w:hint="eastAsia" w:ascii="仿宋" w:hAnsi="仿宋" w:eastAsia="仿宋" w:cs="仿宋"/>
          <w:b w:val="0"/>
          <w:bCs w:val="0"/>
          <w:i w:val="0"/>
          <w:iCs w:val="0"/>
          <w:color w:val="auto"/>
          <w:sz w:val="28"/>
          <w:szCs w:val="28"/>
          <w:highlight w:val="none"/>
          <w:shd w:val="clear" w:color="auto" w:fill="auto"/>
          <w:lang w:eastAsia="zh-CN"/>
        </w:rPr>
        <w:t>合同总价的20%</w:t>
      </w:r>
      <w:r>
        <w:rPr>
          <w:rFonts w:hint="eastAsia" w:ascii="仿宋" w:hAnsi="仿宋" w:eastAsia="仿宋" w:cs="仿宋"/>
          <w:b w:val="0"/>
          <w:bCs w:val="0"/>
          <w:i w:val="0"/>
          <w:iCs w:val="0"/>
          <w:color w:val="auto"/>
          <w:sz w:val="28"/>
          <w:szCs w:val="28"/>
          <w:highlight w:val="none"/>
          <w:shd w:val="clear" w:color="auto" w:fill="auto"/>
          <w:lang w:val="en-US" w:eastAsia="zh-CN"/>
        </w:rPr>
        <w:t>向甲方承担</w:t>
      </w:r>
      <w:r>
        <w:rPr>
          <w:rFonts w:hint="eastAsia" w:ascii="仿宋" w:hAnsi="仿宋" w:eastAsia="仿宋" w:cs="仿宋"/>
          <w:b w:val="0"/>
          <w:bCs w:val="0"/>
          <w:i w:val="0"/>
          <w:iCs w:val="0"/>
          <w:color w:val="auto"/>
          <w:sz w:val="28"/>
          <w:szCs w:val="28"/>
          <w:highlight w:val="none"/>
          <w:shd w:val="clear" w:color="auto" w:fill="auto"/>
          <w:lang w:eastAsia="zh-CN"/>
        </w:rPr>
        <w:t>违约金，同时乙方按甲方要求限时退场</w:t>
      </w:r>
      <w:r>
        <w:rPr>
          <w:rFonts w:hint="eastAsia" w:ascii="仿宋" w:hAnsi="仿宋" w:eastAsia="仿宋" w:cs="仿宋"/>
          <w:b w:val="0"/>
          <w:bCs w:val="0"/>
          <w:i w:val="0"/>
          <w:iCs w:val="0"/>
          <w:color w:val="auto"/>
          <w:sz w:val="28"/>
          <w:szCs w:val="28"/>
          <w:highlight w:val="none"/>
          <w:shd w:val="clear" w:color="auto" w:fill="auto"/>
          <w:lang w:val="en-US" w:eastAsia="zh-CN"/>
        </w:rPr>
        <w:t>并赔偿</w:t>
      </w:r>
      <w:r>
        <w:rPr>
          <w:rFonts w:hint="eastAsia" w:ascii="仿宋" w:hAnsi="仿宋" w:eastAsia="仿宋" w:cs="仿宋"/>
          <w:b w:val="0"/>
          <w:bCs w:val="0"/>
          <w:i w:val="0"/>
          <w:iCs w:val="0"/>
          <w:color w:val="auto"/>
          <w:sz w:val="28"/>
          <w:szCs w:val="28"/>
          <w:highlight w:val="none"/>
          <w:shd w:val="clear" w:color="auto" w:fill="auto"/>
          <w:lang w:eastAsia="zh-CN"/>
        </w:rPr>
        <w:t>甲方损失。</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w:t>
      </w:r>
      <w:bookmarkStart w:id="164" w:name="_Toc10430"/>
      <w:bookmarkStart w:id="165" w:name="_Toc2734"/>
      <w:bookmarkStart w:id="166" w:name="_Toc21824"/>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.7无论乙方实际是否欠薪或欠货款，乙方人员或供应商每发起一次欠薪或欠货款纠纷，</w:t>
      </w:r>
      <w:r>
        <w:rPr>
          <w:rFonts w:hint="eastAsia" w:ascii="仿宋" w:hAnsi="仿宋" w:eastAsia="仿宋" w:cs="仿宋"/>
          <w:b w:val="0"/>
          <w:bCs w:val="0"/>
          <w:i w:val="0"/>
          <w:iCs w:val="0"/>
          <w:color w:val="auto"/>
          <w:sz w:val="28"/>
          <w:szCs w:val="28"/>
          <w:highlight w:val="none"/>
          <w:shd w:val="clear" w:color="auto" w:fill="auto"/>
          <w:lang w:val="en-US" w:eastAsia="zh-CN"/>
        </w:rPr>
        <w:t>涉及</w:t>
      </w:r>
      <w:r>
        <w:rPr>
          <w:rFonts w:hint="eastAsia" w:ascii="仿宋" w:hAnsi="仿宋" w:eastAsia="仿宋" w:cs="仿宋"/>
          <w:b w:val="0"/>
          <w:bCs w:val="0"/>
          <w:i w:val="0"/>
          <w:iCs w:val="0"/>
          <w:color w:val="auto"/>
          <w:sz w:val="28"/>
          <w:szCs w:val="28"/>
          <w:highlight w:val="none"/>
          <w:shd w:val="clear" w:color="auto" w:fill="auto"/>
          <w:lang w:eastAsia="zh-CN"/>
        </w:rPr>
        <w:t>甲方的，乙方均须向甲方支付违约金十万元/次；若因此导致媒体曝光或政府部门介入的，乙方须另向甲方支付违约金十万元/次。</w:t>
      </w:r>
    </w:p>
    <w:p w14:paraId="4AEA80DC">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.8凡乙方发生偷工减料行为，甲方视情节轻重计收乙方贰万至壹拾万元/次的违约金。</w:t>
      </w:r>
    </w:p>
    <w:p w14:paraId="7E9EFD51">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.9因乙方原因导致甲方被起诉或被处分的，乙方除赔偿甲方损失外，甲方每被起诉或处分一次，乙方向甲方</w:t>
      </w:r>
      <w:r>
        <w:rPr>
          <w:rFonts w:hint="eastAsia" w:ascii="仿宋" w:hAnsi="仿宋" w:eastAsia="仿宋" w:cs="仿宋"/>
          <w:b w:val="0"/>
          <w:bCs w:val="0"/>
          <w:i w:val="0"/>
          <w:iCs w:val="0"/>
          <w:color w:val="auto"/>
          <w:sz w:val="28"/>
          <w:szCs w:val="28"/>
          <w:highlight w:val="none"/>
          <w:shd w:val="clear" w:color="auto" w:fill="auto"/>
          <w:lang w:val="en-US" w:eastAsia="zh-CN"/>
        </w:rPr>
        <w:t>承担</w:t>
      </w:r>
      <w:r>
        <w:rPr>
          <w:rFonts w:hint="eastAsia" w:ascii="仿宋" w:hAnsi="仿宋" w:eastAsia="仿宋" w:cs="仿宋"/>
          <w:b w:val="0"/>
          <w:bCs w:val="0"/>
          <w:i w:val="0"/>
          <w:iCs w:val="0"/>
          <w:color w:val="auto"/>
          <w:sz w:val="28"/>
          <w:szCs w:val="28"/>
          <w:highlight w:val="none"/>
          <w:shd w:val="clear" w:color="auto" w:fill="auto"/>
          <w:lang w:eastAsia="zh-CN"/>
        </w:rPr>
        <w:t>五万元违约金。若因此导致甲方账</w:t>
      </w:r>
      <w:r>
        <w:rPr>
          <w:rFonts w:hint="eastAsia" w:ascii="仿宋" w:hAnsi="仿宋" w:eastAsia="仿宋" w:cs="仿宋"/>
          <w:b w:val="0"/>
          <w:bCs w:val="0"/>
          <w:i w:val="0"/>
          <w:iCs w:val="0"/>
          <w:color w:val="auto"/>
          <w:sz w:val="28"/>
          <w:szCs w:val="28"/>
          <w:highlight w:val="none"/>
          <w:shd w:val="clear" w:color="auto" w:fill="auto"/>
          <w:lang w:val="en-US" w:eastAsia="zh-CN"/>
        </w:rPr>
        <w:t>户</w:t>
      </w:r>
      <w:r>
        <w:rPr>
          <w:rFonts w:hint="eastAsia" w:ascii="仿宋" w:hAnsi="仿宋" w:eastAsia="仿宋" w:cs="仿宋"/>
          <w:b w:val="0"/>
          <w:bCs w:val="0"/>
          <w:i w:val="0"/>
          <w:iCs w:val="0"/>
          <w:color w:val="auto"/>
          <w:sz w:val="28"/>
          <w:szCs w:val="28"/>
          <w:highlight w:val="none"/>
          <w:shd w:val="clear" w:color="auto" w:fill="auto"/>
          <w:lang w:eastAsia="zh-CN"/>
        </w:rPr>
        <w:t>被冻结，乙方</w:t>
      </w:r>
      <w:r>
        <w:rPr>
          <w:rFonts w:hint="eastAsia" w:ascii="仿宋" w:hAnsi="仿宋" w:eastAsia="仿宋" w:cs="仿宋"/>
          <w:b w:val="0"/>
          <w:bCs w:val="0"/>
          <w:i w:val="0"/>
          <w:iCs w:val="0"/>
          <w:color w:val="auto"/>
          <w:sz w:val="28"/>
          <w:szCs w:val="28"/>
          <w:highlight w:val="none"/>
          <w:shd w:val="clear" w:color="auto" w:fill="auto"/>
          <w:lang w:val="en-US" w:eastAsia="zh-CN"/>
        </w:rPr>
        <w:t>另</w:t>
      </w:r>
      <w:r>
        <w:rPr>
          <w:rFonts w:hint="eastAsia" w:ascii="仿宋" w:hAnsi="仿宋" w:eastAsia="仿宋" w:cs="仿宋"/>
          <w:b w:val="0"/>
          <w:bCs w:val="0"/>
          <w:i w:val="0"/>
          <w:iCs w:val="0"/>
          <w:color w:val="auto"/>
          <w:sz w:val="28"/>
          <w:szCs w:val="28"/>
          <w:highlight w:val="none"/>
          <w:shd w:val="clear" w:color="auto" w:fill="auto"/>
          <w:lang w:eastAsia="zh-CN"/>
        </w:rPr>
        <w:t>按冻结资金总额的日千分之一向甲方支付利息；因出现此情形属乙方自身管理不当，乙方自愿</w:t>
      </w:r>
      <w:r>
        <w:rPr>
          <w:rFonts w:hint="eastAsia" w:ascii="仿宋" w:hAnsi="仿宋" w:eastAsia="仿宋" w:cs="仿宋"/>
          <w:b w:val="0"/>
          <w:bCs w:val="0"/>
          <w:i w:val="0"/>
          <w:iCs w:val="0"/>
          <w:color w:val="auto"/>
          <w:sz w:val="28"/>
          <w:szCs w:val="28"/>
          <w:highlight w:val="none"/>
          <w:shd w:val="clear" w:color="auto" w:fill="auto"/>
          <w:lang w:val="en-US" w:eastAsia="zh-CN"/>
        </w:rPr>
        <w:t>赔偿</w:t>
      </w:r>
      <w:r>
        <w:rPr>
          <w:rFonts w:hint="eastAsia" w:ascii="仿宋" w:hAnsi="仿宋" w:eastAsia="仿宋" w:cs="仿宋"/>
          <w:b w:val="0"/>
          <w:bCs w:val="0"/>
          <w:i w:val="0"/>
          <w:iCs w:val="0"/>
          <w:color w:val="auto"/>
          <w:sz w:val="28"/>
          <w:szCs w:val="28"/>
          <w:highlight w:val="none"/>
          <w:shd w:val="clear" w:color="auto" w:fill="auto"/>
          <w:lang w:eastAsia="zh-CN"/>
        </w:rPr>
        <w:t>甲方遭受的所有损失并根据账</w:t>
      </w:r>
      <w:r>
        <w:rPr>
          <w:rFonts w:hint="eastAsia" w:ascii="仿宋" w:hAnsi="仿宋" w:eastAsia="仿宋" w:cs="仿宋"/>
          <w:b w:val="0"/>
          <w:bCs w:val="0"/>
          <w:i w:val="0"/>
          <w:iCs w:val="0"/>
          <w:color w:val="auto"/>
          <w:sz w:val="28"/>
          <w:szCs w:val="28"/>
          <w:highlight w:val="none"/>
          <w:shd w:val="clear" w:color="auto" w:fill="auto"/>
          <w:lang w:val="en-US" w:eastAsia="zh-CN"/>
        </w:rPr>
        <w:t>户</w:t>
      </w:r>
      <w:r>
        <w:rPr>
          <w:rFonts w:hint="eastAsia" w:ascii="仿宋" w:hAnsi="仿宋" w:eastAsia="仿宋" w:cs="仿宋"/>
          <w:b w:val="0"/>
          <w:bCs w:val="0"/>
          <w:i w:val="0"/>
          <w:iCs w:val="0"/>
          <w:color w:val="auto"/>
          <w:sz w:val="28"/>
          <w:szCs w:val="28"/>
          <w:highlight w:val="none"/>
          <w:shd w:val="clear" w:color="auto" w:fill="auto"/>
          <w:lang w:eastAsia="zh-CN"/>
        </w:rPr>
        <w:t>被冻结次数，每次额外向甲方</w:t>
      </w:r>
      <w:r>
        <w:rPr>
          <w:rFonts w:hint="eastAsia" w:ascii="仿宋" w:hAnsi="仿宋" w:eastAsia="仿宋" w:cs="仿宋"/>
          <w:b w:val="0"/>
          <w:bCs w:val="0"/>
          <w:i w:val="0"/>
          <w:iCs w:val="0"/>
          <w:color w:val="auto"/>
          <w:sz w:val="28"/>
          <w:szCs w:val="28"/>
          <w:highlight w:val="none"/>
          <w:shd w:val="clear" w:color="auto" w:fill="auto"/>
          <w:lang w:val="en-US" w:eastAsia="zh-CN"/>
        </w:rPr>
        <w:t>承担伍</w:t>
      </w:r>
      <w:r>
        <w:rPr>
          <w:rFonts w:hint="eastAsia" w:ascii="仿宋" w:hAnsi="仿宋" w:eastAsia="仿宋" w:cs="仿宋"/>
          <w:b w:val="0"/>
          <w:bCs w:val="0"/>
          <w:i w:val="0"/>
          <w:iCs w:val="0"/>
          <w:color w:val="auto"/>
          <w:sz w:val="28"/>
          <w:szCs w:val="28"/>
          <w:highlight w:val="none"/>
          <w:shd w:val="clear" w:color="auto" w:fill="auto"/>
          <w:lang w:eastAsia="zh-CN"/>
        </w:rPr>
        <w:t>万元违约金。</w:t>
      </w:r>
    </w:p>
    <w:p w14:paraId="51A49313">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0</w:t>
      </w:r>
      <w:r>
        <w:rPr>
          <w:rFonts w:hint="eastAsia" w:ascii="仿宋" w:hAnsi="仿宋" w:eastAsia="仿宋" w:cs="仿宋"/>
          <w:b w:val="0"/>
          <w:bCs w:val="0"/>
          <w:i w:val="0"/>
          <w:iCs w:val="0"/>
          <w:color w:val="auto"/>
          <w:sz w:val="28"/>
          <w:szCs w:val="28"/>
          <w:highlight w:val="none"/>
          <w:shd w:val="clear" w:color="auto" w:fill="auto"/>
          <w:lang w:eastAsia="zh-CN"/>
        </w:rPr>
        <w:t>乙方出现上述第1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.1条~第1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9</w:t>
      </w:r>
      <w:r>
        <w:rPr>
          <w:rFonts w:hint="eastAsia" w:ascii="仿宋" w:hAnsi="仿宋" w:eastAsia="仿宋" w:cs="仿宋"/>
          <w:b w:val="0"/>
          <w:bCs w:val="0"/>
          <w:i w:val="0"/>
          <w:iCs w:val="0"/>
          <w:color w:val="auto"/>
          <w:sz w:val="28"/>
          <w:szCs w:val="28"/>
          <w:highlight w:val="none"/>
          <w:shd w:val="clear" w:color="auto" w:fill="auto"/>
          <w:lang w:eastAsia="zh-CN"/>
        </w:rPr>
        <w:t>条所述任一行为或未履行合同任一义务的，均属乙方严重违约，乙方除按上述条款承担包括但不限于以上所述的违约责任外，甲方可随时单方解除本合同，所产生的损失由乙方赔偿甲方。</w:t>
      </w:r>
    </w:p>
    <w:p w14:paraId="65DF8927">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1</w:t>
      </w:r>
      <w:r>
        <w:rPr>
          <w:rFonts w:hint="eastAsia" w:ascii="仿宋" w:hAnsi="仿宋" w:eastAsia="仿宋" w:cs="仿宋"/>
          <w:b w:val="0"/>
          <w:bCs w:val="0"/>
          <w:i w:val="0"/>
          <w:iCs w:val="0"/>
          <w:color w:val="auto"/>
          <w:sz w:val="28"/>
          <w:szCs w:val="28"/>
          <w:highlight w:val="none"/>
          <w:shd w:val="clear" w:color="auto" w:fill="auto"/>
          <w:lang w:eastAsia="zh-CN"/>
        </w:rPr>
        <w:t>因建设单位、设计变更或非甲方原因导致本合同不能履行的，甲、乙双方互不追究违约责任，按照乙方已完成且经甲方验收合格的工程量进行结算，同时双方各自承担自身损失。</w:t>
      </w:r>
    </w:p>
    <w:p w14:paraId="12CDFE24">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eastAsia" w:ascii="仿宋" w:hAnsi="仿宋" w:eastAsia="仿宋" w:cs="仿宋"/>
          <w:b w:val="0"/>
          <w:bCs w:val="0"/>
          <w:i w:val="0"/>
          <w:iCs w:val="0"/>
          <w:color w:val="auto"/>
          <w:sz w:val="28"/>
          <w:szCs w:val="28"/>
          <w:highlight w:val="none"/>
          <w:shd w:val="clear" w:color="auto" w:fill="auto"/>
          <w:lang w:eastAsia="zh-CN"/>
        </w:rPr>
        <w:t>乙方不得因停工损失向甲方索赔，同意不追究甲方在本合同履行过程中因付款延迟、停工而产生的违约责任。</w:t>
      </w:r>
    </w:p>
    <w:p w14:paraId="3DEF1ADB">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3</w:t>
      </w:r>
      <w:r>
        <w:rPr>
          <w:rFonts w:hint="eastAsia" w:ascii="仿宋" w:hAnsi="仿宋" w:eastAsia="仿宋" w:cs="仿宋"/>
          <w:b w:val="0"/>
          <w:bCs w:val="0"/>
          <w:i w:val="0"/>
          <w:iCs w:val="0"/>
          <w:color w:val="auto"/>
          <w:sz w:val="28"/>
          <w:szCs w:val="28"/>
          <w:highlight w:val="none"/>
          <w:shd w:val="clear" w:color="auto" w:fill="auto"/>
          <w:lang w:eastAsia="zh-CN"/>
        </w:rPr>
        <w:t>合同有效期内，乙方须确保自身持续具备履行合同义务的合法资质资格（尤其须符合政府主管部门的要求），否则甲方有权：①自乙方不具备合法资质、资格之日起，乙方每日向甲方支付违约金人民币</w:t>
      </w:r>
      <w:r>
        <w:rPr>
          <w:rFonts w:hint="eastAsia" w:ascii="仿宋" w:hAnsi="仿宋" w:eastAsia="仿宋" w:cs="仿宋"/>
          <w:b w:val="0"/>
          <w:bCs w:val="0"/>
          <w:i w:val="0"/>
          <w:iCs w:val="0"/>
          <w:color w:val="auto"/>
          <w:sz w:val="28"/>
          <w:szCs w:val="28"/>
          <w:highlight w:val="none"/>
          <w:shd w:val="clear" w:color="auto" w:fill="auto"/>
          <w:lang w:val="en-US" w:eastAsia="zh-CN"/>
        </w:rPr>
        <w:t>壹仟</w:t>
      </w:r>
      <w:r>
        <w:rPr>
          <w:rFonts w:hint="eastAsia" w:ascii="仿宋" w:hAnsi="仿宋" w:eastAsia="仿宋" w:cs="仿宋"/>
          <w:b w:val="0"/>
          <w:bCs w:val="0"/>
          <w:i w:val="0"/>
          <w:iCs w:val="0"/>
          <w:color w:val="auto"/>
          <w:sz w:val="28"/>
          <w:szCs w:val="28"/>
          <w:highlight w:val="none"/>
          <w:shd w:val="clear" w:color="auto" w:fill="auto"/>
          <w:lang w:eastAsia="zh-CN"/>
        </w:rPr>
        <w:t>元，直至乙方恢复相关资质、资格；②甲方单方解除合同并收回所有已付款。</w:t>
      </w:r>
    </w:p>
    <w:p w14:paraId="01B305E9">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在本合同履行过程中，可能因乙方原因造成</w:t>
      </w:r>
      <w:r>
        <w:rPr>
          <w:rFonts w:hint="eastAsia" w:ascii="仿宋" w:hAnsi="仿宋" w:eastAsia="仿宋" w:cs="仿宋"/>
          <w:b w:val="0"/>
          <w:bCs w:val="0"/>
          <w:i w:val="0"/>
          <w:iCs w:val="0"/>
          <w:color w:val="auto"/>
          <w:sz w:val="28"/>
          <w:szCs w:val="28"/>
          <w:highlight w:val="none"/>
          <w:shd w:val="clear" w:color="auto" w:fill="auto"/>
          <w:lang w:val="en-US" w:eastAsia="zh-CN"/>
        </w:rPr>
        <w:t>工程</w:t>
      </w:r>
      <w:r>
        <w:rPr>
          <w:rFonts w:hint="eastAsia" w:ascii="仿宋" w:hAnsi="仿宋" w:eastAsia="仿宋" w:cs="仿宋"/>
          <w:b w:val="0"/>
          <w:bCs w:val="0"/>
          <w:i w:val="0"/>
          <w:iCs w:val="0"/>
          <w:color w:val="auto"/>
          <w:sz w:val="28"/>
          <w:szCs w:val="28"/>
          <w:highlight w:val="none"/>
          <w:shd w:val="clear" w:color="auto" w:fill="auto"/>
          <w:lang w:eastAsia="zh-CN"/>
        </w:rPr>
        <w:t>质量、安全文明等无法满足甲方及规范要求的，乙方须提供不属于其责任的证明并得到甲方的书面认可，否则视为乙方违约，全部责任及费用和损失由乙方承担。</w:t>
      </w:r>
    </w:p>
    <w:p w14:paraId="07CC2962">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5</w:t>
      </w:r>
      <w:r>
        <w:rPr>
          <w:rFonts w:hint="eastAsia" w:ascii="仿宋" w:hAnsi="仿宋" w:eastAsia="仿宋" w:cs="仿宋"/>
          <w:b w:val="0"/>
          <w:bCs w:val="0"/>
          <w:i w:val="0"/>
          <w:iCs w:val="0"/>
          <w:color w:val="auto"/>
          <w:sz w:val="28"/>
          <w:szCs w:val="28"/>
          <w:highlight w:val="none"/>
          <w:shd w:val="clear" w:color="auto" w:fill="auto"/>
          <w:lang w:eastAsia="zh-CN"/>
        </w:rPr>
        <w:t>乙方原因造成本工程质量达不到本合同约定的质量标准或出现影响使用功能和工程结构安全，即使通过技术整改措施仍然无法达到设计要求等永久质量问题的，无论是否在保修期内，乙方须无条件返工至合格为止，并赔偿甲方因此</w:t>
      </w:r>
      <w:r>
        <w:rPr>
          <w:rFonts w:hint="eastAsia" w:ascii="仿宋" w:hAnsi="仿宋" w:eastAsia="仿宋" w:cs="仿宋"/>
          <w:b w:val="0"/>
          <w:bCs w:val="0"/>
          <w:i w:val="0"/>
          <w:iCs w:val="0"/>
          <w:color w:val="auto"/>
          <w:sz w:val="28"/>
          <w:szCs w:val="28"/>
          <w:highlight w:val="none"/>
          <w:shd w:val="clear" w:color="auto" w:fill="auto"/>
          <w:lang w:val="en-US" w:eastAsia="zh-CN"/>
        </w:rPr>
        <w:t>遭受</w:t>
      </w:r>
      <w:r>
        <w:rPr>
          <w:rFonts w:hint="eastAsia" w:ascii="仿宋" w:hAnsi="仿宋" w:eastAsia="仿宋" w:cs="仿宋"/>
          <w:b w:val="0"/>
          <w:bCs w:val="0"/>
          <w:i w:val="0"/>
          <w:iCs w:val="0"/>
          <w:color w:val="auto"/>
          <w:sz w:val="28"/>
          <w:szCs w:val="28"/>
          <w:highlight w:val="none"/>
          <w:shd w:val="clear" w:color="auto" w:fill="auto"/>
          <w:lang w:eastAsia="zh-CN"/>
        </w:rPr>
        <w:t>的一切损失。若该永久质量问题无法满足设计及合同约定质量标准，</w:t>
      </w:r>
      <w:r>
        <w:rPr>
          <w:rFonts w:hint="eastAsia" w:ascii="仿宋" w:hAnsi="仿宋" w:eastAsia="仿宋" w:cs="仿宋"/>
          <w:b w:val="0"/>
          <w:bCs w:val="0"/>
          <w:i w:val="0"/>
          <w:iCs w:val="0"/>
          <w:color w:val="auto"/>
          <w:sz w:val="28"/>
          <w:szCs w:val="28"/>
          <w:highlight w:val="none"/>
          <w:shd w:val="clear" w:color="auto" w:fill="auto"/>
          <w:lang w:val="en-US" w:eastAsia="zh-CN"/>
        </w:rPr>
        <w:t>但</w:t>
      </w:r>
      <w:r>
        <w:rPr>
          <w:rFonts w:hint="eastAsia" w:ascii="仿宋" w:hAnsi="仿宋" w:eastAsia="仿宋" w:cs="仿宋"/>
          <w:b w:val="0"/>
          <w:bCs w:val="0"/>
          <w:i w:val="0"/>
          <w:iCs w:val="0"/>
          <w:color w:val="auto"/>
          <w:sz w:val="28"/>
          <w:szCs w:val="28"/>
          <w:highlight w:val="none"/>
          <w:shd w:val="clear" w:color="auto" w:fill="auto"/>
          <w:lang w:eastAsia="zh-CN"/>
        </w:rPr>
        <w:t>甲方和建设单位接受现状质量</w:t>
      </w:r>
      <w:r>
        <w:rPr>
          <w:rFonts w:hint="eastAsia" w:ascii="仿宋" w:hAnsi="仿宋" w:eastAsia="仿宋" w:cs="仿宋"/>
          <w:b w:val="0"/>
          <w:bCs w:val="0"/>
          <w:i w:val="0"/>
          <w:iCs w:val="0"/>
          <w:color w:val="auto"/>
          <w:sz w:val="28"/>
          <w:szCs w:val="28"/>
          <w:highlight w:val="none"/>
          <w:shd w:val="clear" w:color="auto" w:fill="auto"/>
          <w:lang w:val="en-US" w:eastAsia="zh-CN"/>
        </w:rPr>
        <w:t>的</w:t>
      </w:r>
      <w:r>
        <w:rPr>
          <w:rFonts w:hint="eastAsia" w:ascii="仿宋" w:hAnsi="仿宋" w:eastAsia="仿宋" w:cs="仿宋"/>
          <w:b w:val="0"/>
          <w:bCs w:val="0"/>
          <w:i w:val="0"/>
          <w:iCs w:val="0"/>
          <w:color w:val="auto"/>
          <w:sz w:val="28"/>
          <w:szCs w:val="28"/>
          <w:highlight w:val="none"/>
          <w:shd w:val="clear" w:color="auto" w:fill="auto"/>
          <w:lang w:eastAsia="zh-CN"/>
        </w:rPr>
        <w:t>，乙方仍</w:t>
      </w:r>
      <w:r>
        <w:rPr>
          <w:rFonts w:hint="eastAsia" w:ascii="仿宋" w:hAnsi="仿宋" w:eastAsia="仿宋" w:cs="仿宋"/>
          <w:b w:val="0"/>
          <w:bCs w:val="0"/>
          <w:i w:val="0"/>
          <w:iCs w:val="0"/>
          <w:color w:val="auto"/>
          <w:sz w:val="28"/>
          <w:szCs w:val="28"/>
          <w:highlight w:val="none"/>
          <w:shd w:val="clear" w:color="auto" w:fill="auto"/>
          <w:lang w:val="en-US" w:eastAsia="zh-CN"/>
        </w:rPr>
        <w:t>须</w:t>
      </w:r>
      <w:r>
        <w:rPr>
          <w:rFonts w:hint="eastAsia" w:ascii="仿宋" w:hAnsi="仿宋" w:eastAsia="仿宋" w:cs="仿宋"/>
          <w:b w:val="0"/>
          <w:bCs w:val="0"/>
          <w:i w:val="0"/>
          <w:iCs w:val="0"/>
          <w:color w:val="auto"/>
          <w:sz w:val="28"/>
          <w:szCs w:val="28"/>
          <w:highlight w:val="none"/>
          <w:shd w:val="clear" w:color="auto" w:fill="auto"/>
          <w:lang w:eastAsia="zh-CN"/>
        </w:rPr>
        <w:t>承担违约责任，</w:t>
      </w:r>
      <w:r>
        <w:rPr>
          <w:rFonts w:hint="eastAsia" w:ascii="仿宋" w:hAnsi="仿宋" w:eastAsia="仿宋" w:cs="仿宋"/>
          <w:b w:val="0"/>
          <w:bCs w:val="0"/>
          <w:i w:val="0"/>
          <w:iCs w:val="0"/>
          <w:color w:val="auto"/>
          <w:sz w:val="28"/>
          <w:szCs w:val="28"/>
          <w:highlight w:val="none"/>
          <w:shd w:val="clear" w:color="auto" w:fill="auto"/>
          <w:lang w:val="en-US" w:eastAsia="zh-CN"/>
        </w:rPr>
        <w:t>向甲方承担</w:t>
      </w:r>
      <w:r>
        <w:rPr>
          <w:rFonts w:hint="eastAsia" w:ascii="仿宋" w:hAnsi="仿宋" w:eastAsia="仿宋" w:cs="仿宋"/>
          <w:b w:val="0"/>
          <w:bCs w:val="0"/>
          <w:i w:val="0"/>
          <w:iCs w:val="0"/>
          <w:color w:val="auto"/>
          <w:sz w:val="28"/>
          <w:szCs w:val="28"/>
          <w:highlight w:val="none"/>
          <w:shd w:val="clear" w:color="auto" w:fill="auto"/>
          <w:lang w:eastAsia="zh-CN"/>
        </w:rPr>
        <w:t>不合格部位造价20%以上的违约金，同时</w:t>
      </w:r>
      <w:r>
        <w:rPr>
          <w:rFonts w:hint="eastAsia" w:ascii="仿宋" w:hAnsi="仿宋" w:eastAsia="仿宋" w:cs="仿宋"/>
          <w:b w:val="0"/>
          <w:bCs w:val="0"/>
          <w:i w:val="0"/>
          <w:iCs w:val="0"/>
          <w:color w:val="auto"/>
          <w:sz w:val="28"/>
          <w:szCs w:val="28"/>
          <w:highlight w:val="none"/>
          <w:shd w:val="clear" w:color="auto" w:fill="auto"/>
          <w:lang w:val="en-US" w:eastAsia="zh-CN"/>
        </w:rPr>
        <w:t>承担</w:t>
      </w:r>
      <w:r>
        <w:rPr>
          <w:rFonts w:hint="eastAsia" w:ascii="仿宋" w:hAnsi="仿宋" w:eastAsia="仿宋" w:cs="仿宋"/>
          <w:b w:val="0"/>
          <w:bCs w:val="0"/>
          <w:i w:val="0"/>
          <w:iCs w:val="0"/>
          <w:color w:val="auto"/>
          <w:sz w:val="28"/>
          <w:szCs w:val="28"/>
          <w:highlight w:val="none"/>
          <w:shd w:val="clear" w:color="auto" w:fill="auto"/>
          <w:lang w:eastAsia="zh-CN"/>
        </w:rPr>
        <w:t>5000元以上的</w:t>
      </w:r>
      <w:r>
        <w:rPr>
          <w:rFonts w:hint="eastAsia" w:ascii="仿宋" w:hAnsi="仿宋" w:eastAsia="仿宋" w:cs="仿宋"/>
          <w:b w:val="0"/>
          <w:bCs w:val="0"/>
          <w:i w:val="0"/>
          <w:iCs w:val="0"/>
          <w:color w:val="auto"/>
          <w:sz w:val="28"/>
          <w:szCs w:val="28"/>
          <w:highlight w:val="none"/>
          <w:shd w:val="clear" w:color="auto" w:fill="auto"/>
          <w:lang w:val="en-US" w:eastAsia="zh-CN"/>
        </w:rPr>
        <w:t>违约金</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本条</w:t>
      </w:r>
      <w:r>
        <w:rPr>
          <w:rFonts w:hint="eastAsia" w:ascii="仿宋" w:hAnsi="仿宋" w:eastAsia="仿宋" w:cs="仿宋"/>
          <w:b w:val="0"/>
          <w:bCs w:val="0"/>
          <w:i w:val="0"/>
          <w:iCs w:val="0"/>
          <w:color w:val="auto"/>
          <w:sz w:val="28"/>
          <w:szCs w:val="28"/>
          <w:highlight w:val="none"/>
          <w:shd w:val="clear" w:color="auto" w:fill="auto"/>
          <w:lang w:eastAsia="zh-CN"/>
        </w:rPr>
        <w:t>所</w:t>
      </w:r>
      <w:r>
        <w:rPr>
          <w:rFonts w:hint="eastAsia" w:ascii="仿宋" w:hAnsi="仿宋" w:eastAsia="仿宋" w:cs="仿宋"/>
          <w:b w:val="0"/>
          <w:bCs w:val="0"/>
          <w:i w:val="0"/>
          <w:iCs w:val="0"/>
          <w:color w:val="auto"/>
          <w:sz w:val="28"/>
          <w:szCs w:val="28"/>
          <w:highlight w:val="none"/>
          <w:shd w:val="clear" w:color="auto" w:fill="auto"/>
          <w:lang w:val="en-US" w:eastAsia="zh-CN"/>
        </w:rPr>
        <w:t>述违约金，</w:t>
      </w:r>
      <w:r>
        <w:rPr>
          <w:rFonts w:hint="eastAsia" w:ascii="仿宋" w:hAnsi="仿宋" w:eastAsia="仿宋" w:cs="仿宋"/>
          <w:b w:val="0"/>
          <w:bCs w:val="0"/>
          <w:i w:val="0"/>
          <w:iCs w:val="0"/>
          <w:color w:val="auto"/>
          <w:sz w:val="28"/>
          <w:szCs w:val="28"/>
          <w:highlight w:val="none"/>
          <w:shd w:val="clear" w:color="auto" w:fill="auto"/>
          <w:lang w:eastAsia="zh-CN"/>
        </w:rPr>
        <w:t>甲方</w:t>
      </w:r>
      <w:r>
        <w:rPr>
          <w:rFonts w:hint="eastAsia" w:ascii="仿宋" w:hAnsi="仿宋" w:eastAsia="仿宋" w:cs="仿宋"/>
          <w:b w:val="0"/>
          <w:bCs w:val="0"/>
          <w:i w:val="0"/>
          <w:iCs w:val="0"/>
          <w:color w:val="auto"/>
          <w:sz w:val="28"/>
          <w:szCs w:val="28"/>
          <w:highlight w:val="none"/>
          <w:shd w:val="clear" w:color="auto" w:fill="auto"/>
          <w:lang w:val="en-US" w:eastAsia="zh-CN"/>
        </w:rPr>
        <w:t>有权自任意应付</w:t>
      </w:r>
      <w:r>
        <w:rPr>
          <w:rFonts w:hint="eastAsia" w:ascii="仿宋" w:hAnsi="仿宋" w:eastAsia="仿宋" w:cs="仿宋"/>
          <w:b w:val="0"/>
          <w:bCs w:val="0"/>
          <w:i w:val="0"/>
          <w:iCs w:val="0"/>
          <w:color w:val="auto"/>
          <w:sz w:val="28"/>
          <w:szCs w:val="28"/>
          <w:highlight w:val="none"/>
          <w:shd w:val="clear" w:color="auto" w:fill="auto"/>
          <w:lang w:eastAsia="zh-CN"/>
        </w:rPr>
        <w:t>乙方</w:t>
      </w:r>
      <w:r>
        <w:rPr>
          <w:rFonts w:hint="eastAsia" w:ascii="仿宋" w:hAnsi="仿宋" w:eastAsia="仿宋" w:cs="仿宋"/>
          <w:b w:val="0"/>
          <w:bCs w:val="0"/>
          <w:i w:val="0"/>
          <w:iCs w:val="0"/>
          <w:color w:val="auto"/>
          <w:sz w:val="28"/>
          <w:szCs w:val="28"/>
          <w:highlight w:val="none"/>
          <w:shd w:val="clear" w:color="auto" w:fill="auto"/>
          <w:lang w:val="en-US" w:eastAsia="zh-CN"/>
        </w:rPr>
        <w:t>的</w:t>
      </w:r>
      <w:r>
        <w:rPr>
          <w:rFonts w:hint="eastAsia" w:ascii="仿宋" w:hAnsi="仿宋" w:eastAsia="仿宋" w:cs="仿宋"/>
          <w:b w:val="0"/>
          <w:bCs w:val="0"/>
          <w:i w:val="0"/>
          <w:iCs w:val="0"/>
          <w:color w:val="auto"/>
          <w:sz w:val="28"/>
          <w:szCs w:val="28"/>
          <w:highlight w:val="none"/>
          <w:shd w:val="clear" w:color="auto" w:fill="auto"/>
          <w:lang w:eastAsia="zh-CN"/>
        </w:rPr>
        <w:t>款项中</w:t>
      </w:r>
      <w:r>
        <w:rPr>
          <w:rFonts w:hint="eastAsia" w:ascii="仿宋" w:hAnsi="仿宋" w:eastAsia="仿宋" w:cs="仿宋"/>
          <w:b w:val="0"/>
          <w:bCs w:val="0"/>
          <w:i w:val="0"/>
          <w:iCs w:val="0"/>
          <w:color w:val="auto"/>
          <w:sz w:val="28"/>
          <w:szCs w:val="28"/>
          <w:highlight w:val="none"/>
          <w:shd w:val="clear" w:color="auto" w:fill="auto"/>
          <w:lang w:val="en-US" w:eastAsia="zh-CN"/>
        </w:rPr>
        <w:t>直接</w:t>
      </w:r>
      <w:r>
        <w:rPr>
          <w:rFonts w:hint="eastAsia" w:ascii="仿宋" w:hAnsi="仿宋" w:eastAsia="仿宋" w:cs="仿宋"/>
          <w:b w:val="0"/>
          <w:bCs w:val="0"/>
          <w:i w:val="0"/>
          <w:iCs w:val="0"/>
          <w:color w:val="auto"/>
          <w:sz w:val="28"/>
          <w:szCs w:val="28"/>
          <w:highlight w:val="none"/>
          <w:shd w:val="clear" w:color="auto" w:fill="auto"/>
          <w:lang w:eastAsia="zh-CN"/>
        </w:rPr>
        <w:t>扣除，</w:t>
      </w:r>
      <w:r>
        <w:rPr>
          <w:rFonts w:hint="eastAsia" w:ascii="仿宋" w:hAnsi="仿宋" w:eastAsia="仿宋" w:cs="仿宋"/>
          <w:b w:val="0"/>
          <w:bCs w:val="0"/>
          <w:i w:val="0"/>
          <w:iCs w:val="0"/>
          <w:color w:val="auto"/>
          <w:sz w:val="28"/>
          <w:szCs w:val="28"/>
          <w:highlight w:val="none"/>
          <w:shd w:val="clear" w:color="auto" w:fill="auto"/>
          <w:lang w:val="en-US" w:eastAsia="zh-CN"/>
        </w:rPr>
        <w:t>应付</w:t>
      </w:r>
      <w:r>
        <w:rPr>
          <w:rFonts w:hint="eastAsia" w:ascii="仿宋" w:hAnsi="仿宋" w:eastAsia="仿宋" w:cs="仿宋"/>
          <w:b w:val="0"/>
          <w:bCs w:val="0"/>
          <w:i w:val="0"/>
          <w:iCs w:val="0"/>
          <w:color w:val="auto"/>
          <w:sz w:val="28"/>
          <w:szCs w:val="28"/>
          <w:highlight w:val="none"/>
          <w:shd w:val="clear" w:color="auto" w:fill="auto"/>
          <w:lang w:eastAsia="zh-CN"/>
        </w:rPr>
        <w:t>乙方</w:t>
      </w:r>
      <w:r>
        <w:rPr>
          <w:rFonts w:hint="eastAsia" w:ascii="仿宋" w:hAnsi="仿宋" w:eastAsia="仿宋" w:cs="仿宋"/>
          <w:b w:val="0"/>
          <w:bCs w:val="0"/>
          <w:i w:val="0"/>
          <w:iCs w:val="0"/>
          <w:color w:val="auto"/>
          <w:sz w:val="28"/>
          <w:szCs w:val="28"/>
          <w:highlight w:val="none"/>
          <w:shd w:val="clear" w:color="auto" w:fill="auto"/>
          <w:lang w:val="en-US" w:eastAsia="zh-CN"/>
        </w:rPr>
        <w:t>的</w:t>
      </w:r>
      <w:r>
        <w:rPr>
          <w:rFonts w:hint="eastAsia" w:ascii="仿宋" w:hAnsi="仿宋" w:eastAsia="仿宋" w:cs="仿宋"/>
          <w:b w:val="0"/>
          <w:bCs w:val="0"/>
          <w:i w:val="0"/>
          <w:iCs w:val="0"/>
          <w:color w:val="auto"/>
          <w:sz w:val="28"/>
          <w:szCs w:val="28"/>
          <w:highlight w:val="none"/>
          <w:shd w:val="clear" w:color="auto" w:fill="auto"/>
          <w:lang w:eastAsia="zh-CN"/>
        </w:rPr>
        <w:t>款</w:t>
      </w:r>
      <w:r>
        <w:rPr>
          <w:rFonts w:hint="eastAsia" w:ascii="仿宋" w:hAnsi="仿宋" w:eastAsia="仿宋" w:cs="仿宋"/>
          <w:b w:val="0"/>
          <w:bCs w:val="0"/>
          <w:i w:val="0"/>
          <w:iCs w:val="0"/>
          <w:color w:val="auto"/>
          <w:sz w:val="28"/>
          <w:szCs w:val="28"/>
          <w:highlight w:val="none"/>
          <w:shd w:val="clear" w:color="auto" w:fill="auto"/>
          <w:lang w:val="en-US" w:eastAsia="zh-CN"/>
        </w:rPr>
        <w:t>项</w:t>
      </w:r>
      <w:r>
        <w:rPr>
          <w:rFonts w:hint="eastAsia" w:ascii="仿宋" w:hAnsi="仿宋" w:eastAsia="仿宋" w:cs="仿宋"/>
          <w:b w:val="0"/>
          <w:bCs w:val="0"/>
          <w:i w:val="0"/>
          <w:iCs w:val="0"/>
          <w:color w:val="auto"/>
          <w:sz w:val="28"/>
          <w:szCs w:val="28"/>
          <w:highlight w:val="none"/>
          <w:shd w:val="clear" w:color="auto" w:fill="auto"/>
          <w:lang w:eastAsia="zh-CN"/>
        </w:rPr>
        <w:t>不足以赔偿甲方损失的，由乙方在甲方通知</w:t>
      </w:r>
      <w:r>
        <w:rPr>
          <w:rFonts w:hint="eastAsia" w:ascii="仿宋" w:hAnsi="仿宋" w:eastAsia="仿宋" w:cs="仿宋"/>
          <w:b w:val="0"/>
          <w:bCs w:val="0"/>
          <w:i w:val="0"/>
          <w:iCs w:val="0"/>
          <w:color w:val="auto"/>
          <w:sz w:val="28"/>
          <w:szCs w:val="28"/>
          <w:highlight w:val="none"/>
          <w:shd w:val="clear" w:color="auto" w:fill="auto"/>
          <w:lang w:val="en-US" w:eastAsia="zh-CN"/>
        </w:rPr>
        <w:t>起</w:t>
      </w:r>
      <w:r>
        <w:rPr>
          <w:rFonts w:hint="eastAsia" w:ascii="仿宋" w:hAnsi="仿宋" w:eastAsia="仿宋" w:cs="仿宋"/>
          <w:b w:val="0"/>
          <w:bCs w:val="0"/>
          <w:i w:val="0"/>
          <w:iCs w:val="0"/>
          <w:color w:val="auto"/>
          <w:sz w:val="28"/>
          <w:szCs w:val="28"/>
          <w:highlight w:val="none"/>
          <w:shd w:val="clear" w:color="auto" w:fill="auto"/>
          <w:lang w:eastAsia="zh-CN"/>
        </w:rPr>
        <w:t>5个日历天内向甲方</w:t>
      </w:r>
      <w:r>
        <w:rPr>
          <w:rFonts w:hint="eastAsia" w:ascii="仿宋" w:hAnsi="仿宋" w:eastAsia="仿宋" w:cs="仿宋"/>
          <w:b w:val="0"/>
          <w:bCs w:val="0"/>
          <w:i w:val="0"/>
          <w:iCs w:val="0"/>
          <w:color w:val="auto"/>
          <w:sz w:val="28"/>
          <w:szCs w:val="28"/>
          <w:highlight w:val="none"/>
          <w:shd w:val="clear" w:color="auto" w:fill="auto"/>
          <w:lang w:val="en-US" w:eastAsia="zh-CN"/>
        </w:rPr>
        <w:t>付清差额</w:t>
      </w:r>
      <w:r>
        <w:rPr>
          <w:rFonts w:hint="eastAsia" w:ascii="仿宋" w:hAnsi="仿宋" w:eastAsia="仿宋" w:cs="仿宋"/>
          <w:b w:val="0"/>
          <w:bCs w:val="0"/>
          <w:i w:val="0"/>
          <w:iCs w:val="0"/>
          <w:color w:val="auto"/>
          <w:sz w:val="28"/>
          <w:szCs w:val="28"/>
          <w:highlight w:val="none"/>
          <w:shd w:val="clear" w:color="auto" w:fill="auto"/>
          <w:lang w:eastAsia="zh-CN"/>
        </w:rPr>
        <w:t>。</w:t>
      </w:r>
    </w:p>
    <w:p w14:paraId="0F7D7008">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16乙方同意：</w:t>
      </w:r>
      <w:r>
        <w:rPr>
          <w:rFonts w:hint="eastAsia" w:ascii="仿宋" w:hAnsi="仿宋" w:eastAsia="仿宋" w:cs="仿宋"/>
          <w:b w:val="0"/>
          <w:bCs w:val="0"/>
          <w:i w:val="0"/>
          <w:iCs w:val="0"/>
          <w:color w:val="auto"/>
          <w:sz w:val="28"/>
          <w:szCs w:val="28"/>
          <w:highlight w:val="none"/>
          <w:shd w:val="clear" w:color="auto" w:fill="auto"/>
          <w:lang w:eastAsia="zh-CN"/>
        </w:rPr>
        <w:t>本项目如出现了可能因乙方原因导致的施工材料不合格或工程质量</w:t>
      </w:r>
      <w:r>
        <w:rPr>
          <w:rFonts w:hint="eastAsia" w:ascii="仿宋" w:hAnsi="仿宋" w:eastAsia="仿宋" w:cs="仿宋"/>
          <w:b w:val="0"/>
          <w:bCs w:val="0"/>
          <w:i w:val="0"/>
          <w:iCs w:val="0"/>
          <w:color w:val="auto"/>
          <w:sz w:val="28"/>
          <w:szCs w:val="28"/>
          <w:highlight w:val="none"/>
          <w:shd w:val="clear" w:color="auto" w:fill="auto"/>
          <w:lang w:val="en-US" w:eastAsia="zh-CN"/>
        </w:rPr>
        <w:t>不合格</w:t>
      </w:r>
      <w:r>
        <w:rPr>
          <w:rFonts w:hint="eastAsia" w:ascii="仿宋" w:hAnsi="仿宋" w:eastAsia="仿宋" w:cs="仿宋"/>
          <w:b w:val="0"/>
          <w:bCs w:val="0"/>
          <w:i w:val="0"/>
          <w:iCs w:val="0"/>
          <w:color w:val="auto"/>
          <w:sz w:val="28"/>
          <w:szCs w:val="28"/>
          <w:highlight w:val="none"/>
          <w:shd w:val="clear" w:color="auto" w:fill="auto"/>
          <w:lang w:eastAsia="zh-CN"/>
        </w:rPr>
        <w:t>，甲方有权按自行估算的最大损失金额在</w:t>
      </w:r>
      <w:r>
        <w:rPr>
          <w:rFonts w:hint="eastAsia" w:ascii="仿宋" w:hAnsi="仿宋" w:eastAsia="仿宋" w:cs="仿宋"/>
          <w:b w:val="0"/>
          <w:bCs w:val="0"/>
          <w:i w:val="0"/>
          <w:iCs w:val="0"/>
          <w:color w:val="auto"/>
          <w:sz w:val="28"/>
          <w:szCs w:val="28"/>
          <w:highlight w:val="none"/>
          <w:shd w:val="clear" w:color="auto" w:fill="auto"/>
          <w:lang w:val="en-US" w:eastAsia="zh-CN"/>
        </w:rPr>
        <w:t>甲乙双方签订的</w:t>
      </w:r>
      <w:r>
        <w:rPr>
          <w:rFonts w:hint="eastAsia" w:ascii="仿宋" w:hAnsi="仿宋" w:eastAsia="仿宋" w:cs="仿宋"/>
          <w:b w:val="0"/>
          <w:bCs w:val="0"/>
          <w:i w:val="0"/>
          <w:iCs w:val="0"/>
          <w:color w:val="auto"/>
          <w:sz w:val="28"/>
          <w:szCs w:val="28"/>
          <w:highlight w:val="none"/>
          <w:shd w:val="clear" w:color="auto" w:fill="auto"/>
          <w:lang w:eastAsia="zh-CN"/>
        </w:rPr>
        <w:t>任</w:t>
      </w:r>
      <w:r>
        <w:rPr>
          <w:rFonts w:hint="eastAsia" w:ascii="仿宋" w:hAnsi="仿宋" w:eastAsia="仿宋" w:cs="仿宋"/>
          <w:b w:val="0"/>
          <w:bCs w:val="0"/>
          <w:i w:val="0"/>
          <w:iCs w:val="0"/>
          <w:color w:val="auto"/>
          <w:sz w:val="28"/>
          <w:szCs w:val="28"/>
          <w:highlight w:val="none"/>
          <w:shd w:val="clear" w:color="auto" w:fill="auto"/>
          <w:lang w:val="en-US" w:eastAsia="zh-CN"/>
        </w:rPr>
        <w:t>意</w:t>
      </w:r>
      <w:r>
        <w:rPr>
          <w:rFonts w:hint="eastAsia" w:ascii="仿宋" w:hAnsi="仿宋" w:eastAsia="仿宋" w:cs="仿宋"/>
          <w:b w:val="0"/>
          <w:bCs w:val="0"/>
          <w:i w:val="0"/>
          <w:iCs w:val="0"/>
          <w:color w:val="auto"/>
          <w:sz w:val="28"/>
          <w:szCs w:val="28"/>
          <w:highlight w:val="none"/>
          <w:shd w:val="clear" w:color="auto" w:fill="auto"/>
          <w:lang w:eastAsia="zh-CN"/>
        </w:rPr>
        <w:t>合同应付款项中暂扣，待责任及损失金额确定后，甲方无息返还非乙方责任的暂扣金额。</w:t>
      </w:r>
    </w:p>
    <w:p w14:paraId="14086CDC">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17</w:t>
      </w:r>
      <w:r>
        <w:rPr>
          <w:rFonts w:hint="eastAsia" w:ascii="仿宋" w:hAnsi="仿宋" w:eastAsia="仿宋" w:cs="仿宋"/>
          <w:b w:val="0"/>
          <w:bCs w:val="0"/>
          <w:i w:val="0"/>
          <w:iCs w:val="0"/>
          <w:color w:val="auto"/>
          <w:sz w:val="28"/>
          <w:szCs w:val="28"/>
          <w:highlight w:val="none"/>
          <w:shd w:val="clear" w:color="auto" w:fill="auto"/>
          <w:lang w:eastAsia="zh-CN"/>
        </w:rPr>
        <w:t>乙方须对甲供材料进行质量检查，发现有质量问题或异常的材料，必须立即书面（包括但不限于微信、短信等方式）报告甲方</w:t>
      </w:r>
      <w:r>
        <w:rPr>
          <w:rFonts w:hint="eastAsia" w:ascii="仿宋" w:hAnsi="仿宋" w:eastAsia="仿宋" w:cs="仿宋"/>
          <w:b w:val="0"/>
          <w:bCs w:val="0"/>
          <w:i w:val="0"/>
          <w:iCs w:val="0"/>
          <w:color w:val="auto"/>
          <w:sz w:val="28"/>
          <w:szCs w:val="28"/>
          <w:highlight w:val="none"/>
          <w:shd w:val="clear" w:color="auto" w:fill="auto"/>
          <w:lang w:val="en-US" w:eastAsia="zh-CN"/>
        </w:rPr>
        <w:t>施工员和项目经理</w:t>
      </w:r>
      <w:r>
        <w:rPr>
          <w:rFonts w:hint="eastAsia" w:ascii="仿宋" w:hAnsi="仿宋" w:eastAsia="仿宋" w:cs="仿宋"/>
          <w:b w:val="0"/>
          <w:bCs w:val="0"/>
          <w:i w:val="0"/>
          <w:iCs w:val="0"/>
          <w:color w:val="auto"/>
          <w:sz w:val="28"/>
          <w:szCs w:val="28"/>
          <w:highlight w:val="none"/>
          <w:shd w:val="clear" w:color="auto" w:fill="auto"/>
          <w:lang w:eastAsia="zh-CN"/>
        </w:rPr>
        <w:t>，否则如乙方施工部分的甲供材料出现质量</w:t>
      </w:r>
      <w:r>
        <w:rPr>
          <w:rFonts w:hint="eastAsia" w:ascii="仿宋" w:hAnsi="仿宋" w:eastAsia="仿宋" w:cs="仿宋"/>
          <w:b w:val="0"/>
          <w:bCs w:val="0"/>
          <w:i w:val="0"/>
          <w:iCs w:val="0"/>
          <w:color w:val="auto"/>
          <w:sz w:val="28"/>
          <w:szCs w:val="28"/>
          <w:highlight w:val="none"/>
          <w:shd w:val="clear" w:color="auto" w:fill="auto"/>
          <w:lang w:val="en-US" w:eastAsia="zh-CN"/>
        </w:rPr>
        <w:t>不合格</w:t>
      </w:r>
      <w:r>
        <w:rPr>
          <w:rFonts w:hint="eastAsia" w:ascii="仿宋" w:hAnsi="仿宋" w:eastAsia="仿宋" w:cs="仿宋"/>
          <w:b w:val="0"/>
          <w:bCs w:val="0"/>
          <w:i w:val="0"/>
          <w:iCs w:val="0"/>
          <w:color w:val="auto"/>
          <w:sz w:val="28"/>
          <w:szCs w:val="28"/>
          <w:highlight w:val="none"/>
          <w:shd w:val="clear" w:color="auto" w:fill="auto"/>
          <w:lang w:eastAsia="zh-CN"/>
        </w:rPr>
        <w:t>，甲方有权扣除乙方在该施工部分的费用，如造成甲方损失，乙方须承担责任和损失。</w:t>
      </w:r>
    </w:p>
    <w:p w14:paraId="43E35D7A">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shd w:val="clear" w:color="auto" w:fill="auto"/>
          <w:lang w:eastAsia="zh-CN"/>
        </w:rPr>
        <w:t>基于</w:t>
      </w:r>
      <w:r>
        <w:rPr>
          <w:rFonts w:hint="eastAsia" w:ascii="仿宋" w:hAnsi="仿宋" w:eastAsia="仿宋" w:cs="仿宋"/>
          <w:b w:val="0"/>
          <w:bCs w:val="0"/>
          <w:i w:val="0"/>
          <w:iCs w:val="0"/>
          <w:color w:val="auto"/>
          <w:sz w:val="28"/>
          <w:szCs w:val="28"/>
          <w:highlight w:val="none"/>
          <w:shd w:val="clear" w:color="auto" w:fill="auto"/>
          <w:lang w:val="en-US" w:eastAsia="zh-CN"/>
        </w:rPr>
        <w:t>本</w:t>
      </w:r>
      <w:r>
        <w:rPr>
          <w:rFonts w:hint="eastAsia" w:ascii="仿宋" w:hAnsi="仿宋" w:eastAsia="仿宋" w:cs="仿宋"/>
          <w:b w:val="0"/>
          <w:bCs w:val="0"/>
          <w:i w:val="0"/>
          <w:iCs w:val="0"/>
          <w:color w:val="auto"/>
          <w:sz w:val="28"/>
          <w:szCs w:val="28"/>
          <w:highlight w:val="none"/>
          <w:shd w:val="clear" w:color="auto" w:fill="auto"/>
          <w:lang w:eastAsia="zh-CN"/>
        </w:rPr>
        <w:t>项目</w:t>
      </w:r>
      <w:r>
        <w:rPr>
          <w:rFonts w:hint="eastAsia" w:ascii="仿宋" w:hAnsi="仿宋" w:eastAsia="仿宋" w:cs="仿宋"/>
          <w:b w:val="0"/>
          <w:bCs w:val="0"/>
          <w:i w:val="0"/>
          <w:iCs w:val="0"/>
          <w:color w:val="auto"/>
          <w:sz w:val="28"/>
          <w:szCs w:val="28"/>
          <w:highlight w:val="none"/>
          <w:shd w:val="clear" w:color="auto" w:fill="auto"/>
          <w:lang w:val="en-US" w:eastAsia="zh-CN"/>
        </w:rPr>
        <w:t>及本工程</w:t>
      </w:r>
      <w:r>
        <w:rPr>
          <w:rFonts w:hint="eastAsia" w:ascii="仿宋" w:hAnsi="仿宋" w:eastAsia="仿宋" w:cs="仿宋"/>
          <w:b w:val="0"/>
          <w:bCs w:val="0"/>
          <w:i w:val="0"/>
          <w:iCs w:val="0"/>
          <w:color w:val="auto"/>
          <w:sz w:val="28"/>
          <w:szCs w:val="28"/>
          <w:highlight w:val="none"/>
          <w:shd w:val="clear" w:color="auto" w:fill="auto"/>
          <w:lang w:eastAsia="zh-CN"/>
        </w:rPr>
        <w:t>的特殊性，乙方已充分了解其施工责任并自愿承担相应风险，合同约定的违约金标准</w:t>
      </w:r>
      <w:r>
        <w:rPr>
          <w:rFonts w:hint="eastAsia" w:ascii="仿宋" w:hAnsi="仿宋" w:eastAsia="仿宋" w:cs="仿宋"/>
          <w:b w:val="0"/>
          <w:bCs w:val="0"/>
          <w:i w:val="0"/>
          <w:iCs w:val="0"/>
          <w:color w:val="auto"/>
          <w:sz w:val="28"/>
          <w:szCs w:val="28"/>
          <w:highlight w:val="none"/>
          <w:shd w:val="clear" w:color="auto" w:fill="auto"/>
          <w:lang w:val="en-US" w:eastAsia="zh-CN"/>
        </w:rPr>
        <w:t>系</w:t>
      </w:r>
      <w:r>
        <w:rPr>
          <w:rFonts w:hint="eastAsia" w:ascii="仿宋" w:hAnsi="仿宋" w:eastAsia="仿宋" w:cs="仿宋"/>
          <w:b w:val="0"/>
          <w:bCs w:val="0"/>
          <w:i w:val="0"/>
          <w:iCs w:val="0"/>
          <w:color w:val="auto"/>
          <w:sz w:val="28"/>
          <w:szCs w:val="28"/>
          <w:highlight w:val="none"/>
          <w:shd w:val="clear" w:color="auto" w:fill="auto"/>
          <w:lang w:eastAsia="zh-CN"/>
        </w:rPr>
        <w:t>经双方友好协商确定，乙方同意不对违约金标准提出任何主张或抗辩。</w:t>
      </w:r>
    </w:p>
    <w:p w14:paraId="5B409322">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14.19乙方必须按本合同施工图纸及甲方签发的《施工交楼标准》准确预留、预埋或开凿槽施工【包括但不限于：楼地面、屋面找平层、墙体、柱子天棚抹灰等施工前完成(甲方另行签证除外）】。禁止泥水找平或抹灰工程完成后再开凿槽、开洞，禁止进行影响工程质量及观感的工作或行为。因乙方原因造成上述情况发生的，属乙方违约，找平层、抹灰层、面层等工程恢复由甲方指定专业泥水分包单位完成，按所产生全部费用的200%（包括但不限于工期延误、材料、劳务等费用）由乙方承担，同时乙方就此违约行为按合同暂定总价的30%向甲方支付违约金，相应违约金在乙方任一合同款中扣除。</w:t>
      </w:r>
    </w:p>
    <w:p w14:paraId="37720632">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167" w:name="_Toc16038"/>
      <w:bookmarkStart w:id="168" w:name="_Toc31952"/>
      <w:bookmarkStart w:id="169" w:name="_Toc9673"/>
      <w:bookmarkStart w:id="170" w:name="_Toc18651"/>
      <w:bookmarkStart w:id="171" w:name="_Toc14983"/>
      <w:bookmarkStart w:id="172" w:name="_Toc5952"/>
      <w:r>
        <w:rPr>
          <w:rFonts w:hint="eastAsia" w:ascii="仿宋" w:hAnsi="仿宋" w:eastAsia="仿宋" w:cs="仿宋"/>
          <w:b w:val="0"/>
          <w:bCs w:val="0"/>
          <w:i w:val="0"/>
          <w:iCs w:val="0"/>
          <w:color w:val="auto"/>
          <w:sz w:val="28"/>
          <w:szCs w:val="28"/>
          <w:highlight w:val="none"/>
          <w:shd w:val="clear" w:color="auto" w:fill="auto"/>
          <w:lang w:val="en-US" w:eastAsia="zh-CN"/>
        </w:rPr>
        <w:t>第十五章、廉洁条款</w:t>
      </w:r>
      <w:bookmarkEnd w:id="164"/>
      <w:bookmarkEnd w:id="165"/>
      <w:bookmarkEnd w:id="166"/>
      <w:bookmarkEnd w:id="167"/>
      <w:bookmarkEnd w:id="168"/>
      <w:bookmarkEnd w:id="169"/>
      <w:bookmarkEnd w:id="170"/>
      <w:bookmarkEnd w:id="171"/>
      <w:bookmarkEnd w:id="172"/>
    </w:p>
    <w:p w14:paraId="19EB23CF">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15.1乙方在与甲方合作期间（包括本合同招标、签订、履行期间），不得向甲方职员提供请吃、送礼、旅游、色情服务、行贿、回扣或其他好处，如有违反，乙方每次向甲方承担金额等于</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合同暂定总价/</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合同总价10％的违约金（甲方可从任意合同款中扣款），造成甲方经济或其他损失的，乙方全额赔偿甲方。</w:t>
      </w:r>
    </w:p>
    <w:p w14:paraId="610EEFF4">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15.2甲乙双方管理人员有权拒绝执行合同以外的违法要求。甲方发现乙方向甲方人员或甲方委托的其他人员行贿或输送不正当利益的，甲方有权对乙方进行处罚并单方解除合同，对所发生的工程量/工作量不结算及不支付费用。</w:t>
      </w:r>
    </w:p>
    <w:p w14:paraId="3AE31784">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15.3 如甲方发现乙方可能存在违反廉洁条款的行为时，甲方有权暂扣违约金/争议工程款/处罚款等对应等额的合同款，直至调查完毕后根据调查结果再作处理，甲方暂不付款的行为不违约。</w:t>
      </w:r>
    </w:p>
    <w:p w14:paraId="1CA508AC">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173" w:name="_Toc10466"/>
      <w:bookmarkStart w:id="174" w:name="_Toc31778"/>
      <w:bookmarkStart w:id="175" w:name="_Toc15891"/>
      <w:r>
        <w:rPr>
          <w:rFonts w:hint="eastAsia" w:ascii="仿宋" w:hAnsi="仿宋" w:eastAsia="仿宋" w:cs="仿宋"/>
          <w:b w:val="0"/>
          <w:bCs w:val="0"/>
          <w:i w:val="0"/>
          <w:iCs w:val="0"/>
          <w:color w:val="auto"/>
          <w:sz w:val="28"/>
          <w:szCs w:val="28"/>
          <w:highlight w:val="none"/>
          <w:shd w:val="clear" w:color="auto" w:fill="auto"/>
          <w:lang w:val="en-US" w:eastAsia="zh-CN"/>
        </w:rPr>
        <w:t>第十六章、其他</w:t>
      </w:r>
      <w:bookmarkEnd w:id="173"/>
      <w:bookmarkEnd w:id="174"/>
      <w:bookmarkEnd w:id="175"/>
      <w:r>
        <w:rPr>
          <w:rFonts w:hint="eastAsia" w:ascii="仿宋" w:hAnsi="仿宋" w:eastAsia="仿宋" w:cs="仿宋"/>
          <w:b w:val="0"/>
          <w:bCs w:val="0"/>
          <w:i w:val="0"/>
          <w:iCs w:val="0"/>
          <w:color w:val="auto"/>
          <w:sz w:val="28"/>
          <w:szCs w:val="28"/>
          <w:highlight w:val="none"/>
          <w:shd w:val="clear" w:color="auto" w:fill="auto"/>
          <w:lang w:val="en-US" w:eastAsia="zh-CN"/>
        </w:rPr>
        <w:t xml:space="preserve"> </w:t>
      </w:r>
    </w:p>
    <w:p w14:paraId="6AFF424F">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16.1甲乙双方确认，甲方项目章仅供甲方项目部与乙方联系工作和确认施工技术、资料之用。乙方知悉并同意，该项目章用于以下情形时无效：</w:t>
      </w:r>
    </w:p>
    <w:p w14:paraId="2C6418B6">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①签订工程合同或工程分包合同及机械设备、周材租赁及材料采购类等合同；</w:t>
      </w:r>
    </w:p>
    <w:p w14:paraId="1FEBE0BE">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②任何类型的欠条或收据；</w:t>
      </w:r>
    </w:p>
    <w:p w14:paraId="565EACBC">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③任何形式的经济结算凭证；</w:t>
      </w:r>
    </w:p>
    <w:p w14:paraId="1A718733">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④为他人或他单位提供任何形式的担保；</w:t>
      </w:r>
    </w:p>
    <w:p w14:paraId="6D783F82">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⑤确认任何形式的包含权利义务及责任承担的文件。</w:t>
      </w:r>
    </w:p>
    <w:p w14:paraId="7D06F7FA">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16.2甲方编制的《施工交楼标准》、《常见建筑工程质量通病的标准化施工细则》、《隐蔽工程管理制度》、《分包单位施工现场签证管理制度》、《工程类单价认质认价管理制度》、《分包单位材料管理制度》、《竣工图管理制度》等甲方现行制度、规定为本合同不可分割的组成部分，与合同正文具有同等效力，乙方须照章执行。</w:t>
      </w:r>
    </w:p>
    <w:p w14:paraId="2D6D48B6">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16.3本合同执行期间，甲方制度文件及合同附件表格格式如有更新，按甲方最新版要求执行，甲方拥有最终解释权。</w:t>
      </w:r>
    </w:p>
    <w:p w14:paraId="5B7E9260">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16.4本合同除《工完场清交接单》、《甲方项目章样式》、《签证单分包说明》、《施工图纸》外，其余合同附件在办理相关手续时，乙方须加盖公章且法人代表签章。</w:t>
      </w:r>
    </w:p>
    <w:p w14:paraId="54FDD6E5">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176" w:name="_Toc10994"/>
      <w:bookmarkStart w:id="177" w:name="_Toc10212"/>
      <w:r>
        <w:rPr>
          <w:rFonts w:hint="eastAsia" w:ascii="仿宋" w:hAnsi="仿宋" w:eastAsia="仿宋" w:cs="仿宋"/>
          <w:b w:val="0"/>
          <w:bCs w:val="0"/>
          <w:i w:val="0"/>
          <w:iCs w:val="0"/>
          <w:color w:val="auto"/>
          <w:sz w:val="28"/>
          <w:szCs w:val="28"/>
          <w:highlight w:val="none"/>
          <w:shd w:val="clear" w:color="auto" w:fill="auto"/>
          <w:lang w:val="en-US" w:eastAsia="zh-CN"/>
        </w:rPr>
        <w:t>16.5本合同条款互为矛盾的，按最有利于甲方的条款执行。</w:t>
      </w:r>
      <w:bookmarkEnd w:id="176"/>
      <w:bookmarkEnd w:id="177"/>
    </w:p>
    <w:p w14:paraId="4569D019">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16.6本合同未尽事宜，须经甲乙双方协商一致后签订补充协议进行明确。补充协议与本合同具有同等法律效力。</w:t>
      </w:r>
    </w:p>
    <w:p w14:paraId="6A50AAE8">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16.7与本合同相关的争议，甲乙双方应首先友好协商解决，协商不成则由任一方提交甲方所在地的人民法院诉讼处理。甲乙双方因履行本合同的往来文件及法院送达的文书以合同签章处所列地址为有效地址，以邮寄方式送达的，通过邮政特快专递寄出第三日视为送达。</w:t>
      </w:r>
    </w:p>
    <w:p w14:paraId="42193650">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16.8乙方违反本合同约定给甲方造成损失的，须按本合同约定承担违约责任外，甲方有权直接从应付给乙方的合同款中直接扣除乙方应承担的违约金、罚款等费用，如所扣款额不足补偿甲方损失，乙方在甲方通知之日起七个日历天内补齐差额给甲方，且甲方向乙方追偿责任所产生的律师费、诉讼费、鉴定费、财产保全及相关担保费等费用由乙方全额承担。</w:t>
      </w:r>
    </w:p>
    <w:p w14:paraId="3D8238E0">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16.9本合同正文为清洁打印文本，如双方对此合同有任何修改及补充均应另行签订补充协议。合同正文中任何非打印的文字或者图形，除非经双方确认同意，否则不产生约束力。</w:t>
      </w:r>
    </w:p>
    <w:p w14:paraId="6F281A05">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16.10甲乙双方均确认已经审阅并理解本合同全部条款，且已经就条款的任何疑问得到满意解释，并确认合同条款为双方本着诚信互利的原则友好协商一致的结果，不属于任何一方的格式条款。</w:t>
      </w:r>
    </w:p>
    <w:p w14:paraId="08CF87F5">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16.11本合同一式叁份，甲方执贰份，乙方执一份，均具同等效力。</w:t>
      </w:r>
    </w:p>
    <w:p w14:paraId="75C87E00">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16.12以下文件均为合同文件有效组成部分，各文件互相解释，互为说明。当合同文件中出现不一致时，除合同另有约定外，以下排列顺序就是各合同文件的优先解释顺序：</w:t>
      </w:r>
    </w:p>
    <w:p w14:paraId="2574231E">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① 合同履行过程中，双方法人代表或授权人签字并加盖公章的本合同补充协议；</w:t>
      </w:r>
    </w:p>
    <w:p w14:paraId="05F89129">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② 本合同第一部分，合同专用条款；</w:t>
      </w:r>
    </w:p>
    <w:p w14:paraId="548858D3">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③ 本合同第二部分，合同通用条款；</w:t>
      </w:r>
    </w:p>
    <w:p w14:paraId="48054B1E">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④ 经甲方权限领导审批确认的方案及相关设计变更；</w:t>
      </w:r>
    </w:p>
    <w:p w14:paraId="128FEB97">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⑤ 本工程招标文件（含相关答疑、补充通知等）；</w:t>
      </w:r>
    </w:p>
    <w:p w14:paraId="6F45B265">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⑥ 乙方发出的、经甲方确认的本工程投标文件及相关澄清文件；</w:t>
      </w:r>
    </w:p>
    <w:p w14:paraId="42F972E1">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⑦ 本项目所在地现行的法律、法规、标准、规范。</w:t>
      </w:r>
    </w:p>
    <w:p w14:paraId="4EA29164">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16.13本合同自甲乙双方签字并加盖公章（或合同章）之日起生效，在竣工结算完毕、乙方向甲方交付竣工工程后，双方履行完合同义务、责任之日，本合同自动终止（保修条款除外）。</w:t>
      </w:r>
    </w:p>
    <w:p w14:paraId="38D785C6">
      <w:pPr>
        <w:pStyle w:val="3"/>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【以下无正文】</w:t>
      </w:r>
    </w:p>
    <w:p w14:paraId="149CD45B">
      <w:pPr>
        <w:keepNext w:val="0"/>
        <w:keepLines w:val="0"/>
        <w:pageBreakBefore w:val="0"/>
        <w:widowControl w:val="0"/>
        <w:kinsoku/>
        <w:wordWrap/>
        <w:overflowPunct/>
        <w:topLinePunct w:val="0"/>
        <w:autoSpaceDE/>
        <w:autoSpaceDN/>
        <w:bidi w:val="0"/>
        <w:adjustRightInd w:val="0"/>
        <w:snapToGrid w:val="0"/>
        <w:spacing w:line="500" w:lineRule="exact"/>
        <w:ind w:left="-197" w:leftChars="-94" w:right="0" w:rightChars="0" w:firstLine="419" w:firstLineChars="149"/>
        <w:textAlignment w:val="auto"/>
        <w:outlineLvl w:val="0"/>
        <w:rPr>
          <w:rFonts w:hint="eastAsia" w:ascii="仿宋" w:hAnsi="仿宋" w:eastAsia="仿宋" w:cs="仿宋"/>
          <w:b/>
          <w:bCs/>
          <w:color w:val="auto"/>
          <w:sz w:val="28"/>
          <w:szCs w:val="28"/>
          <w:highlight w:val="none"/>
          <w:lang w:val="en-US" w:eastAsia="zh-CN"/>
        </w:rPr>
      </w:pPr>
      <w:bookmarkStart w:id="178" w:name="_Toc7880"/>
      <w:bookmarkStart w:id="179" w:name="_Toc12795"/>
      <w:bookmarkStart w:id="180" w:name="_Toc30985"/>
      <w:bookmarkStart w:id="181" w:name="_Toc26059"/>
      <w:bookmarkStart w:id="182" w:name="_Toc4318"/>
      <w:bookmarkStart w:id="183" w:name="_Toc936"/>
      <w:bookmarkStart w:id="184" w:name="_Toc26460"/>
      <w:bookmarkStart w:id="185" w:name="_Toc14000"/>
      <w:bookmarkStart w:id="186" w:name="_Toc22736"/>
      <w:bookmarkStart w:id="187" w:name="_Toc28577"/>
      <w:bookmarkStart w:id="188" w:name="_Toc22492"/>
      <w:bookmarkStart w:id="189" w:name="_Toc32677"/>
      <w:bookmarkStart w:id="190" w:name="_Toc1666"/>
      <w:bookmarkStart w:id="191" w:name="_Toc13137"/>
      <w:bookmarkStart w:id="192" w:name="_Toc1399"/>
      <w:bookmarkStart w:id="193" w:name="_Toc23233"/>
      <w:bookmarkStart w:id="194" w:name="_Toc10798"/>
      <w:bookmarkStart w:id="195" w:name="_Toc31130"/>
      <w:bookmarkStart w:id="196" w:name="_Toc4369"/>
      <w:bookmarkStart w:id="197" w:name="_Toc7245"/>
      <w:bookmarkStart w:id="198" w:name="_Toc6457"/>
      <w:bookmarkStart w:id="199" w:name="_Toc3404"/>
      <w:bookmarkStart w:id="200" w:name="_Toc18080"/>
      <w:bookmarkStart w:id="201" w:name="_Toc26912"/>
      <w:bookmarkStart w:id="202" w:name="_Toc7014"/>
      <w:r>
        <w:rPr>
          <w:rFonts w:hint="eastAsia" w:ascii="仿宋" w:hAnsi="仿宋" w:eastAsia="仿宋" w:cs="仿宋"/>
          <w:b/>
          <w:bCs/>
          <w:color w:val="auto"/>
          <w:sz w:val="28"/>
          <w:szCs w:val="28"/>
          <w:highlight w:val="none"/>
          <w:lang w:val="en-US" w:eastAsia="zh-CN"/>
        </w:rPr>
        <w:t>合同附件：</w:t>
      </w:r>
    </w:p>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14:paraId="2389860B">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578" w:rightChars="-275" w:firstLine="501" w:firstLineChars="179"/>
        <w:textAlignment w:val="auto"/>
        <w:rPr>
          <w:rFonts w:hint="eastAsia" w:ascii="仿宋" w:hAnsi="仿宋" w:eastAsia="仿宋" w:cs="仿宋"/>
          <w:i w:val="0"/>
          <w:iCs w:val="0"/>
          <w:color w:val="auto"/>
          <w:sz w:val="28"/>
          <w:szCs w:val="28"/>
          <w:highlight w:val="none"/>
          <w:shd w:val="clear" w:color="auto" w:fill="auto"/>
          <w:lang w:val="en-US" w:eastAsia="zh-CN"/>
        </w:rPr>
      </w:pPr>
      <w:bookmarkStart w:id="203" w:name="_Toc9682"/>
      <w:r>
        <w:rPr>
          <w:rFonts w:hint="eastAsia" w:ascii="仿宋" w:hAnsi="仿宋" w:eastAsia="仿宋" w:cs="仿宋"/>
          <w:i w:val="0"/>
          <w:iCs w:val="0"/>
          <w:color w:val="auto"/>
          <w:sz w:val="28"/>
          <w:szCs w:val="28"/>
          <w:highlight w:val="none"/>
          <w:shd w:val="clear" w:color="auto" w:fill="auto"/>
          <w:lang w:val="en-US" w:eastAsia="zh-CN"/>
        </w:rPr>
        <w:t>附件一</w:t>
      </w:r>
      <w:r>
        <w:rPr>
          <w:rFonts w:hint="eastAsia" w:ascii="仿宋" w:hAnsi="仿宋" w:eastAsia="仿宋" w:cs="仿宋"/>
          <w:b w:val="0"/>
          <w:bCs w:val="0"/>
          <w:i w:val="0"/>
          <w:iCs w:val="0"/>
          <w:color w:val="auto"/>
          <w:sz w:val="28"/>
          <w:szCs w:val="28"/>
          <w:highlight w:val="none"/>
          <w:u w:val="none"/>
          <w:shd w:val="clear" w:color="auto" w:fill="auto"/>
          <w:lang w:val="en-US" w:eastAsia="zh-CN"/>
        </w:rPr>
        <w:t>《甲方</w:t>
      </w:r>
      <w:r>
        <w:rPr>
          <w:rFonts w:hint="eastAsia" w:ascii="仿宋" w:hAnsi="仿宋" w:eastAsia="仿宋" w:cs="仿宋"/>
          <w:color w:val="auto"/>
          <w:sz w:val="28"/>
          <w:szCs w:val="28"/>
          <w:highlight w:val="none"/>
          <w:lang w:val="en-US" w:eastAsia="zh-CN"/>
        </w:rPr>
        <w:t>项目章样式</w:t>
      </w:r>
      <w:r>
        <w:rPr>
          <w:rFonts w:hint="eastAsia" w:ascii="仿宋" w:hAnsi="仿宋" w:eastAsia="仿宋" w:cs="仿宋"/>
          <w:b w:val="0"/>
          <w:bCs w:val="0"/>
          <w:i w:val="0"/>
          <w:iCs w:val="0"/>
          <w:color w:val="auto"/>
          <w:sz w:val="28"/>
          <w:szCs w:val="28"/>
          <w:highlight w:val="none"/>
          <w:u w:val="none"/>
          <w:shd w:val="clear" w:color="auto" w:fill="auto"/>
          <w:lang w:val="en-US" w:eastAsia="zh-CN"/>
        </w:rPr>
        <w:t>》</w:t>
      </w:r>
      <w:r>
        <w:rPr>
          <w:rFonts w:hint="eastAsia" w:ascii="仿宋" w:hAnsi="仿宋" w:eastAsia="仿宋" w:cs="仿宋"/>
          <w:i w:val="0"/>
          <w:iCs w:val="0"/>
          <w:color w:val="auto"/>
          <w:sz w:val="28"/>
          <w:szCs w:val="28"/>
          <w:highlight w:val="none"/>
          <w:shd w:val="clear" w:color="auto" w:fill="auto"/>
          <w:lang w:val="en-US" w:eastAsia="zh-CN"/>
        </w:rPr>
        <w:t>；</w:t>
      </w:r>
    </w:p>
    <w:p w14:paraId="21CE61DE">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578" w:rightChars="-275" w:firstLine="501" w:firstLineChars="17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附件二</w:t>
      </w:r>
      <w:r>
        <w:rPr>
          <w:rFonts w:hint="eastAsia" w:ascii="仿宋" w:hAnsi="仿宋" w:eastAsia="仿宋" w:cs="仿宋"/>
          <w:b w:val="0"/>
          <w:bCs w:val="0"/>
          <w:i w:val="0"/>
          <w:iCs w:val="0"/>
          <w:color w:val="auto"/>
          <w:sz w:val="28"/>
          <w:szCs w:val="28"/>
          <w:highlight w:val="none"/>
          <w:u w:val="none"/>
          <w:shd w:val="clear" w:color="auto" w:fill="auto"/>
          <w:lang w:val="en-US" w:eastAsia="zh-CN"/>
        </w:rPr>
        <w:t>《工程结算支付证明单》格式</w:t>
      </w:r>
      <w:r>
        <w:rPr>
          <w:rFonts w:hint="eastAsia" w:ascii="仿宋" w:hAnsi="仿宋" w:eastAsia="仿宋" w:cs="仿宋"/>
          <w:i w:val="0"/>
          <w:iCs w:val="0"/>
          <w:color w:val="auto"/>
          <w:sz w:val="28"/>
          <w:szCs w:val="28"/>
          <w:highlight w:val="none"/>
          <w:shd w:val="clear" w:color="auto" w:fill="auto"/>
          <w:lang w:val="en-US" w:eastAsia="zh-CN"/>
        </w:rPr>
        <w:t>；</w:t>
      </w:r>
    </w:p>
    <w:p w14:paraId="5C824813">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578" w:rightChars="-275" w:firstLine="501" w:firstLineChars="17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附件三《工完场清交接单》</w:t>
      </w:r>
      <w:r>
        <w:rPr>
          <w:rFonts w:hint="eastAsia" w:ascii="仿宋" w:hAnsi="仿宋" w:eastAsia="仿宋" w:cs="仿宋"/>
          <w:b w:val="0"/>
          <w:bCs w:val="0"/>
          <w:i w:val="0"/>
          <w:iCs w:val="0"/>
          <w:color w:val="auto"/>
          <w:sz w:val="28"/>
          <w:szCs w:val="28"/>
          <w:highlight w:val="none"/>
          <w:u w:val="none"/>
          <w:shd w:val="clear" w:color="auto" w:fill="auto"/>
          <w:lang w:val="en-US" w:eastAsia="zh-CN"/>
        </w:rPr>
        <w:t>格式</w:t>
      </w:r>
      <w:r>
        <w:rPr>
          <w:rFonts w:hint="eastAsia" w:ascii="仿宋" w:hAnsi="仿宋" w:eastAsia="仿宋" w:cs="仿宋"/>
          <w:i w:val="0"/>
          <w:iCs w:val="0"/>
          <w:color w:val="auto"/>
          <w:sz w:val="28"/>
          <w:szCs w:val="28"/>
          <w:highlight w:val="none"/>
          <w:shd w:val="clear" w:color="auto" w:fill="auto"/>
          <w:lang w:val="en-US" w:eastAsia="zh-CN"/>
        </w:rPr>
        <w:t>；</w:t>
      </w:r>
    </w:p>
    <w:p w14:paraId="5656CFF0">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578" w:rightChars="-275" w:firstLine="501" w:firstLineChars="179"/>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附件四</w:t>
      </w:r>
      <w:r>
        <w:rPr>
          <w:rFonts w:hint="eastAsia" w:ascii="仿宋" w:hAnsi="仿宋" w:eastAsia="仿宋" w:cs="仿宋"/>
          <w:b w:val="0"/>
          <w:bCs w:val="0"/>
          <w:i w:val="0"/>
          <w:iCs w:val="0"/>
          <w:color w:val="auto"/>
          <w:sz w:val="28"/>
          <w:szCs w:val="28"/>
          <w:highlight w:val="none"/>
          <w:u w:val="none"/>
          <w:shd w:val="clear" w:color="auto" w:fill="auto"/>
          <w:lang w:val="en-US" w:eastAsia="zh-CN"/>
        </w:rPr>
        <w:t>《出险声明函》格式；</w:t>
      </w:r>
    </w:p>
    <w:p w14:paraId="4879CF84">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578" w:rightChars="-275" w:firstLine="501" w:firstLineChars="179"/>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附件五《分包签证确认单》格式；</w:t>
      </w:r>
    </w:p>
    <w:p w14:paraId="646B3CDA">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578" w:rightChars="-275" w:firstLine="501" w:firstLineChars="179"/>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附件六《工程量现场草签记录表》格式；</w:t>
      </w:r>
    </w:p>
    <w:p w14:paraId="0043FB71">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578" w:rightChars="-275" w:firstLine="501" w:firstLineChars="179"/>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附件七《分项工程/认质认价申报审批表》格式；</w:t>
      </w:r>
    </w:p>
    <w:p w14:paraId="409FAB1C">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578" w:rightChars="-275" w:firstLine="501" w:firstLineChars="17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附件八</w:t>
      </w:r>
      <w:r>
        <w:rPr>
          <w:rFonts w:hint="eastAsia" w:ascii="仿宋" w:hAnsi="仿宋" w:eastAsia="仿宋" w:cs="仿宋"/>
          <w:i w:val="0"/>
          <w:iCs w:val="0"/>
          <w:color w:val="auto"/>
          <w:sz w:val="28"/>
          <w:szCs w:val="28"/>
          <w:highlight w:val="none"/>
          <w:shd w:val="clear" w:color="auto" w:fill="auto"/>
          <w:lang w:val="en-US" w:eastAsia="zh-CN"/>
        </w:rPr>
        <w:t>《工人工资发放承诺书》格式；</w:t>
      </w:r>
    </w:p>
    <w:p w14:paraId="6F0EC78B">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578" w:rightChars="-275" w:firstLine="501" w:firstLineChars="179"/>
        <w:textAlignment w:val="auto"/>
        <w:rPr>
          <w:rFonts w:hint="default"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附件九</w:t>
      </w:r>
      <w:r>
        <w:rPr>
          <w:rFonts w:hint="eastAsia" w:ascii="仿宋" w:hAnsi="仿宋" w:eastAsia="仿宋" w:cs="仿宋"/>
          <w:b w:val="0"/>
          <w:bCs w:val="0"/>
          <w:i w:val="0"/>
          <w:iCs w:val="0"/>
          <w:color w:val="auto"/>
          <w:sz w:val="28"/>
          <w:szCs w:val="28"/>
          <w:highlight w:val="none"/>
          <w:shd w:val="clear" w:color="auto" w:fill="auto"/>
          <w:lang w:val="en-US" w:eastAsia="zh-CN"/>
        </w:rPr>
        <w:t>《建筑工人工资表》格式；</w:t>
      </w:r>
    </w:p>
    <w:p w14:paraId="68AF753F">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578" w:rightChars="-275" w:firstLine="501" w:firstLineChars="179"/>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附件十《签证单分包说明》样式；</w:t>
      </w:r>
    </w:p>
    <w:p w14:paraId="6E79531B">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578" w:rightChars="-275" w:firstLine="501" w:firstLineChars="179"/>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附件十一《</w:t>
      </w:r>
      <w:r>
        <w:rPr>
          <w:rFonts w:hint="eastAsia" w:ascii="仿宋" w:hAnsi="仿宋" w:eastAsia="仿宋" w:cs="仿宋"/>
          <w:color w:val="auto"/>
          <w:sz w:val="28"/>
          <w:szCs w:val="28"/>
          <w:highlight w:val="none"/>
          <w:lang w:val="en-US" w:eastAsia="zh-CN"/>
        </w:rPr>
        <w:t>工程结算资料目录</w:t>
      </w:r>
      <w:r>
        <w:rPr>
          <w:rFonts w:hint="eastAsia" w:ascii="仿宋" w:hAnsi="仿宋" w:eastAsia="仿宋" w:cs="仿宋"/>
          <w:b w:val="0"/>
          <w:bCs w:val="0"/>
          <w:i w:val="0"/>
          <w:iCs w:val="0"/>
          <w:color w:val="auto"/>
          <w:sz w:val="28"/>
          <w:szCs w:val="28"/>
          <w:highlight w:val="none"/>
          <w:u w:val="none"/>
          <w:shd w:val="clear" w:color="auto" w:fill="auto"/>
          <w:lang w:val="en-US" w:eastAsia="zh-CN"/>
        </w:rPr>
        <w:t>》格式</w:t>
      </w:r>
      <w:r>
        <w:rPr>
          <w:rFonts w:hint="eastAsia" w:ascii="仿宋" w:hAnsi="仿宋" w:eastAsia="仿宋" w:cs="仿宋"/>
          <w:i w:val="0"/>
          <w:iCs w:val="0"/>
          <w:color w:val="auto"/>
          <w:sz w:val="28"/>
          <w:szCs w:val="28"/>
          <w:highlight w:val="none"/>
          <w:shd w:val="clear" w:color="auto" w:fill="auto"/>
          <w:lang w:val="en-US" w:eastAsia="zh-CN"/>
        </w:rPr>
        <w:t>；</w:t>
      </w:r>
    </w:p>
    <w:p w14:paraId="753897A0">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578" w:rightChars="-275" w:firstLine="501" w:firstLineChars="179"/>
        <w:textAlignment w:val="auto"/>
        <w:rPr>
          <w:rFonts w:hint="default"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附件十二</w:t>
      </w:r>
      <w:r>
        <w:rPr>
          <w:rFonts w:hint="eastAsia" w:ascii="仿宋" w:hAnsi="仿宋" w:eastAsia="仿宋" w:cs="仿宋"/>
          <w:color w:val="auto"/>
          <w:sz w:val="28"/>
          <w:szCs w:val="28"/>
          <w:highlight w:val="none"/>
          <w:lang w:val="en-US" w:eastAsia="zh-CN"/>
        </w:rPr>
        <w:t>《分包单位开工令》格式</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14:paraId="61A16A58">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578" w:rightChars="-275" w:firstLine="501" w:firstLineChars="179"/>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附件十三</w:t>
      </w:r>
      <w:r>
        <w:rPr>
          <w:rFonts w:hint="eastAsia" w:ascii="仿宋" w:hAnsi="仿宋" w:eastAsia="仿宋" w:cs="仿宋"/>
          <w:i w:val="0"/>
          <w:iCs w:val="0"/>
          <w:color w:val="auto"/>
          <w:sz w:val="28"/>
          <w:szCs w:val="28"/>
          <w:highlight w:val="none"/>
          <w:shd w:val="clear" w:color="auto" w:fill="auto"/>
          <w:lang w:val="en-US" w:eastAsia="zh-CN"/>
        </w:rPr>
        <w:t>《报价清单》</w:t>
      </w:r>
      <w:r>
        <w:rPr>
          <w:rFonts w:hint="eastAsia" w:ascii="仿宋" w:hAnsi="仿宋" w:eastAsia="仿宋" w:cs="仿宋"/>
          <w:color w:val="auto"/>
          <w:sz w:val="28"/>
          <w:szCs w:val="28"/>
          <w:highlight w:val="none"/>
          <w:lang w:val="en-US" w:eastAsia="zh-CN"/>
        </w:rPr>
        <w:t>；</w:t>
      </w:r>
    </w:p>
    <w:p w14:paraId="299CD1A9">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578" w:rightChars="-275" w:firstLine="501" w:firstLineChars="179"/>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附件十四《乙方资质文件》；</w:t>
      </w:r>
    </w:p>
    <w:p w14:paraId="351D81C2">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578" w:rightChars="-275" w:firstLine="501" w:firstLineChars="179"/>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附件十五《施工图纸目录》；</w:t>
      </w:r>
    </w:p>
    <w:p w14:paraId="61D95E6F">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197" w:leftChars="-94" w:right="-578" w:rightChars="-275" w:firstLine="501" w:firstLineChars="179"/>
        <w:textAlignment w:val="auto"/>
        <w:rPr>
          <w:rFonts w:hint="default"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FF0000"/>
          <w:sz w:val="28"/>
          <w:szCs w:val="28"/>
          <w:highlight w:val="none"/>
          <w:u w:val="none"/>
          <w:shd w:val="clear" w:color="auto" w:fill="auto"/>
          <w:lang w:val="en-US" w:eastAsia="zh-CN"/>
        </w:rPr>
        <w:t>附件十六</w:t>
      </w:r>
      <w:r>
        <w:rPr>
          <w:rFonts w:hint="eastAsia" w:ascii="宋体" w:hAnsi="宋体" w:cs="宋体"/>
          <w:color w:val="FF0000"/>
          <w:kern w:val="2"/>
          <w:sz w:val="24"/>
          <w:lang w:val="en-US" w:eastAsia="zh-CN"/>
        </w:rPr>
        <w:t>《土方工程专项施工方案》</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14:paraId="570052F0">
      <w:pPr>
        <w:pStyle w:val="14"/>
        <w:rPr>
          <w:rFonts w:hint="eastAsia" w:ascii="仿宋" w:hAnsi="仿宋" w:eastAsia="仿宋" w:cs="仿宋"/>
          <w:b/>
          <w:bCs w:val="0"/>
          <w:color w:val="auto"/>
          <w:sz w:val="40"/>
          <w:szCs w:val="40"/>
          <w:highlight w:val="none"/>
          <w:shd w:val="clear" w:color="auto" w:fill="auto"/>
          <w:lang w:val="en-US" w:eastAsia="zh-CN"/>
        </w:rPr>
      </w:pPr>
    </w:p>
    <w:p w14:paraId="644C2BB8">
      <w:pPr>
        <w:pStyle w:val="14"/>
        <w:rPr>
          <w:rFonts w:hint="eastAsia" w:ascii="仿宋" w:hAnsi="仿宋" w:eastAsia="仿宋" w:cs="仿宋"/>
          <w:b/>
          <w:bCs w:val="0"/>
          <w:color w:val="auto"/>
          <w:sz w:val="40"/>
          <w:szCs w:val="40"/>
          <w:highlight w:val="none"/>
          <w:shd w:val="clear" w:color="auto" w:fill="auto"/>
          <w:lang w:val="en-US" w:eastAsia="zh-CN"/>
        </w:rPr>
      </w:pPr>
    </w:p>
    <w:p w14:paraId="79A04344">
      <w:pPr>
        <w:pStyle w:val="14"/>
        <w:rPr>
          <w:rFonts w:hint="eastAsia" w:ascii="仿宋" w:hAnsi="仿宋" w:eastAsia="仿宋" w:cs="仿宋"/>
          <w:b/>
          <w:bCs w:val="0"/>
          <w:color w:val="auto"/>
          <w:sz w:val="40"/>
          <w:szCs w:val="40"/>
          <w:highlight w:val="none"/>
          <w:shd w:val="clear" w:color="auto" w:fill="auto"/>
          <w:lang w:val="en-US" w:eastAsia="zh-CN"/>
        </w:rPr>
      </w:pPr>
    </w:p>
    <w:p w14:paraId="4C43437B">
      <w:pPr>
        <w:pStyle w:val="14"/>
        <w:rPr>
          <w:rFonts w:hint="eastAsia" w:ascii="仿宋" w:hAnsi="仿宋" w:eastAsia="仿宋" w:cs="仿宋"/>
          <w:b/>
          <w:bCs w:val="0"/>
          <w:color w:val="auto"/>
          <w:sz w:val="40"/>
          <w:szCs w:val="40"/>
          <w:highlight w:val="none"/>
          <w:shd w:val="clear" w:color="auto" w:fill="auto"/>
          <w:lang w:val="en-US" w:eastAsia="zh-CN"/>
        </w:rPr>
      </w:pPr>
    </w:p>
    <w:bookmarkEnd w:id="203"/>
    <w:p w14:paraId="450338F2">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04" w:name="_Toc3033"/>
      <w:bookmarkStart w:id="205" w:name="_Toc15748"/>
      <w:r>
        <w:rPr>
          <w:rFonts w:hint="eastAsia" w:ascii="仿宋" w:hAnsi="仿宋" w:eastAsia="仿宋" w:cs="仿宋"/>
          <w:b/>
          <w:bCs w:val="0"/>
          <w:color w:val="auto"/>
          <w:sz w:val="40"/>
          <w:szCs w:val="40"/>
          <w:highlight w:val="none"/>
          <w:shd w:val="clear" w:color="auto" w:fill="auto"/>
          <w:lang w:val="en-US" w:eastAsia="zh-CN"/>
        </w:rPr>
        <w:t>附件一</w:t>
      </w:r>
    </w:p>
    <w:p w14:paraId="6D42F25B">
      <w:pPr>
        <w:keepNext w:val="0"/>
        <w:keepLines w:val="0"/>
        <w:pageBreakBefore w:val="0"/>
        <w:widowControl w:val="0"/>
        <w:kinsoku/>
        <w:wordWrap/>
        <w:overflowPunct/>
        <w:topLinePunct w:val="0"/>
        <w:autoSpaceDE/>
        <w:autoSpaceDN/>
        <w:bidi w:val="0"/>
        <w:adjustRightInd/>
        <w:snapToGrid w:val="0"/>
        <w:spacing w:line="360" w:lineRule="auto"/>
        <w:ind w:right="46" w:rightChars="22" w:firstLine="719" w:firstLineChars="179"/>
        <w:jc w:val="center"/>
        <w:textAlignment w:val="auto"/>
        <w:rPr>
          <w:rFonts w:hint="eastAsia" w:ascii="仿宋" w:hAnsi="仿宋" w:eastAsia="仿宋" w:cs="仿宋"/>
          <w:b/>
          <w:bCs/>
          <w:color w:val="auto"/>
          <w:sz w:val="40"/>
          <w:szCs w:val="36"/>
          <w:highlight w:val="none"/>
          <w:lang w:val="en-US" w:eastAsia="zh-CN"/>
        </w:rPr>
      </w:pPr>
    </w:p>
    <w:p w14:paraId="53895AED">
      <w:pPr>
        <w:keepNext w:val="0"/>
        <w:keepLines w:val="0"/>
        <w:pageBreakBefore w:val="0"/>
        <w:widowControl w:val="0"/>
        <w:kinsoku/>
        <w:wordWrap/>
        <w:overflowPunct/>
        <w:topLinePunct w:val="0"/>
        <w:autoSpaceDE/>
        <w:autoSpaceDN/>
        <w:bidi w:val="0"/>
        <w:adjustRightInd/>
        <w:snapToGrid w:val="0"/>
        <w:spacing w:line="360" w:lineRule="auto"/>
        <w:ind w:right="46" w:rightChars="22" w:firstLine="719" w:firstLineChars="179"/>
        <w:jc w:val="center"/>
        <w:textAlignment w:val="auto"/>
        <w:outlineLvl w:val="0"/>
        <w:rPr>
          <w:rFonts w:hint="eastAsia" w:ascii="宋体" w:hAnsi="宋体" w:eastAsia="宋体" w:cs="宋体"/>
          <w:color w:val="auto"/>
          <w:sz w:val="24"/>
          <w:szCs w:val="24"/>
          <w:highlight w:val="none"/>
          <w:lang w:val="en-US" w:eastAsia="zh-CN"/>
        </w:rPr>
      </w:pPr>
      <w:r>
        <w:rPr>
          <w:rFonts w:hint="eastAsia" w:ascii="仿宋" w:hAnsi="仿宋" w:eastAsia="仿宋" w:cs="仿宋"/>
          <w:b/>
          <w:bCs/>
          <w:color w:val="auto"/>
          <w:sz w:val="40"/>
          <w:szCs w:val="36"/>
          <w:highlight w:val="none"/>
          <w:lang w:val="en-US" w:eastAsia="zh-CN"/>
        </w:rPr>
        <w:t>甲方项目章样式</w:t>
      </w:r>
    </w:p>
    <w:p w14:paraId="01A32E5F">
      <w:pPr>
        <w:keepNext w:val="0"/>
        <w:keepLines w:val="0"/>
        <w:pageBreakBefore w:val="0"/>
        <w:widowControl w:val="0"/>
        <w:kinsoku/>
        <w:wordWrap/>
        <w:overflowPunct/>
        <w:topLinePunct w:val="0"/>
        <w:autoSpaceDE/>
        <w:autoSpaceDN/>
        <w:bidi w:val="0"/>
        <w:adjustRightInd/>
        <w:snapToGrid w:val="0"/>
        <w:spacing w:line="360" w:lineRule="auto"/>
        <w:ind w:right="46" w:rightChars="22" w:firstLine="719" w:firstLineChars="179"/>
        <w:jc w:val="center"/>
        <w:textAlignment w:val="auto"/>
        <w:rPr>
          <w:rFonts w:hint="eastAsia" w:ascii="仿宋" w:hAnsi="仿宋" w:eastAsia="仿宋" w:cs="仿宋"/>
          <w:b/>
          <w:bCs/>
          <w:color w:val="auto"/>
          <w:sz w:val="40"/>
          <w:szCs w:val="36"/>
          <w:highlight w:val="none"/>
          <w:lang w:val="en-US" w:eastAsia="zh-CN"/>
        </w:rPr>
      </w:pPr>
    </w:p>
    <w:p w14:paraId="43ED79AB">
      <w:pPr>
        <w:keepNext w:val="0"/>
        <w:keepLines w:val="0"/>
        <w:pageBreakBefore w:val="0"/>
        <w:widowControl w:val="0"/>
        <w:kinsoku/>
        <w:wordWrap/>
        <w:overflowPunct/>
        <w:topLinePunct w:val="0"/>
        <w:autoSpaceDE/>
        <w:autoSpaceDN/>
        <w:bidi w:val="0"/>
        <w:adjustRightInd/>
        <w:snapToGrid w:val="0"/>
        <w:spacing w:line="360" w:lineRule="auto"/>
        <w:ind w:right="46" w:rightChars="22" w:firstLine="719" w:firstLineChars="179"/>
        <w:jc w:val="center"/>
        <w:textAlignment w:val="auto"/>
        <w:rPr>
          <w:rFonts w:hint="eastAsia" w:ascii="仿宋" w:hAnsi="仿宋" w:eastAsia="仿宋" w:cs="仿宋"/>
          <w:b/>
          <w:bCs/>
          <w:color w:val="auto"/>
          <w:sz w:val="40"/>
          <w:szCs w:val="36"/>
          <w:highlight w:val="none"/>
          <w:lang w:val="en-US" w:eastAsia="zh-CN"/>
        </w:rPr>
      </w:pPr>
      <w:r>
        <w:rPr>
          <w:rFonts w:hint="eastAsia" w:ascii="仿宋" w:hAnsi="仿宋" w:eastAsia="仿宋" w:cs="仿宋"/>
          <w:b/>
          <w:bCs/>
          <w:color w:val="auto"/>
          <w:sz w:val="40"/>
          <w:szCs w:val="36"/>
          <w:highlight w:val="none"/>
          <w:lang w:val="en-US" w:eastAsia="zh-CN"/>
        </w:rPr>
        <w:drawing>
          <wp:inline distT="0" distB="0" distL="114300" distR="114300">
            <wp:extent cx="4286250" cy="3248025"/>
            <wp:effectExtent l="0" t="0" r="0" b="9525"/>
            <wp:docPr id="5" name="图片 5" descr="1745034812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745034812317"/>
                    <pic:cNvPicPr>
                      <a:picLocks noChangeAspect="1"/>
                    </pic:cNvPicPr>
                  </pic:nvPicPr>
                  <pic:blipFill>
                    <a:blip r:embed="rId11"/>
                    <a:stretch>
                      <a:fillRect/>
                    </a:stretch>
                  </pic:blipFill>
                  <pic:spPr>
                    <a:xfrm>
                      <a:off x="0" y="0"/>
                      <a:ext cx="4286250" cy="3248025"/>
                    </a:xfrm>
                    <a:prstGeom prst="rect">
                      <a:avLst/>
                    </a:prstGeom>
                  </pic:spPr>
                </pic:pic>
              </a:graphicData>
            </a:graphic>
          </wp:inline>
        </w:drawing>
      </w:r>
    </w:p>
    <w:p w14:paraId="049F425A">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p>
    <w:p w14:paraId="6510FDBD">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p>
    <w:p w14:paraId="307E7F72">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p>
    <w:p w14:paraId="374B6588">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p>
    <w:p w14:paraId="45B54063">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附件二</w:t>
      </w:r>
      <w:bookmarkEnd w:id="204"/>
      <w:bookmarkEnd w:id="205"/>
    </w:p>
    <w:p w14:paraId="601BEF73">
      <w:pPr>
        <w:keepNext w:val="0"/>
        <w:keepLines w:val="0"/>
        <w:pageBreakBefore w:val="0"/>
        <w:shd w:val="clear" w:color="auto" w:fill="auto"/>
        <w:overflowPunct/>
        <w:topLinePunct w:val="0"/>
        <w:bidi w:val="0"/>
        <w:snapToGrid w:val="0"/>
        <w:spacing w:line="360" w:lineRule="auto"/>
        <w:ind w:right="-672" w:rightChars="-320" w:firstLine="719" w:firstLineChars="179"/>
        <w:jc w:val="right"/>
        <w:rPr>
          <w:rFonts w:hint="eastAsia" w:ascii="仿宋" w:hAnsi="仿宋" w:eastAsia="仿宋" w:cs="仿宋"/>
          <w:b/>
          <w:bCs w:val="0"/>
          <w:color w:val="auto"/>
          <w:sz w:val="40"/>
          <w:szCs w:val="40"/>
          <w:highlight w:val="none"/>
          <w:shd w:val="clear" w:color="auto" w:fill="auto"/>
          <w:lang w:val="en-US" w:eastAsia="zh-CN"/>
        </w:rPr>
      </w:pPr>
    </w:p>
    <w:p w14:paraId="5DB96767">
      <w:pPr>
        <w:keepNext w:val="0"/>
        <w:keepLines w:val="0"/>
        <w:pageBreakBefore w:val="0"/>
        <w:overflowPunct/>
        <w:topLinePunct w:val="0"/>
        <w:bidi w:val="0"/>
        <w:spacing w:line="360" w:lineRule="auto"/>
        <w:ind w:firstLine="791" w:firstLineChars="179"/>
        <w:jc w:val="center"/>
        <w:rPr>
          <w:rFonts w:hint="eastAsia"/>
          <w:b/>
          <w:bCs/>
          <w:color w:val="auto"/>
          <w:sz w:val="44"/>
          <w:szCs w:val="44"/>
          <w:highlight w:val="none"/>
        </w:rPr>
      </w:pPr>
      <w:r>
        <w:rPr>
          <w:rFonts w:hint="eastAsia" w:ascii="宋体" w:hAnsi="宋体" w:cs="宋体"/>
          <w:b/>
          <w:bCs/>
          <w:color w:val="auto"/>
          <w:sz w:val="44"/>
          <w:szCs w:val="44"/>
          <w:highlight w:val="none"/>
        </w:rPr>
        <w:t>工程结算</w:t>
      </w:r>
      <w:r>
        <w:rPr>
          <w:rFonts w:hint="eastAsia"/>
          <w:b/>
          <w:bCs/>
          <w:color w:val="auto"/>
          <w:sz w:val="44"/>
          <w:szCs w:val="44"/>
          <w:highlight w:val="none"/>
        </w:rPr>
        <w:t>支付证明单</w:t>
      </w:r>
    </w:p>
    <w:p w14:paraId="72823729">
      <w:pPr>
        <w:keepNext w:val="0"/>
        <w:keepLines w:val="0"/>
        <w:pageBreakBefore w:val="0"/>
        <w:overflowPunct/>
        <w:topLinePunct w:val="0"/>
        <w:bidi w:val="0"/>
        <w:spacing w:line="360" w:lineRule="auto"/>
        <w:ind w:firstLine="377" w:firstLineChars="179"/>
        <w:jc w:val="center"/>
        <w:rPr>
          <w:rFonts w:hint="eastAsia" w:eastAsia="宋体"/>
          <w:b/>
          <w:bCs/>
          <w:color w:val="auto"/>
          <w:sz w:val="44"/>
          <w:szCs w:val="44"/>
          <w:highlight w:val="none"/>
          <w:lang w:eastAsia="zh-CN"/>
        </w:rPr>
      </w:pPr>
      <w:r>
        <w:rPr>
          <w:rFonts w:hint="eastAsia"/>
          <w:b/>
          <w:bCs/>
          <w:color w:val="auto"/>
          <w:sz w:val="21"/>
          <w:szCs w:val="21"/>
          <w:highlight w:val="none"/>
          <w:lang w:eastAsia="zh-CN"/>
        </w:rPr>
        <w:t>（</w:t>
      </w:r>
      <w:r>
        <w:rPr>
          <w:rFonts w:hint="eastAsia"/>
          <w:b/>
          <w:bCs/>
          <w:color w:val="auto"/>
          <w:sz w:val="21"/>
          <w:szCs w:val="21"/>
          <w:highlight w:val="none"/>
          <w:lang w:val="en-US" w:eastAsia="zh-CN"/>
        </w:rPr>
        <w:t>参考格式</w:t>
      </w:r>
      <w:r>
        <w:rPr>
          <w:rFonts w:hint="eastAsia"/>
          <w:b/>
          <w:bCs/>
          <w:color w:val="auto"/>
          <w:sz w:val="21"/>
          <w:szCs w:val="21"/>
          <w:highlight w:val="none"/>
          <w:lang w:eastAsia="zh-CN"/>
        </w:rPr>
        <w:t>）</w:t>
      </w:r>
    </w:p>
    <w:p w14:paraId="05C3FD8F">
      <w:pPr>
        <w:keepNext w:val="0"/>
        <w:keepLines w:val="0"/>
        <w:pageBreakBefore w:val="0"/>
        <w:overflowPunct/>
        <w:topLinePunct w:val="0"/>
        <w:bidi w:val="0"/>
        <w:spacing w:line="360" w:lineRule="auto"/>
        <w:ind w:firstLine="572" w:firstLineChars="179"/>
        <w:jc w:val="center"/>
        <w:rPr>
          <w:color w:val="auto"/>
          <w:sz w:val="32"/>
          <w:szCs w:val="32"/>
          <w:highlight w:val="none"/>
        </w:rPr>
      </w:pPr>
    </w:p>
    <w:tbl>
      <w:tblPr>
        <w:tblStyle w:val="16"/>
        <w:tblW w:w="9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5"/>
        <w:gridCol w:w="8198"/>
      </w:tblGrid>
      <w:tr w14:paraId="59BE6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075" w:type="dxa"/>
            <w:noWrap w:val="0"/>
            <w:vAlign w:val="center"/>
          </w:tcPr>
          <w:p w14:paraId="6F6DB35F">
            <w:pPr>
              <w:keepNext w:val="0"/>
              <w:keepLines w:val="0"/>
              <w:pageBreakBefore w:val="0"/>
              <w:overflowPunct/>
              <w:topLinePunct w:val="0"/>
              <w:bidi w:val="0"/>
              <w:spacing w:line="360" w:lineRule="auto"/>
              <w:jc w:val="center"/>
              <w:rPr>
                <w:b/>
                <w:color w:val="auto"/>
                <w:sz w:val="30"/>
                <w:szCs w:val="30"/>
                <w:highlight w:val="none"/>
              </w:rPr>
            </w:pPr>
            <w:r>
              <w:rPr>
                <w:rFonts w:hint="eastAsia"/>
                <w:b/>
                <w:color w:val="auto"/>
                <w:sz w:val="30"/>
                <w:szCs w:val="30"/>
                <w:highlight w:val="none"/>
              </w:rPr>
              <w:t>序号</w:t>
            </w:r>
          </w:p>
        </w:tc>
        <w:tc>
          <w:tcPr>
            <w:tcW w:w="8198" w:type="dxa"/>
            <w:noWrap w:val="0"/>
            <w:vAlign w:val="top"/>
          </w:tcPr>
          <w:p w14:paraId="37078C5B">
            <w:pPr>
              <w:keepNext w:val="0"/>
              <w:keepLines w:val="0"/>
              <w:pageBreakBefore w:val="0"/>
              <w:overflowPunct/>
              <w:topLinePunct w:val="0"/>
              <w:bidi w:val="0"/>
              <w:spacing w:line="360" w:lineRule="auto"/>
              <w:ind w:firstLine="539" w:firstLineChars="179"/>
              <w:jc w:val="center"/>
              <w:rPr>
                <w:b/>
                <w:color w:val="auto"/>
                <w:sz w:val="30"/>
                <w:szCs w:val="30"/>
                <w:highlight w:val="none"/>
              </w:rPr>
            </w:pPr>
            <w:r>
              <w:rPr>
                <w:rFonts w:hint="eastAsia"/>
                <w:b/>
                <w:color w:val="auto"/>
                <w:sz w:val="30"/>
                <w:szCs w:val="30"/>
                <w:highlight w:val="none"/>
              </w:rPr>
              <w:t>结算明细</w:t>
            </w:r>
          </w:p>
        </w:tc>
      </w:tr>
      <w:tr w14:paraId="526D8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075" w:type="dxa"/>
            <w:noWrap w:val="0"/>
            <w:vAlign w:val="center"/>
          </w:tcPr>
          <w:p w14:paraId="674C399F">
            <w:pPr>
              <w:keepNext w:val="0"/>
              <w:keepLines w:val="0"/>
              <w:pageBreakBefore w:val="0"/>
              <w:overflowPunct/>
              <w:topLinePunct w:val="0"/>
              <w:bidi w:val="0"/>
              <w:spacing w:line="360" w:lineRule="auto"/>
              <w:jc w:val="center"/>
              <w:rPr>
                <w:color w:val="auto"/>
                <w:sz w:val="30"/>
                <w:szCs w:val="30"/>
                <w:highlight w:val="none"/>
              </w:rPr>
            </w:pPr>
            <w:r>
              <w:rPr>
                <w:rFonts w:hint="eastAsia"/>
                <w:color w:val="auto"/>
                <w:sz w:val="28"/>
                <w:szCs w:val="28"/>
                <w:highlight w:val="none"/>
              </w:rPr>
              <w:t>1</w:t>
            </w:r>
          </w:p>
        </w:tc>
        <w:tc>
          <w:tcPr>
            <w:tcW w:w="8198" w:type="dxa"/>
            <w:noWrap w:val="0"/>
            <w:vAlign w:val="top"/>
          </w:tcPr>
          <w:p w14:paraId="692250FB">
            <w:pPr>
              <w:keepNext w:val="0"/>
              <w:keepLines w:val="0"/>
              <w:pageBreakBefore w:val="0"/>
              <w:overflowPunct/>
              <w:topLinePunct w:val="0"/>
              <w:bidi w:val="0"/>
              <w:spacing w:line="360" w:lineRule="auto"/>
              <w:jc w:val="left"/>
              <w:rPr>
                <w:color w:val="auto"/>
                <w:sz w:val="30"/>
                <w:szCs w:val="30"/>
                <w:highlight w:val="none"/>
              </w:rPr>
            </w:pPr>
            <w:r>
              <w:rPr>
                <w:rFonts w:hint="eastAsia"/>
                <w:color w:val="auto"/>
                <w:sz w:val="28"/>
                <w:szCs w:val="28"/>
                <w:highlight w:val="none"/>
              </w:rPr>
              <w:t>工程名称：</w:t>
            </w:r>
          </w:p>
        </w:tc>
      </w:tr>
      <w:tr w14:paraId="065DE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noWrap w:val="0"/>
            <w:vAlign w:val="center"/>
          </w:tcPr>
          <w:p w14:paraId="493B9D28">
            <w:pPr>
              <w:keepNext w:val="0"/>
              <w:keepLines w:val="0"/>
              <w:pageBreakBefore w:val="0"/>
              <w:overflowPunct/>
              <w:topLinePunct w:val="0"/>
              <w:bidi w:val="0"/>
              <w:spacing w:line="360" w:lineRule="auto"/>
              <w:jc w:val="center"/>
              <w:rPr>
                <w:color w:val="auto"/>
                <w:sz w:val="28"/>
                <w:szCs w:val="28"/>
                <w:highlight w:val="none"/>
              </w:rPr>
            </w:pPr>
            <w:r>
              <w:rPr>
                <w:rFonts w:hint="eastAsia"/>
                <w:color w:val="auto"/>
                <w:sz w:val="28"/>
                <w:szCs w:val="28"/>
                <w:highlight w:val="none"/>
              </w:rPr>
              <w:t>2</w:t>
            </w:r>
          </w:p>
        </w:tc>
        <w:tc>
          <w:tcPr>
            <w:tcW w:w="8198" w:type="dxa"/>
            <w:noWrap w:val="0"/>
            <w:vAlign w:val="top"/>
          </w:tcPr>
          <w:p w14:paraId="690F7CB1">
            <w:pPr>
              <w:keepNext w:val="0"/>
              <w:keepLines w:val="0"/>
              <w:pageBreakBefore w:val="0"/>
              <w:overflowPunct/>
              <w:topLinePunct w:val="0"/>
              <w:bidi w:val="0"/>
              <w:spacing w:line="360" w:lineRule="auto"/>
              <w:jc w:val="left"/>
              <w:rPr>
                <w:color w:val="auto"/>
                <w:sz w:val="28"/>
                <w:szCs w:val="28"/>
                <w:highlight w:val="none"/>
              </w:rPr>
            </w:pPr>
            <w:r>
              <w:rPr>
                <w:rFonts w:hint="eastAsia"/>
                <w:color w:val="auto"/>
                <w:sz w:val="28"/>
                <w:szCs w:val="28"/>
                <w:highlight w:val="none"/>
              </w:rPr>
              <w:t>单位名称：</w:t>
            </w:r>
          </w:p>
        </w:tc>
      </w:tr>
      <w:tr w14:paraId="6667B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noWrap w:val="0"/>
            <w:vAlign w:val="center"/>
          </w:tcPr>
          <w:p w14:paraId="6BCCBA13">
            <w:pPr>
              <w:keepNext w:val="0"/>
              <w:keepLines w:val="0"/>
              <w:pageBreakBefore w:val="0"/>
              <w:overflowPunct/>
              <w:topLinePunct w:val="0"/>
              <w:bidi w:val="0"/>
              <w:spacing w:line="360" w:lineRule="auto"/>
              <w:jc w:val="center"/>
              <w:rPr>
                <w:color w:val="auto"/>
                <w:sz w:val="28"/>
                <w:szCs w:val="28"/>
                <w:highlight w:val="none"/>
              </w:rPr>
            </w:pPr>
            <w:r>
              <w:rPr>
                <w:rFonts w:hint="eastAsia"/>
                <w:color w:val="auto"/>
                <w:sz w:val="28"/>
                <w:szCs w:val="28"/>
                <w:highlight w:val="none"/>
              </w:rPr>
              <w:t>3</w:t>
            </w:r>
          </w:p>
        </w:tc>
        <w:tc>
          <w:tcPr>
            <w:tcW w:w="8198" w:type="dxa"/>
            <w:noWrap w:val="0"/>
            <w:vAlign w:val="top"/>
          </w:tcPr>
          <w:p w14:paraId="2891F300">
            <w:pPr>
              <w:keepNext w:val="0"/>
              <w:keepLines w:val="0"/>
              <w:pageBreakBefore w:val="0"/>
              <w:overflowPunct/>
              <w:topLinePunct w:val="0"/>
              <w:bidi w:val="0"/>
              <w:spacing w:line="360" w:lineRule="auto"/>
              <w:jc w:val="left"/>
              <w:rPr>
                <w:color w:val="auto"/>
                <w:sz w:val="28"/>
                <w:szCs w:val="28"/>
                <w:highlight w:val="none"/>
              </w:rPr>
            </w:pPr>
            <w:r>
              <w:rPr>
                <w:rFonts w:hint="eastAsia"/>
                <w:color w:val="auto"/>
                <w:sz w:val="28"/>
                <w:szCs w:val="28"/>
                <w:highlight w:val="none"/>
              </w:rPr>
              <w:t>合同单位负责人:</w:t>
            </w:r>
          </w:p>
        </w:tc>
      </w:tr>
      <w:tr w14:paraId="1741B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noWrap w:val="0"/>
            <w:vAlign w:val="center"/>
          </w:tcPr>
          <w:p w14:paraId="279CABDB">
            <w:pPr>
              <w:keepNext w:val="0"/>
              <w:keepLines w:val="0"/>
              <w:pageBreakBefore w:val="0"/>
              <w:overflowPunct/>
              <w:topLinePunct w:val="0"/>
              <w:bidi w:val="0"/>
              <w:spacing w:line="360" w:lineRule="auto"/>
              <w:jc w:val="center"/>
              <w:rPr>
                <w:rFonts w:hint="eastAsia"/>
                <w:color w:val="auto"/>
                <w:sz w:val="28"/>
                <w:szCs w:val="28"/>
                <w:highlight w:val="none"/>
              </w:rPr>
            </w:pPr>
            <w:r>
              <w:rPr>
                <w:rFonts w:hint="eastAsia"/>
                <w:color w:val="auto"/>
                <w:sz w:val="28"/>
                <w:szCs w:val="28"/>
                <w:highlight w:val="none"/>
              </w:rPr>
              <w:t>4</w:t>
            </w:r>
          </w:p>
        </w:tc>
        <w:tc>
          <w:tcPr>
            <w:tcW w:w="8198" w:type="dxa"/>
            <w:noWrap w:val="0"/>
            <w:vAlign w:val="top"/>
          </w:tcPr>
          <w:p w14:paraId="2B38A9A5">
            <w:pPr>
              <w:keepNext w:val="0"/>
              <w:keepLines w:val="0"/>
              <w:pageBreakBefore w:val="0"/>
              <w:overflowPunct/>
              <w:topLinePunct w:val="0"/>
              <w:bidi w:val="0"/>
              <w:spacing w:line="360" w:lineRule="auto"/>
              <w:jc w:val="left"/>
              <w:rPr>
                <w:rFonts w:hint="eastAsia"/>
                <w:color w:val="auto"/>
                <w:sz w:val="28"/>
                <w:szCs w:val="28"/>
                <w:highlight w:val="none"/>
              </w:rPr>
            </w:pPr>
            <w:r>
              <w:rPr>
                <w:rFonts w:hint="eastAsia"/>
                <w:color w:val="auto"/>
                <w:sz w:val="28"/>
                <w:szCs w:val="28"/>
                <w:highlight w:val="none"/>
              </w:rPr>
              <w:t>合同编号：</w:t>
            </w:r>
          </w:p>
        </w:tc>
      </w:tr>
      <w:tr w14:paraId="5F075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noWrap w:val="0"/>
            <w:vAlign w:val="center"/>
          </w:tcPr>
          <w:p w14:paraId="3831C178">
            <w:pPr>
              <w:keepNext w:val="0"/>
              <w:keepLines w:val="0"/>
              <w:pageBreakBefore w:val="0"/>
              <w:overflowPunct/>
              <w:topLinePunct w:val="0"/>
              <w:bidi w:val="0"/>
              <w:spacing w:line="360" w:lineRule="auto"/>
              <w:jc w:val="center"/>
              <w:rPr>
                <w:color w:val="auto"/>
                <w:sz w:val="28"/>
                <w:szCs w:val="28"/>
                <w:highlight w:val="none"/>
              </w:rPr>
            </w:pPr>
            <w:r>
              <w:rPr>
                <w:rFonts w:hint="eastAsia"/>
                <w:color w:val="auto"/>
                <w:sz w:val="28"/>
                <w:szCs w:val="28"/>
                <w:highlight w:val="none"/>
              </w:rPr>
              <w:t>5</w:t>
            </w:r>
          </w:p>
        </w:tc>
        <w:tc>
          <w:tcPr>
            <w:tcW w:w="8198" w:type="dxa"/>
            <w:noWrap w:val="0"/>
            <w:vAlign w:val="top"/>
          </w:tcPr>
          <w:p w14:paraId="4C51FEEF">
            <w:pPr>
              <w:keepNext w:val="0"/>
              <w:keepLines w:val="0"/>
              <w:pageBreakBefore w:val="0"/>
              <w:overflowPunct/>
              <w:topLinePunct w:val="0"/>
              <w:bidi w:val="0"/>
              <w:spacing w:line="360" w:lineRule="auto"/>
              <w:jc w:val="left"/>
              <w:rPr>
                <w:rFonts w:hint="eastAsia" w:eastAsia="宋体"/>
                <w:color w:val="auto"/>
                <w:sz w:val="28"/>
                <w:szCs w:val="28"/>
                <w:highlight w:val="none"/>
                <w:lang w:val="en-US" w:eastAsia="zh-CN"/>
              </w:rPr>
            </w:pPr>
            <w:r>
              <w:rPr>
                <w:rFonts w:hint="eastAsia"/>
                <w:color w:val="auto"/>
                <w:sz w:val="28"/>
                <w:szCs w:val="28"/>
                <w:highlight w:val="none"/>
              </w:rPr>
              <w:t>合同总价：</w:t>
            </w:r>
            <w:r>
              <w:rPr>
                <w:rFonts w:hint="eastAsia"/>
                <w:color w:val="auto"/>
                <w:sz w:val="28"/>
                <w:szCs w:val="28"/>
                <w:highlight w:val="none"/>
                <w:lang w:val="en-US" w:eastAsia="zh-CN"/>
              </w:rPr>
              <w:t xml:space="preserve">     元</w:t>
            </w:r>
          </w:p>
        </w:tc>
      </w:tr>
      <w:tr w14:paraId="7B7B6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noWrap w:val="0"/>
            <w:vAlign w:val="center"/>
          </w:tcPr>
          <w:p w14:paraId="0631764F">
            <w:pPr>
              <w:keepNext w:val="0"/>
              <w:keepLines w:val="0"/>
              <w:pageBreakBefore w:val="0"/>
              <w:overflowPunct/>
              <w:topLinePunct w:val="0"/>
              <w:bidi w:val="0"/>
              <w:spacing w:line="360" w:lineRule="auto"/>
              <w:jc w:val="center"/>
              <w:rPr>
                <w:color w:val="auto"/>
                <w:sz w:val="28"/>
                <w:szCs w:val="28"/>
                <w:highlight w:val="none"/>
              </w:rPr>
            </w:pPr>
            <w:r>
              <w:rPr>
                <w:rFonts w:hint="eastAsia"/>
                <w:color w:val="auto"/>
                <w:sz w:val="28"/>
                <w:szCs w:val="28"/>
                <w:highlight w:val="none"/>
              </w:rPr>
              <w:t>6</w:t>
            </w:r>
          </w:p>
        </w:tc>
        <w:tc>
          <w:tcPr>
            <w:tcW w:w="8198" w:type="dxa"/>
            <w:noWrap w:val="0"/>
            <w:vAlign w:val="top"/>
          </w:tcPr>
          <w:p w14:paraId="5C024E84">
            <w:pPr>
              <w:keepNext w:val="0"/>
              <w:keepLines w:val="0"/>
              <w:pageBreakBefore w:val="0"/>
              <w:overflowPunct/>
              <w:topLinePunct w:val="0"/>
              <w:bidi w:val="0"/>
              <w:spacing w:line="360" w:lineRule="auto"/>
              <w:jc w:val="left"/>
              <w:rPr>
                <w:rFonts w:hint="default" w:eastAsia="宋体"/>
                <w:color w:val="auto"/>
                <w:sz w:val="28"/>
                <w:szCs w:val="28"/>
                <w:highlight w:val="none"/>
                <w:lang w:val="en-US" w:eastAsia="zh-CN"/>
              </w:rPr>
            </w:pPr>
            <w:r>
              <w:rPr>
                <w:rFonts w:hint="eastAsia"/>
                <w:color w:val="auto"/>
                <w:sz w:val="28"/>
                <w:szCs w:val="28"/>
                <w:highlight w:val="none"/>
              </w:rPr>
              <w:t>结算总价：</w:t>
            </w:r>
            <w:r>
              <w:rPr>
                <w:rFonts w:hint="eastAsia"/>
                <w:color w:val="auto"/>
                <w:sz w:val="28"/>
                <w:szCs w:val="28"/>
                <w:highlight w:val="none"/>
                <w:lang w:val="en-US" w:eastAsia="zh-CN"/>
              </w:rPr>
              <w:t xml:space="preserve">     元</w:t>
            </w:r>
          </w:p>
        </w:tc>
      </w:tr>
      <w:tr w14:paraId="1CFE1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noWrap w:val="0"/>
            <w:vAlign w:val="center"/>
          </w:tcPr>
          <w:p w14:paraId="0A6A2F4D">
            <w:pPr>
              <w:keepNext w:val="0"/>
              <w:keepLines w:val="0"/>
              <w:pageBreakBefore w:val="0"/>
              <w:overflowPunct/>
              <w:topLinePunct w:val="0"/>
              <w:bidi w:val="0"/>
              <w:spacing w:line="360" w:lineRule="auto"/>
              <w:jc w:val="center"/>
              <w:rPr>
                <w:color w:val="auto"/>
                <w:sz w:val="28"/>
                <w:szCs w:val="28"/>
                <w:highlight w:val="none"/>
              </w:rPr>
            </w:pPr>
            <w:r>
              <w:rPr>
                <w:rFonts w:hint="eastAsia"/>
                <w:color w:val="auto"/>
                <w:sz w:val="28"/>
                <w:szCs w:val="28"/>
                <w:highlight w:val="none"/>
              </w:rPr>
              <w:t>7</w:t>
            </w:r>
          </w:p>
        </w:tc>
        <w:tc>
          <w:tcPr>
            <w:tcW w:w="8198" w:type="dxa"/>
            <w:noWrap w:val="0"/>
            <w:vAlign w:val="top"/>
          </w:tcPr>
          <w:p w14:paraId="2EF0B0A5">
            <w:pPr>
              <w:keepNext w:val="0"/>
              <w:keepLines w:val="0"/>
              <w:pageBreakBefore w:val="0"/>
              <w:overflowPunct/>
              <w:topLinePunct w:val="0"/>
              <w:bidi w:val="0"/>
              <w:spacing w:line="360" w:lineRule="auto"/>
              <w:jc w:val="left"/>
              <w:rPr>
                <w:color w:val="auto"/>
                <w:sz w:val="28"/>
                <w:szCs w:val="28"/>
                <w:highlight w:val="none"/>
              </w:rPr>
            </w:pPr>
            <w:r>
              <w:rPr>
                <w:rFonts w:hint="eastAsia"/>
                <w:color w:val="auto"/>
                <w:sz w:val="28"/>
                <w:szCs w:val="28"/>
                <w:highlight w:val="none"/>
              </w:rPr>
              <w:t>累计已收款：</w:t>
            </w:r>
            <w:r>
              <w:rPr>
                <w:rFonts w:hint="eastAsia"/>
                <w:color w:val="auto"/>
                <w:sz w:val="28"/>
                <w:szCs w:val="28"/>
                <w:highlight w:val="none"/>
                <w:lang w:val="en-US" w:eastAsia="zh-CN"/>
              </w:rPr>
              <w:t xml:space="preserve">   元</w:t>
            </w:r>
            <w:r>
              <w:rPr>
                <w:rFonts w:hint="eastAsia"/>
                <w:color w:val="auto"/>
                <w:sz w:val="28"/>
                <w:szCs w:val="28"/>
                <w:highlight w:val="none"/>
              </w:rPr>
              <w:t xml:space="preserve">       </w:t>
            </w:r>
            <w:r>
              <w:rPr>
                <w:rFonts w:hint="eastAsia"/>
                <w:color w:val="auto"/>
                <w:sz w:val="28"/>
                <w:szCs w:val="28"/>
                <w:highlight w:val="none"/>
                <w:lang w:val="en-US" w:eastAsia="zh-CN"/>
              </w:rPr>
              <w:t xml:space="preserve">    </w:t>
            </w:r>
            <w:r>
              <w:rPr>
                <w:rFonts w:hint="eastAsia"/>
                <w:color w:val="auto"/>
                <w:sz w:val="28"/>
                <w:szCs w:val="28"/>
                <w:highlight w:val="none"/>
              </w:rPr>
              <w:t xml:space="preserve"> 截止日期：</w:t>
            </w:r>
            <w:r>
              <w:rPr>
                <w:rFonts w:hint="eastAsia"/>
                <w:color w:val="auto"/>
                <w:sz w:val="28"/>
                <w:szCs w:val="28"/>
                <w:highlight w:val="none"/>
                <w:lang w:val="en-US" w:eastAsia="zh-CN"/>
              </w:rPr>
              <w:t xml:space="preserve">202  </w:t>
            </w:r>
            <w:r>
              <w:rPr>
                <w:rFonts w:hint="eastAsia"/>
                <w:color w:val="auto"/>
                <w:sz w:val="28"/>
                <w:szCs w:val="28"/>
                <w:highlight w:val="none"/>
              </w:rPr>
              <w:t>年</w:t>
            </w:r>
            <w:r>
              <w:rPr>
                <w:rFonts w:hint="eastAsia"/>
                <w:color w:val="auto"/>
                <w:sz w:val="28"/>
                <w:szCs w:val="28"/>
                <w:highlight w:val="none"/>
                <w:lang w:val="en-US" w:eastAsia="zh-CN"/>
              </w:rPr>
              <w:t xml:space="preserve">  </w:t>
            </w:r>
            <w:r>
              <w:rPr>
                <w:rFonts w:hint="eastAsia"/>
                <w:color w:val="auto"/>
                <w:sz w:val="28"/>
                <w:szCs w:val="28"/>
                <w:highlight w:val="none"/>
              </w:rPr>
              <w:t>月</w:t>
            </w:r>
            <w:r>
              <w:rPr>
                <w:rFonts w:hint="eastAsia"/>
                <w:color w:val="auto"/>
                <w:sz w:val="28"/>
                <w:szCs w:val="28"/>
                <w:highlight w:val="none"/>
                <w:lang w:val="en-US" w:eastAsia="zh-CN"/>
              </w:rPr>
              <w:t xml:space="preserve">  </w:t>
            </w:r>
            <w:r>
              <w:rPr>
                <w:rFonts w:hint="eastAsia"/>
                <w:color w:val="auto"/>
                <w:sz w:val="28"/>
                <w:szCs w:val="28"/>
                <w:highlight w:val="none"/>
              </w:rPr>
              <w:t>日</w:t>
            </w:r>
          </w:p>
        </w:tc>
      </w:tr>
      <w:tr w14:paraId="575CF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noWrap w:val="0"/>
            <w:vAlign w:val="center"/>
          </w:tcPr>
          <w:p w14:paraId="00DC3BD6">
            <w:pPr>
              <w:keepNext w:val="0"/>
              <w:keepLines w:val="0"/>
              <w:pageBreakBefore w:val="0"/>
              <w:overflowPunct/>
              <w:topLinePunct w:val="0"/>
              <w:bidi w:val="0"/>
              <w:spacing w:line="360" w:lineRule="auto"/>
              <w:jc w:val="center"/>
              <w:rPr>
                <w:color w:val="auto"/>
                <w:sz w:val="28"/>
                <w:szCs w:val="28"/>
                <w:highlight w:val="none"/>
              </w:rPr>
            </w:pPr>
            <w:r>
              <w:rPr>
                <w:rFonts w:hint="eastAsia"/>
                <w:color w:val="auto"/>
                <w:sz w:val="28"/>
                <w:szCs w:val="28"/>
                <w:highlight w:val="none"/>
              </w:rPr>
              <w:t>8</w:t>
            </w:r>
          </w:p>
        </w:tc>
        <w:tc>
          <w:tcPr>
            <w:tcW w:w="8198" w:type="dxa"/>
            <w:noWrap w:val="0"/>
            <w:vAlign w:val="top"/>
          </w:tcPr>
          <w:p w14:paraId="377489CD">
            <w:pPr>
              <w:keepNext w:val="0"/>
              <w:keepLines w:val="0"/>
              <w:pageBreakBefore w:val="0"/>
              <w:overflowPunct/>
              <w:topLinePunct w:val="0"/>
              <w:bidi w:val="0"/>
              <w:spacing w:line="360" w:lineRule="auto"/>
              <w:jc w:val="left"/>
              <w:rPr>
                <w:rFonts w:hint="default" w:eastAsia="宋体"/>
                <w:color w:val="auto"/>
                <w:sz w:val="28"/>
                <w:szCs w:val="28"/>
                <w:highlight w:val="none"/>
                <w:lang w:val="en-US" w:eastAsia="zh-CN"/>
              </w:rPr>
            </w:pPr>
            <w:r>
              <w:rPr>
                <w:rFonts w:hint="eastAsia"/>
                <w:color w:val="auto"/>
                <w:sz w:val="28"/>
                <w:szCs w:val="28"/>
                <w:highlight w:val="none"/>
              </w:rPr>
              <w:t>未付款：</w:t>
            </w:r>
            <w:r>
              <w:rPr>
                <w:rFonts w:hint="eastAsia"/>
                <w:color w:val="auto"/>
                <w:sz w:val="28"/>
                <w:szCs w:val="28"/>
                <w:highlight w:val="none"/>
                <w:lang w:val="en-US" w:eastAsia="zh-CN"/>
              </w:rPr>
              <w:t xml:space="preserve">       元</w:t>
            </w:r>
          </w:p>
        </w:tc>
      </w:tr>
    </w:tbl>
    <w:p w14:paraId="0EB4DC4D">
      <w:pPr>
        <w:keepNext w:val="0"/>
        <w:keepLines w:val="0"/>
        <w:pageBreakBefore w:val="0"/>
        <w:overflowPunct/>
        <w:topLinePunct w:val="0"/>
        <w:bidi w:val="0"/>
        <w:spacing w:line="360" w:lineRule="auto"/>
        <w:ind w:firstLine="644" w:firstLineChars="179"/>
        <w:jc w:val="center"/>
        <w:rPr>
          <w:color w:val="auto"/>
          <w:sz w:val="36"/>
          <w:szCs w:val="36"/>
          <w:highlight w:val="none"/>
        </w:rPr>
      </w:pPr>
    </w:p>
    <w:p w14:paraId="30F55359">
      <w:pPr>
        <w:keepNext w:val="0"/>
        <w:keepLines w:val="0"/>
        <w:pageBreakBefore w:val="0"/>
        <w:overflowPunct/>
        <w:topLinePunct w:val="0"/>
        <w:bidi w:val="0"/>
        <w:spacing w:line="360" w:lineRule="auto"/>
        <w:ind w:firstLine="501" w:firstLineChars="179"/>
        <w:jc w:val="center"/>
        <w:rPr>
          <w:rFonts w:ascii="宋体" w:hAnsi="宋体" w:cs="宋体"/>
          <w:color w:val="auto"/>
          <w:sz w:val="28"/>
          <w:szCs w:val="28"/>
          <w:highlight w:val="none"/>
        </w:rPr>
      </w:pPr>
    </w:p>
    <w:p w14:paraId="7CC0D7FC">
      <w:pPr>
        <w:keepNext w:val="0"/>
        <w:keepLines w:val="0"/>
        <w:pageBreakBefore w:val="0"/>
        <w:overflowPunct/>
        <w:topLinePunct w:val="0"/>
        <w:bidi w:val="0"/>
        <w:spacing w:line="360" w:lineRule="auto"/>
        <w:ind w:firstLine="501" w:firstLineChars="179"/>
        <w:jc w:val="center"/>
        <w:rPr>
          <w:rFonts w:ascii="宋体" w:hAnsi="宋体" w:cs="宋体"/>
          <w:color w:val="auto"/>
          <w:sz w:val="28"/>
          <w:szCs w:val="28"/>
          <w:highlight w:val="none"/>
        </w:rPr>
      </w:pPr>
    </w:p>
    <w:p w14:paraId="2A0AF7CF">
      <w:pPr>
        <w:keepNext w:val="0"/>
        <w:keepLines w:val="0"/>
        <w:pageBreakBefore w:val="0"/>
        <w:overflowPunct/>
        <w:topLinePunct w:val="0"/>
        <w:bidi w:val="0"/>
        <w:spacing w:line="360" w:lineRule="auto"/>
        <w:ind w:firstLine="501" w:firstLineChars="179"/>
        <w:jc w:val="center"/>
        <w:rPr>
          <w:rFonts w:ascii="宋体" w:hAnsi="宋体" w:cs="宋体"/>
          <w:color w:val="auto"/>
          <w:sz w:val="28"/>
          <w:szCs w:val="28"/>
          <w:highlight w:val="none"/>
        </w:rPr>
      </w:pPr>
    </w:p>
    <w:p w14:paraId="425AEC72">
      <w:pPr>
        <w:keepNext w:val="0"/>
        <w:keepLines w:val="0"/>
        <w:pageBreakBefore w:val="0"/>
        <w:overflowPunct/>
        <w:topLinePunct w:val="0"/>
        <w:bidi w:val="0"/>
        <w:spacing w:line="360" w:lineRule="auto"/>
        <w:ind w:firstLine="537" w:firstLineChars="179"/>
        <w:jc w:val="center"/>
        <w:rPr>
          <w:rFonts w:hint="default" w:ascii="宋体" w:hAnsi="宋体" w:eastAsia="宋体" w:cs="宋体"/>
          <w:color w:val="auto"/>
          <w:sz w:val="28"/>
          <w:szCs w:val="28"/>
          <w:highlight w:val="none"/>
          <w:lang w:val="en-US" w:eastAsia="zh-CN"/>
        </w:rPr>
      </w:pPr>
      <w:r>
        <w:rPr>
          <w:rFonts w:hint="eastAsia" w:ascii="宋体" w:hAnsi="宋体" w:cs="宋体"/>
          <w:color w:val="auto"/>
          <w:sz w:val="30"/>
          <w:szCs w:val="30"/>
          <w:highlight w:val="none"/>
        </w:rPr>
        <w:t xml:space="preserve">                               </w:t>
      </w:r>
      <w:r>
        <w:rPr>
          <w:rFonts w:hint="eastAsia" w:ascii="宋体" w:hAnsi="宋体" w:cs="宋体"/>
          <w:color w:val="auto"/>
          <w:sz w:val="30"/>
          <w:szCs w:val="30"/>
          <w:highlight w:val="none"/>
          <w:lang w:val="en-US" w:eastAsia="zh-CN"/>
        </w:rPr>
        <w:t>***</w:t>
      </w:r>
      <w:r>
        <w:rPr>
          <w:rFonts w:hint="eastAsia" w:ascii="宋体" w:hAnsi="宋体" w:cs="宋体"/>
          <w:color w:val="auto"/>
          <w:sz w:val="28"/>
          <w:szCs w:val="28"/>
          <w:highlight w:val="none"/>
        </w:rPr>
        <w:t>有限公司</w:t>
      </w:r>
      <w:r>
        <w:rPr>
          <w:rFonts w:hint="eastAsia" w:ascii="宋体" w:hAnsi="宋体" w:cs="宋体"/>
          <w:color w:val="auto"/>
          <w:sz w:val="28"/>
          <w:szCs w:val="28"/>
          <w:highlight w:val="none"/>
          <w:lang w:val="en-US" w:eastAsia="zh-CN"/>
        </w:rPr>
        <w:t>(加盖公章)</w:t>
      </w:r>
    </w:p>
    <w:p w14:paraId="56E8A1C7">
      <w:pPr>
        <w:keepNext w:val="0"/>
        <w:keepLines w:val="0"/>
        <w:pageBreakBefore w:val="0"/>
        <w:overflowPunct/>
        <w:topLinePunct w:val="0"/>
        <w:bidi w:val="0"/>
        <w:spacing w:line="360" w:lineRule="auto"/>
        <w:ind w:firstLine="501" w:firstLineChars="179"/>
        <w:jc w:val="center"/>
        <w:rPr>
          <w:rFonts w:ascii="宋体" w:hAnsi="宋体" w:cs="宋体"/>
          <w:color w:val="auto"/>
          <w:sz w:val="28"/>
          <w:szCs w:val="28"/>
          <w:highlight w:val="none"/>
        </w:rPr>
      </w:pPr>
      <w:r>
        <w:rPr>
          <w:rFonts w:hint="eastAsia" w:ascii="宋体" w:hAnsi="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202  </w:t>
      </w:r>
      <w:r>
        <w:rPr>
          <w:rFonts w:hint="eastAsia" w:ascii="宋体" w:hAnsi="宋体" w:cs="宋体"/>
          <w:color w:val="auto"/>
          <w:sz w:val="28"/>
          <w:szCs w:val="28"/>
          <w:highlight w:val="none"/>
        </w:rPr>
        <w:t>年</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日</w:t>
      </w:r>
    </w:p>
    <w:p w14:paraId="37D7EABE">
      <w:pPr>
        <w:keepNext w:val="0"/>
        <w:keepLines w:val="0"/>
        <w:pageBreakBefore w:val="0"/>
        <w:overflowPunct/>
        <w:topLinePunct w:val="0"/>
        <w:bidi w:val="0"/>
        <w:spacing w:line="360" w:lineRule="auto"/>
        <w:ind w:firstLine="375" w:firstLineChars="179"/>
        <w:rPr>
          <w:rFonts w:hint="eastAsia"/>
          <w:color w:val="auto"/>
          <w:highlight w:val="none"/>
          <w:lang w:eastAsia="zh-CN"/>
        </w:rPr>
      </w:pPr>
    </w:p>
    <w:p w14:paraId="390692C5">
      <w:pPr>
        <w:keepNext w:val="0"/>
        <w:keepLines w:val="0"/>
        <w:pageBreakBefore w:val="0"/>
        <w:shd w:val="clear" w:color="auto" w:fill="auto"/>
        <w:overflowPunct/>
        <w:topLinePunct w:val="0"/>
        <w:bidi w:val="0"/>
        <w:snapToGrid w:val="0"/>
        <w:spacing w:line="360" w:lineRule="auto"/>
        <w:rPr>
          <w:rFonts w:hint="eastAsia" w:ascii="仿宋" w:hAnsi="仿宋" w:eastAsia="仿宋" w:cs="仿宋"/>
          <w:color w:val="auto"/>
          <w:highlight w:val="none"/>
          <w:lang w:eastAsia="zh-CN"/>
        </w:rPr>
      </w:pPr>
    </w:p>
    <w:p w14:paraId="6688C713">
      <w:pPr>
        <w:keepNext w:val="0"/>
        <w:keepLines w:val="0"/>
        <w:pageBreakBefore w:val="0"/>
        <w:shd w:val="clear" w:color="auto" w:fill="auto"/>
        <w:overflowPunct/>
        <w:topLinePunct w:val="0"/>
        <w:bidi w:val="0"/>
        <w:snapToGrid w:val="0"/>
        <w:spacing w:line="360" w:lineRule="auto"/>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06" w:name="_Toc17030"/>
      <w:bookmarkStart w:id="207" w:name="_Toc5127"/>
      <w:bookmarkStart w:id="208" w:name="_Toc3505"/>
      <w:bookmarkStart w:id="209" w:name="_Toc29165"/>
      <w:bookmarkStart w:id="210" w:name="_Toc5270"/>
      <w:bookmarkStart w:id="211" w:name="_Toc2844"/>
      <w:bookmarkStart w:id="212" w:name="_Toc9559"/>
      <w:bookmarkStart w:id="213" w:name="_Toc21777"/>
    </w:p>
    <w:p w14:paraId="39699FEA">
      <w:pPr>
        <w:keepNext w:val="0"/>
        <w:keepLines w:val="0"/>
        <w:pageBreakBefore w:val="0"/>
        <w:shd w:val="clear" w:color="auto" w:fill="auto"/>
        <w:overflowPunct/>
        <w:topLinePunct w:val="0"/>
        <w:bidi w:val="0"/>
        <w:snapToGrid w:val="0"/>
        <w:spacing w:line="360" w:lineRule="auto"/>
        <w:jc w:val="right"/>
        <w:outlineLvl w:val="0"/>
        <w:rPr>
          <w:rFonts w:hint="eastAsia" w:ascii="仿宋" w:hAnsi="仿宋" w:eastAsia="仿宋" w:cs="仿宋"/>
          <w:b/>
          <w:bCs w:val="0"/>
          <w:color w:val="auto"/>
          <w:sz w:val="40"/>
          <w:szCs w:val="40"/>
          <w:highlight w:val="none"/>
          <w:shd w:val="clear" w:color="auto" w:fill="auto"/>
          <w:lang w:val="en-US" w:eastAsia="zh-CN"/>
        </w:rPr>
      </w:pPr>
    </w:p>
    <w:p w14:paraId="133061F3">
      <w:pPr>
        <w:keepNext w:val="0"/>
        <w:keepLines w:val="0"/>
        <w:pageBreakBefore w:val="0"/>
        <w:shd w:val="clear" w:color="auto" w:fill="auto"/>
        <w:overflowPunct/>
        <w:topLinePunct w:val="0"/>
        <w:bidi w:val="0"/>
        <w:snapToGrid w:val="0"/>
        <w:spacing w:line="360" w:lineRule="auto"/>
        <w:jc w:val="right"/>
        <w:outlineLvl w:val="0"/>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附件三</w:t>
      </w:r>
      <w:bookmarkEnd w:id="206"/>
      <w:bookmarkEnd w:id="207"/>
      <w:bookmarkEnd w:id="208"/>
      <w:bookmarkEnd w:id="209"/>
      <w:bookmarkEnd w:id="210"/>
      <w:bookmarkEnd w:id="211"/>
      <w:bookmarkEnd w:id="212"/>
      <w:bookmarkEnd w:id="213"/>
    </w:p>
    <w:tbl>
      <w:tblPr>
        <w:tblStyle w:val="15"/>
        <w:tblpPr w:leftFromText="180" w:rightFromText="180" w:vertAnchor="text" w:horzAnchor="page" w:tblpX="1210" w:tblpY="748"/>
        <w:tblOverlap w:val="never"/>
        <w:tblW w:w="926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60"/>
        <w:gridCol w:w="4290"/>
        <w:gridCol w:w="1694"/>
        <w:gridCol w:w="2022"/>
      </w:tblGrid>
      <w:tr w14:paraId="38D08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9266" w:type="dxa"/>
            <w:gridSpan w:val="4"/>
            <w:tcBorders>
              <w:top w:val="nil"/>
              <w:left w:val="nil"/>
              <w:bottom w:val="nil"/>
              <w:right w:val="nil"/>
            </w:tcBorders>
            <w:noWrap w:val="0"/>
            <w:vAlign w:val="center"/>
          </w:tcPr>
          <w:p w14:paraId="30956A3A">
            <w:pPr>
              <w:keepNext w:val="0"/>
              <w:keepLines w:val="0"/>
              <w:pageBreakBefore w:val="0"/>
              <w:widowControl/>
              <w:suppressLineNumbers w:val="0"/>
              <w:overflowPunct/>
              <w:topLinePunct w:val="0"/>
              <w:bidi w:val="0"/>
              <w:spacing w:line="360" w:lineRule="auto"/>
              <w:ind w:firstLine="719" w:firstLineChars="179"/>
              <w:jc w:val="center"/>
              <w:textAlignment w:val="center"/>
              <w:rPr>
                <w:rFonts w:hint="eastAsia" w:ascii="宋体" w:hAnsi="宋体" w:eastAsia="宋体" w:cs="宋体"/>
                <w:b/>
                <w:bCs/>
                <w:i w:val="0"/>
                <w:iCs w:val="0"/>
                <w:color w:val="auto"/>
                <w:sz w:val="40"/>
                <w:szCs w:val="40"/>
                <w:highlight w:val="none"/>
                <w:u w:val="none"/>
              </w:rPr>
            </w:pPr>
            <w:r>
              <w:rPr>
                <w:rFonts w:hint="eastAsia" w:ascii="仿宋_GB2312" w:hAnsi="仿宋_GB2312" w:eastAsia="仿宋_GB2312" w:cs="仿宋_GB2312"/>
                <w:b/>
                <w:bCs w:val="0"/>
                <w:color w:val="auto"/>
                <w:sz w:val="40"/>
                <w:szCs w:val="40"/>
                <w:highlight w:val="none"/>
                <w:shd w:val="clear" w:color="auto" w:fill="auto"/>
                <w:lang w:val="en-US" w:eastAsia="zh-CN"/>
              </w:rPr>
              <w:t>工完场清交接单</w:t>
            </w:r>
            <w:r>
              <w:rPr>
                <w:rFonts w:hint="eastAsia" w:ascii="宋体" w:hAnsi="宋体" w:eastAsia="宋体" w:cs="宋体"/>
                <w:b/>
                <w:bCs/>
                <w:i w:val="0"/>
                <w:iCs w:val="0"/>
                <w:color w:val="auto"/>
                <w:kern w:val="0"/>
                <w:sz w:val="40"/>
                <w:szCs w:val="40"/>
                <w:highlight w:val="none"/>
                <w:u w:val="none"/>
                <w:lang w:val="en-US" w:eastAsia="zh-CN" w:bidi="ar"/>
              </w:rPr>
              <w:t xml:space="preserve">                                                                                                            </w:t>
            </w:r>
          </w:p>
        </w:tc>
      </w:tr>
      <w:tr w14:paraId="4632A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266" w:type="dxa"/>
            <w:gridSpan w:val="4"/>
            <w:tcBorders>
              <w:top w:val="nil"/>
              <w:left w:val="nil"/>
              <w:bottom w:val="nil"/>
              <w:right w:val="nil"/>
            </w:tcBorders>
            <w:noWrap w:val="0"/>
            <w:vAlign w:val="center"/>
          </w:tcPr>
          <w:p w14:paraId="688DC2BF">
            <w:pPr>
              <w:keepNext w:val="0"/>
              <w:keepLines w:val="0"/>
              <w:pageBreakBefore w:val="0"/>
              <w:widowControl/>
              <w:suppressLineNumbers w:val="0"/>
              <w:overflowPunct/>
              <w:topLinePunct w:val="0"/>
              <w:bidi w:val="0"/>
              <w:spacing w:line="360" w:lineRule="auto"/>
              <w:ind w:firstLine="431" w:firstLineChars="179"/>
              <w:jc w:val="right"/>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 xml:space="preserve">                                          </w:t>
            </w:r>
            <w:r>
              <w:rPr>
                <w:rFonts w:hint="eastAsia" w:ascii="仿宋" w:hAnsi="仿宋" w:eastAsia="仿宋" w:cs="仿宋"/>
                <w:i w:val="0"/>
                <w:iCs w:val="0"/>
                <w:color w:val="auto"/>
                <w:kern w:val="0"/>
                <w:sz w:val="24"/>
                <w:szCs w:val="24"/>
                <w:highlight w:val="none"/>
                <w:u w:val="none"/>
                <w:lang w:val="en-US" w:eastAsia="zh-CN" w:bidi="ar"/>
              </w:rPr>
              <w:t>填表日期：     年    月    日</w:t>
            </w:r>
          </w:p>
        </w:tc>
      </w:tr>
      <w:tr w14:paraId="26FF0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260" w:type="dxa"/>
            <w:tcBorders>
              <w:top w:val="single" w:color="000000" w:sz="4" w:space="0"/>
              <w:left w:val="single" w:color="000000" w:sz="4" w:space="0"/>
              <w:bottom w:val="single" w:color="000000" w:sz="4" w:space="0"/>
              <w:right w:val="single" w:color="000000" w:sz="4" w:space="0"/>
            </w:tcBorders>
            <w:noWrap/>
            <w:vAlign w:val="center"/>
          </w:tcPr>
          <w:p w14:paraId="615AF66C">
            <w:pPr>
              <w:keepNext w:val="0"/>
              <w:keepLines w:val="0"/>
              <w:pageBreakBefore w:val="0"/>
              <w:widowControl/>
              <w:suppressLineNumbers w:val="0"/>
              <w:overflowPunct/>
              <w:topLinePunct w:val="0"/>
              <w:bidi w:val="0"/>
              <w:spacing w:line="360" w:lineRule="auto"/>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工程名称</w:t>
            </w:r>
          </w:p>
        </w:tc>
        <w:tc>
          <w:tcPr>
            <w:tcW w:w="4290" w:type="dxa"/>
            <w:tcBorders>
              <w:top w:val="single" w:color="000000" w:sz="4" w:space="0"/>
              <w:left w:val="single" w:color="000000" w:sz="4" w:space="0"/>
              <w:bottom w:val="single" w:color="000000" w:sz="4" w:space="0"/>
              <w:right w:val="nil"/>
            </w:tcBorders>
            <w:noWrap/>
            <w:vAlign w:val="center"/>
          </w:tcPr>
          <w:p w14:paraId="00977FB4">
            <w:pPr>
              <w:keepNext w:val="0"/>
              <w:keepLines w:val="0"/>
              <w:pageBreakBefore w:val="0"/>
              <w:overflowPunct/>
              <w:topLinePunct w:val="0"/>
              <w:bidi w:val="0"/>
              <w:spacing w:line="360" w:lineRule="auto"/>
              <w:ind w:firstLine="429" w:firstLineChars="179"/>
              <w:rPr>
                <w:rFonts w:hint="eastAsia" w:ascii="仿宋" w:hAnsi="仿宋" w:eastAsia="仿宋" w:cs="仿宋"/>
                <w:i w:val="0"/>
                <w:iCs w:val="0"/>
                <w:color w:val="auto"/>
                <w:sz w:val="24"/>
                <w:szCs w:val="24"/>
                <w:highlight w:val="none"/>
                <w:u w:val="none"/>
              </w:rPr>
            </w:pP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5705E67C">
            <w:pPr>
              <w:keepNext w:val="0"/>
              <w:keepLines w:val="0"/>
              <w:pageBreakBefore w:val="0"/>
              <w:widowControl/>
              <w:suppressLineNumbers w:val="0"/>
              <w:overflowPunct/>
              <w:topLinePunct w:val="0"/>
              <w:bidi w:val="0"/>
              <w:spacing w:line="360" w:lineRule="auto"/>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移交部位</w:t>
            </w:r>
          </w:p>
        </w:tc>
        <w:tc>
          <w:tcPr>
            <w:tcW w:w="2022" w:type="dxa"/>
            <w:tcBorders>
              <w:top w:val="single" w:color="000000" w:sz="4" w:space="0"/>
              <w:left w:val="single" w:color="000000" w:sz="4" w:space="0"/>
              <w:bottom w:val="single" w:color="000000" w:sz="4" w:space="0"/>
              <w:right w:val="single" w:color="000000" w:sz="4" w:space="0"/>
            </w:tcBorders>
            <w:noWrap/>
            <w:vAlign w:val="center"/>
          </w:tcPr>
          <w:p w14:paraId="510C410B">
            <w:pPr>
              <w:keepNext w:val="0"/>
              <w:keepLines w:val="0"/>
              <w:pageBreakBefore w:val="0"/>
              <w:overflowPunct/>
              <w:topLinePunct w:val="0"/>
              <w:bidi w:val="0"/>
              <w:spacing w:line="360" w:lineRule="auto"/>
              <w:ind w:firstLine="429" w:firstLineChars="179"/>
              <w:rPr>
                <w:rFonts w:hint="eastAsia" w:ascii="仿宋" w:hAnsi="仿宋" w:eastAsia="仿宋" w:cs="仿宋"/>
                <w:i w:val="0"/>
                <w:iCs w:val="0"/>
                <w:color w:val="auto"/>
                <w:sz w:val="24"/>
                <w:szCs w:val="24"/>
                <w:highlight w:val="none"/>
                <w:u w:val="none"/>
              </w:rPr>
            </w:pPr>
          </w:p>
        </w:tc>
      </w:tr>
      <w:tr w14:paraId="0CF32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260" w:type="dxa"/>
            <w:vMerge w:val="restart"/>
            <w:tcBorders>
              <w:top w:val="single" w:color="000000" w:sz="4" w:space="0"/>
              <w:left w:val="single" w:color="000000" w:sz="4" w:space="0"/>
              <w:bottom w:val="single" w:color="000000" w:sz="4" w:space="0"/>
              <w:right w:val="single" w:color="000000" w:sz="4" w:space="0"/>
            </w:tcBorders>
            <w:noWrap w:val="0"/>
            <w:vAlign w:val="center"/>
          </w:tcPr>
          <w:p w14:paraId="78804BE2">
            <w:pPr>
              <w:keepNext w:val="0"/>
              <w:keepLines w:val="0"/>
              <w:pageBreakBefore w:val="0"/>
              <w:widowControl/>
              <w:suppressLineNumbers w:val="0"/>
              <w:overflowPunct/>
              <w:topLinePunct w:val="0"/>
              <w:bidi w:val="0"/>
              <w:spacing w:line="360" w:lineRule="auto"/>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1、移交合格内容</w:t>
            </w:r>
          </w:p>
          <w:p w14:paraId="60DDBB68">
            <w:pPr>
              <w:keepNext w:val="0"/>
              <w:keepLines w:val="0"/>
              <w:pageBreakBefore w:val="0"/>
              <w:widowControl/>
              <w:suppressLineNumbers w:val="0"/>
              <w:overflowPunct/>
              <w:topLinePunct w:val="0"/>
              <w:bidi w:val="0"/>
              <w:spacing w:line="360" w:lineRule="auto"/>
              <w:ind w:firstLine="429" w:firstLineChars="179"/>
              <w:jc w:val="left"/>
              <w:textAlignment w:val="center"/>
              <w:rPr>
                <w:rFonts w:hint="eastAsia" w:ascii="仿宋" w:hAnsi="仿宋" w:eastAsia="仿宋" w:cs="仿宋"/>
                <w:i w:val="0"/>
                <w:iCs w:val="0"/>
                <w:color w:val="auto"/>
                <w:kern w:val="0"/>
                <w:sz w:val="24"/>
                <w:szCs w:val="24"/>
                <w:highlight w:val="none"/>
                <w:u w:val="none"/>
                <w:lang w:val="en-US" w:eastAsia="zh-CN" w:bidi="ar"/>
              </w:rPr>
            </w:pPr>
          </w:p>
          <w:p w14:paraId="56C4638F">
            <w:pPr>
              <w:keepNext w:val="0"/>
              <w:keepLines w:val="0"/>
              <w:pageBreakBefore w:val="0"/>
              <w:widowControl/>
              <w:suppressLineNumbers w:val="0"/>
              <w:overflowPunct/>
              <w:topLinePunct w:val="0"/>
              <w:bidi w:val="0"/>
              <w:spacing w:line="360" w:lineRule="auto"/>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2、移交时间</w:t>
            </w:r>
          </w:p>
        </w:tc>
        <w:tc>
          <w:tcPr>
            <w:tcW w:w="4290" w:type="dxa"/>
            <w:vMerge w:val="restart"/>
            <w:tcBorders>
              <w:top w:val="single" w:color="000000" w:sz="4" w:space="0"/>
              <w:left w:val="single" w:color="000000" w:sz="4" w:space="0"/>
              <w:bottom w:val="single" w:color="000000" w:sz="4" w:space="0"/>
              <w:right w:val="single" w:color="000000" w:sz="4" w:space="0"/>
            </w:tcBorders>
            <w:noWrap/>
            <w:vAlign w:val="center"/>
          </w:tcPr>
          <w:p w14:paraId="5C9B405E">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c>
          <w:tcPr>
            <w:tcW w:w="1694" w:type="dxa"/>
            <w:vMerge w:val="restart"/>
            <w:tcBorders>
              <w:top w:val="single" w:color="000000" w:sz="4" w:space="0"/>
              <w:left w:val="single" w:color="000000" w:sz="4" w:space="0"/>
              <w:bottom w:val="single" w:color="000000" w:sz="4" w:space="0"/>
              <w:right w:val="single" w:color="000000" w:sz="4" w:space="0"/>
            </w:tcBorders>
            <w:noWrap w:val="0"/>
            <w:vAlign w:val="center"/>
          </w:tcPr>
          <w:p w14:paraId="6E493DBD">
            <w:pPr>
              <w:keepNext w:val="0"/>
              <w:keepLines w:val="0"/>
              <w:pageBreakBefore w:val="0"/>
              <w:widowControl/>
              <w:suppressLineNumbers w:val="0"/>
              <w:overflowPunct/>
              <w:topLinePunct w:val="0"/>
              <w:bidi w:val="0"/>
              <w:spacing w:line="360" w:lineRule="auto"/>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1、甩项部位</w:t>
            </w:r>
          </w:p>
          <w:p w14:paraId="69BECF49">
            <w:pPr>
              <w:keepNext w:val="0"/>
              <w:keepLines w:val="0"/>
              <w:pageBreakBefore w:val="0"/>
              <w:widowControl/>
              <w:suppressLineNumbers w:val="0"/>
              <w:overflowPunct/>
              <w:topLinePunct w:val="0"/>
              <w:bidi w:val="0"/>
              <w:spacing w:line="360" w:lineRule="auto"/>
              <w:ind w:firstLine="429" w:firstLineChars="179"/>
              <w:jc w:val="left"/>
              <w:textAlignment w:val="center"/>
              <w:rPr>
                <w:rFonts w:hint="eastAsia" w:ascii="仿宋" w:hAnsi="仿宋" w:eastAsia="仿宋" w:cs="仿宋"/>
                <w:i w:val="0"/>
                <w:iCs w:val="0"/>
                <w:color w:val="auto"/>
                <w:kern w:val="0"/>
                <w:sz w:val="24"/>
                <w:szCs w:val="24"/>
                <w:highlight w:val="none"/>
                <w:u w:val="none"/>
                <w:lang w:val="en-US" w:eastAsia="zh-CN" w:bidi="ar"/>
              </w:rPr>
            </w:pPr>
          </w:p>
          <w:p w14:paraId="41B63143">
            <w:pPr>
              <w:keepNext w:val="0"/>
              <w:keepLines w:val="0"/>
              <w:pageBreakBefore w:val="0"/>
              <w:widowControl/>
              <w:suppressLineNumbers w:val="0"/>
              <w:overflowPunct/>
              <w:topLinePunct w:val="0"/>
              <w:bidi w:val="0"/>
              <w:spacing w:line="360" w:lineRule="auto"/>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2、甩项内容</w:t>
            </w:r>
          </w:p>
          <w:p w14:paraId="2A55676F">
            <w:pPr>
              <w:keepNext w:val="0"/>
              <w:keepLines w:val="0"/>
              <w:pageBreakBefore w:val="0"/>
              <w:widowControl/>
              <w:suppressLineNumbers w:val="0"/>
              <w:overflowPunct/>
              <w:topLinePunct w:val="0"/>
              <w:bidi w:val="0"/>
              <w:spacing w:line="360" w:lineRule="auto"/>
              <w:ind w:firstLine="429" w:firstLineChars="179"/>
              <w:jc w:val="left"/>
              <w:textAlignment w:val="center"/>
              <w:rPr>
                <w:rFonts w:hint="eastAsia" w:ascii="仿宋" w:hAnsi="仿宋" w:eastAsia="仿宋" w:cs="仿宋"/>
                <w:i w:val="0"/>
                <w:iCs w:val="0"/>
                <w:color w:val="auto"/>
                <w:kern w:val="0"/>
                <w:sz w:val="24"/>
                <w:szCs w:val="24"/>
                <w:highlight w:val="none"/>
                <w:u w:val="none"/>
                <w:lang w:val="en-US" w:eastAsia="zh-CN" w:bidi="ar"/>
              </w:rPr>
            </w:pPr>
          </w:p>
          <w:p w14:paraId="1ADF0805">
            <w:pPr>
              <w:keepNext w:val="0"/>
              <w:keepLines w:val="0"/>
              <w:pageBreakBefore w:val="0"/>
              <w:widowControl/>
              <w:suppressLineNumbers w:val="0"/>
              <w:overflowPunct/>
              <w:topLinePunct w:val="0"/>
              <w:bidi w:val="0"/>
              <w:spacing w:line="360" w:lineRule="auto"/>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3、计划移交时间</w:t>
            </w:r>
          </w:p>
        </w:tc>
        <w:tc>
          <w:tcPr>
            <w:tcW w:w="2022" w:type="dxa"/>
            <w:vMerge w:val="restart"/>
            <w:tcBorders>
              <w:top w:val="single" w:color="000000" w:sz="4" w:space="0"/>
              <w:left w:val="single" w:color="000000" w:sz="4" w:space="0"/>
              <w:bottom w:val="single" w:color="000000" w:sz="4" w:space="0"/>
              <w:right w:val="single" w:color="000000" w:sz="4" w:space="0"/>
            </w:tcBorders>
            <w:noWrap/>
            <w:vAlign w:val="center"/>
          </w:tcPr>
          <w:p w14:paraId="22274D0A">
            <w:pPr>
              <w:keepNext w:val="0"/>
              <w:keepLines w:val="0"/>
              <w:pageBreakBefore w:val="0"/>
              <w:widowControl/>
              <w:suppressLineNumbers w:val="0"/>
              <w:overflowPunct/>
              <w:topLinePunct w:val="0"/>
              <w:bidi w:val="0"/>
              <w:spacing w:line="360" w:lineRule="auto"/>
              <w:ind w:firstLine="429" w:firstLineChars="179"/>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 </w:t>
            </w:r>
          </w:p>
        </w:tc>
      </w:tr>
      <w:tr w14:paraId="232C4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3270DE3">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4290" w:type="dxa"/>
            <w:vMerge w:val="continue"/>
            <w:tcBorders>
              <w:top w:val="single" w:color="000000" w:sz="4" w:space="0"/>
              <w:left w:val="single" w:color="000000" w:sz="4" w:space="0"/>
              <w:bottom w:val="single" w:color="000000" w:sz="4" w:space="0"/>
              <w:right w:val="single" w:color="000000" w:sz="4" w:space="0"/>
            </w:tcBorders>
            <w:noWrap/>
            <w:vAlign w:val="center"/>
          </w:tcPr>
          <w:p w14:paraId="641FE41F">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c>
          <w:tcPr>
            <w:tcW w:w="169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FC62489">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2022" w:type="dxa"/>
            <w:vMerge w:val="continue"/>
            <w:tcBorders>
              <w:top w:val="single" w:color="000000" w:sz="4" w:space="0"/>
              <w:left w:val="single" w:color="000000" w:sz="4" w:space="0"/>
              <w:bottom w:val="single" w:color="000000" w:sz="4" w:space="0"/>
              <w:right w:val="single" w:color="000000" w:sz="4" w:space="0"/>
            </w:tcBorders>
            <w:noWrap/>
            <w:vAlign w:val="center"/>
          </w:tcPr>
          <w:p w14:paraId="6A96A517">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r>
      <w:tr w14:paraId="5E2BE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CDC56B">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4290" w:type="dxa"/>
            <w:vMerge w:val="continue"/>
            <w:tcBorders>
              <w:top w:val="single" w:color="000000" w:sz="4" w:space="0"/>
              <w:left w:val="single" w:color="000000" w:sz="4" w:space="0"/>
              <w:bottom w:val="single" w:color="000000" w:sz="4" w:space="0"/>
              <w:right w:val="single" w:color="000000" w:sz="4" w:space="0"/>
            </w:tcBorders>
            <w:noWrap/>
            <w:vAlign w:val="center"/>
          </w:tcPr>
          <w:p w14:paraId="5D364895">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c>
          <w:tcPr>
            <w:tcW w:w="1694" w:type="dxa"/>
            <w:vMerge w:val="continue"/>
            <w:tcBorders>
              <w:top w:val="single" w:color="000000" w:sz="4" w:space="0"/>
              <w:left w:val="single" w:color="000000" w:sz="4" w:space="0"/>
              <w:bottom w:val="single" w:color="000000" w:sz="4" w:space="0"/>
              <w:right w:val="single" w:color="000000" w:sz="4" w:space="0"/>
            </w:tcBorders>
            <w:noWrap w:val="0"/>
            <w:vAlign w:val="center"/>
          </w:tcPr>
          <w:p w14:paraId="4503FD14">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2022" w:type="dxa"/>
            <w:vMerge w:val="continue"/>
            <w:tcBorders>
              <w:top w:val="single" w:color="000000" w:sz="4" w:space="0"/>
              <w:left w:val="single" w:color="000000" w:sz="4" w:space="0"/>
              <w:bottom w:val="single" w:color="000000" w:sz="4" w:space="0"/>
              <w:right w:val="single" w:color="000000" w:sz="4" w:space="0"/>
            </w:tcBorders>
            <w:noWrap/>
            <w:vAlign w:val="center"/>
          </w:tcPr>
          <w:p w14:paraId="2A8F7BD5">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r>
      <w:tr w14:paraId="2C732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4EBE90">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4290" w:type="dxa"/>
            <w:vMerge w:val="continue"/>
            <w:tcBorders>
              <w:top w:val="single" w:color="000000" w:sz="4" w:space="0"/>
              <w:left w:val="single" w:color="000000" w:sz="4" w:space="0"/>
              <w:bottom w:val="single" w:color="000000" w:sz="4" w:space="0"/>
              <w:right w:val="single" w:color="000000" w:sz="4" w:space="0"/>
            </w:tcBorders>
            <w:noWrap/>
            <w:vAlign w:val="center"/>
          </w:tcPr>
          <w:p w14:paraId="345FC3A0">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c>
          <w:tcPr>
            <w:tcW w:w="169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964FDB">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2022" w:type="dxa"/>
            <w:vMerge w:val="continue"/>
            <w:tcBorders>
              <w:top w:val="single" w:color="000000" w:sz="4" w:space="0"/>
              <w:left w:val="single" w:color="000000" w:sz="4" w:space="0"/>
              <w:bottom w:val="single" w:color="000000" w:sz="4" w:space="0"/>
              <w:right w:val="single" w:color="000000" w:sz="4" w:space="0"/>
            </w:tcBorders>
            <w:noWrap/>
            <w:vAlign w:val="center"/>
          </w:tcPr>
          <w:p w14:paraId="4EE41063">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r>
      <w:tr w14:paraId="06FC2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DDEE657">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4290" w:type="dxa"/>
            <w:vMerge w:val="continue"/>
            <w:tcBorders>
              <w:top w:val="single" w:color="000000" w:sz="4" w:space="0"/>
              <w:left w:val="single" w:color="000000" w:sz="4" w:space="0"/>
              <w:bottom w:val="single" w:color="000000" w:sz="4" w:space="0"/>
              <w:right w:val="single" w:color="000000" w:sz="4" w:space="0"/>
            </w:tcBorders>
            <w:noWrap/>
            <w:vAlign w:val="center"/>
          </w:tcPr>
          <w:p w14:paraId="7B25CE49">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c>
          <w:tcPr>
            <w:tcW w:w="169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31C3EBE">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2022" w:type="dxa"/>
            <w:vMerge w:val="continue"/>
            <w:tcBorders>
              <w:top w:val="single" w:color="000000" w:sz="4" w:space="0"/>
              <w:left w:val="single" w:color="000000" w:sz="4" w:space="0"/>
              <w:bottom w:val="single" w:color="000000" w:sz="4" w:space="0"/>
              <w:right w:val="single" w:color="000000" w:sz="4" w:space="0"/>
            </w:tcBorders>
            <w:noWrap/>
            <w:vAlign w:val="center"/>
          </w:tcPr>
          <w:p w14:paraId="3EA4AA6B">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r>
      <w:tr w14:paraId="17705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96011FC">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4290" w:type="dxa"/>
            <w:vMerge w:val="continue"/>
            <w:tcBorders>
              <w:top w:val="single" w:color="000000" w:sz="4" w:space="0"/>
              <w:left w:val="single" w:color="000000" w:sz="4" w:space="0"/>
              <w:bottom w:val="single" w:color="000000" w:sz="4" w:space="0"/>
              <w:right w:val="single" w:color="000000" w:sz="4" w:space="0"/>
            </w:tcBorders>
            <w:noWrap/>
            <w:vAlign w:val="center"/>
          </w:tcPr>
          <w:p w14:paraId="1C763EAF">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c>
          <w:tcPr>
            <w:tcW w:w="1694" w:type="dxa"/>
            <w:vMerge w:val="continue"/>
            <w:tcBorders>
              <w:top w:val="single" w:color="000000" w:sz="4" w:space="0"/>
              <w:left w:val="single" w:color="000000" w:sz="4" w:space="0"/>
              <w:bottom w:val="single" w:color="000000" w:sz="4" w:space="0"/>
              <w:right w:val="single" w:color="000000" w:sz="4" w:space="0"/>
            </w:tcBorders>
            <w:noWrap w:val="0"/>
            <w:vAlign w:val="center"/>
          </w:tcPr>
          <w:p w14:paraId="43C47BC2">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2022" w:type="dxa"/>
            <w:vMerge w:val="continue"/>
            <w:tcBorders>
              <w:top w:val="single" w:color="000000" w:sz="4" w:space="0"/>
              <w:left w:val="single" w:color="000000" w:sz="4" w:space="0"/>
              <w:bottom w:val="single" w:color="000000" w:sz="4" w:space="0"/>
              <w:right w:val="single" w:color="000000" w:sz="4" w:space="0"/>
            </w:tcBorders>
            <w:noWrap/>
            <w:vAlign w:val="center"/>
          </w:tcPr>
          <w:p w14:paraId="4FF4BD96">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r>
      <w:tr w14:paraId="2BFF3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1062B48">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4290" w:type="dxa"/>
            <w:vMerge w:val="continue"/>
            <w:tcBorders>
              <w:top w:val="single" w:color="000000" w:sz="4" w:space="0"/>
              <w:left w:val="single" w:color="000000" w:sz="4" w:space="0"/>
              <w:bottom w:val="single" w:color="000000" w:sz="4" w:space="0"/>
              <w:right w:val="single" w:color="000000" w:sz="4" w:space="0"/>
            </w:tcBorders>
            <w:noWrap/>
            <w:vAlign w:val="center"/>
          </w:tcPr>
          <w:p w14:paraId="0435C8B2">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c>
          <w:tcPr>
            <w:tcW w:w="1694" w:type="dxa"/>
            <w:vMerge w:val="continue"/>
            <w:tcBorders>
              <w:top w:val="single" w:color="000000" w:sz="4" w:space="0"/>
              <w:left w:val="single" w:color="000000" w:sz="4" w:space="0"/>
              <w:bottom w:val="single" w:color="000000" w:sz="4" w:space="0"/>
              <w:right w:val="single" w:color="000000" w:sz="4" w:space="0"/>
            </w:tcBorders>
            <w:noWrap w:val="0"/>
            <w:vAlign w:val="center"/>
          </w:tcPr>
          <w:p w14:paraId="6B2260C5">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2022" w:type="dxa"/>
            <w:vMerge w:val="continue"/>
            <w:tcBorders>
              <w:top w:val="single" w:color="000000" w:sz="4" w:space="0"/>
              <w:left w:val="single" w:color="000000" w:sz="4" w:space="0"/>
              <w:bottom w:val="single" w:color="000000" w:sz="4" w:space="0"/>
              <w:right w:val="single" w:color="000000" w:sz="4" w:space="0"/>
            </w:tcBorders>
            <w:noWrap/>
            <w:vAlign w:val="center"/>
          </w:tcPr>
          <w:p w14:paraId="7F1D4E7E">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r>
      <w:tr w14:paraId="3132A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0D12990">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4290" w:type="dxa"/>
            <w:vMerge w:val="continue"/>
            <w:tcBorders>
              <w:top w:val="single" w:color="000000" w:sz="4" w:space="0"/>
              <w:left w:val="single" w:color="000000" w:sz="4" w:space="0"/>
              <w:bottom w:val="single" w:color="000000" w:sz="4" w:space="0"/>
              <w:right w:val="single" w:color="000000" w:sz="4" w:space="0"/>
            </w:tcBorders>
            <w:noWrap/>
            <w:vAlign w:val="center"/>
          </w:tcPr>
          <w:p w14:paraId="5124831A">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c>
          <w:tcPr>
            <w:tcW w:w="169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B7B5D70">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c>
          <w:tcPr>
            <w:tcW w:w="2022" w:type="dxa"/>
            <w:vMerge w:val="continue"/>
            <w:tcBorders>
              <w:top w:val="single" w:color="000000" w:sz="4" w:space="0"/>
              <w:left w:val="single" w:color="000000" w:sz="4" w:space="0"/>
              <w:bottom w:val="single" w:color="000000" w:sz="4" w:space="0"/>
              <w:right w:val="single" w:color="000000" w:sz="4" w:space="0"/>
            </w:tcBorders>
            <w:noWrap/>
            <w:vAlign w:val="center"/>
          </w:tcPr>
          <w:p w14:paraId="6D3ADC5C">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r>
      <w:tr w14:paraId="419D76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7D5AF8BB">
            <w:pPr>
              <w:keepNext w:val="0"/>
              <w:keepLines w:val="0"/>
              <w:pageBreakBefore w:val="0"/>
              <w:widowControl/>
              <w:suppressLineNumbers w:val="0"/>
              <w:overflowPunct/>
              <w:topLinePunct w:val="0"/>
              <w:bidi w:val="0"/>
              <w:spacing w:line="360" w:lineRule="auto"/>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移交单位</w:t>
            </w:r>
          </w:p>
        </w:tc>
        <w:tc>
          <w:tcPr>
            <w:tcW w:w="4290" w:type="dxa"/>
            <w:tcBorders>
              <w:top w:val="nil"/>
              <w:left w:val="single" w:color="000000" w:sz="4" w:space="0"/>
              <w:bottom w:val="single" w:color="000000" w:sz="4" w:space="0"/>
              <w:right w:val="single" w:color="000000" w:sz="4" w:space="0"/>
            </w:tcBorders>
            <w:noWrap/>
            <w:vAlign w:val="center"/>
          </w:tcPr>
          <w:p w14:paraId="71545A50">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32FD4031">
            <w:pPr>
              <w:keepNext w:val="0"/>
              <w:keepLines w:val="0"/>
              <w:pageBreakBefore w:val="0"/>
              <w:widowControl/>
              <w:suppressLineNumbers w:val="0"/>
              <w:overflowPunct/>
              <w:topLinePunct w:val="0"/>
              <w:bidi w:val="0"/>
              <w:spacing w:line="360" w:lineRule="auto"/>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移交人及电话</w:t>
            </w:r>
          </w:p>
        </w:tc>
        <w:tc>
          <w:tcPr>
            <w:tcW w:w="2022" w:type="dxa"/>
            <w:tcBorders>
              <w:top w:val="single" w:color="000000" w:sz="4" w:space="0"/>
              <w:left w:val="single" w:color="000000" w:sz="4" w:space="0"/>
              <w:bottom w:val="single" w:color="000000" w:sz="4" w:space="0"/>
              <w:right w:val="single" w:color="000000" w:sz="4" w:space="0"/>
            </w:tcBorders>
            <w:noWrap/>
            <w:vAlign w:val="center"/>
          </w:tcPr>
          <w:p w14:paraId="7D000802">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r>
      <w:tr w14:paraId="695F2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2098B16C">
            <w:pPr>
              <w:keepNext w:val="0"/>
              <w:keepLines w:val="0"/>
              <w:pageBreakBefore w:val="0"/>
              <w:widowControl/>
              <w:suppressLineNumbers w:val="0"/>
              <w:overflowPunct/>
              <w:topLinePunct w:val="0"/>
              <w:bidi w:val="0"/>
              <w:spacing w:line="360" w:lineRule="auto"/>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接收单位                                                                                                                                                                  </w:t>
            </w:r>
          </w:p>
        </w:tc>
        <w:tc>
          <w:tcPr>
            <w:tcW w:w="4290" w:type="dxa"/>
            <w:tcBorders>
              <w:top w:val="single" w:color="000000" w:sz="4" w:space="0"/>
              <w:left w:val="single" w:color="000000" w:sz="4" w:space="0"/>
              <w:bottom w:val="single" w:color="000000" w:sz="4" w:space="0"/>
              <w:right w:val="single" w:color="000000" w:sz="4" w:space="0"/>
            </w:tcBorders>
            <w:noWrap w:val="0"/>
            <w:vAlign w:val="top"/>
          </w:tcPr>
          <w:p w14:paraId="2710308D">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c>
          <w:tcPr>
            <w:tcW w:w="1694" w:type="dxa"/>
            <w:tcBorders>
              <w:top w:val="single" w:color="000000" w:sz="4" w:space="0"/>
              <w:left w:val="single" w:color="000000" w:sz="4" w:space="0"/>
              <w:bottom w:val="single" w:color="000000" w:sz="4" w:space="0"/>
              <w:right w:val="single" w:color="000000" w:sz="4" w:space="0"/>
            </w:tcBorders>
            <w:noWrap w:val="0"/>
            <w:vAlign w:val="center"/>
          </w:tcPr>
          <w:p w14:paraId="2007DFF3">
            <w:pPr>
              <w:keepNext w:val="0"/>
              <w:keepLines w:val="0"/>
              <w:pageBreakBefore w:val="0"/>
              <w:widowControl/>
              <w:suppressLineNumbers w:val="0"/>
              <w:overflowPunct/>
              <w:topLinePunct w:val="0"/>
              <w:bidi w:val="0"/>
              <w:spacing w:line="360" w:lineRule="auto"/>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接收人及电话</w:t>
            </w:r>
          </w:p>
        </w:tc>
        <w:tc>
          <w:tcPr>
            <w:tcW w:w="2022" w:type="dxa"/>
            <w:tcBorders>
              <w:top w:val="single" w:color="000000" w:sz="4" w:space="0"/>
              <w:left w:val="single" w:color="000000" w:sz="4" w:space="0"/>
              <w:bottom w:val="single" w:color="000000" w:sz="4" w:space="0"/>
              <w:right w:val="single" w:color="000000" w:sz="4" w:space="0"/>
            </w:tcBorders>
            <w:noWrap w:val="0"/>
            <w:vAlign w:val="top"/>
          </w:tcPr>
          <w:p w14:paraId="1BF19A4B">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r>
      <w:tr w14:paraId="5F354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4AFA4D2B">
            <w:pPr>
              <w:keepNext w:val="0"/>
              <w:keepLines w:val="0"/>
              <w:pageBreakBefore w:val="0"/>
              <w:widowControl/>
              <w:suppressLineNumbers w:val="0"/>
              <w:overflowPunct/>
              <w:topLinePunct w:val="0"/>
              <w:bidi w:val="0"/>
              <w:spacing w:line="360" w:lineRule="auto"/>
              <w:jc w:val="both"/>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项目部组织及参加人员                                                          </w:t>
            </w:r>
          </w:p>
        </w:tc>
        <w:tc>
          <w:tcPr>
            <w:tcW w:w="8006" w:type="dxa"/>
            <w:gridSpan w:val="3"/>
            <w:tcBorders>
              <w:top w:val="single" w:color="000000" w:sz="4" w:space="0"/>
              <w:left w:val="single" w:color="000000" w:sz="4" w:space="0"/>
              <w:bottom w:val="single" w:color="000000" w:sz="4" w:space="0"/>
              <w:right w:val="single" w:color="000000" w:sz="4" w:space="0"/>
            </w:tcBorders>
            <w:noWrap w:val="0"/>
            <w:vAlign w:val="top"/>
          </w:tcPr>
          <w:p w14:paraId="0D4E2B09">
            <w:pPr>
              <w:keepNext w:val="0"/>
              <w:keepLines w:val="0"/>
              <w:pageBreakBefore w:val="0"/>
              <w:overflowPunct/>
              <w:topLinePunct w:val="0"/>
              <w:bidi w:val="0"/>
              <w:spacing w:line="360" w:lineRule="auto"/>
              <w:ind w:firstLine="429" w:firstLineChars="179"/>
              <w:jc w:val="center"/>
              <w:rPr>
                <w:rFonts w:hint="eastAsia" w:ascii="仿宋" w:hAnsi="仿宋" w:eastAsia="仿宋" w:cs="仿宋"/>
                <w:i w:val="0"/>
                <w:iCs w:val="0"/>
                <w:color w:val="auto"/>
                <w:sz w:val="24"/>
                <w:szCs w:val="24"/>
                <w:highlight w:val="none"/>
                <w:u w:val="none"/>
              </w:rPr>
            </w:pPr>
          </w:p>
        </w:tc>
      </w:tr>
      <w:tr w14:paraId="57F19E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restart"/>
            <w:tcBorders>
              <w:top w:val="nil"/>
              <w:left w:val="nil"/>
              <w:bottom w:val="nil"/>
              <w:right w:val="nil"/>
            </w:tcBorders>
            <w:noWrap w:val="0"/>
            <w:vAlign w:val="center"/>
          </w:tcPr>
          <w:p w14:paraId="0DE07085">
            <w:pPr>
              <w:keepNext w:val="0"/>
              <w:keepLines w:val="0"/>
              <w:pageBreakBefore w:val="0"/>
              <w:widowControl/>
              <w:suppressLineNumbers w:val="0"/>
              <w:overflowPunct/>
              <w:topLinePunct w:val="0"/>
              <w:bidi w:val="0"/>
              <w:spacing w:line="360" w:lineRule="auto"/>
              <w:ind w:firstLine="429" w:firstLineChars="179"/>
              <w:jc w:val="left"/>
              <w:textAlignment w:val="center"/>
              <w:rPr>
                <w:rFonts w:hint="eastAsia" w:ascii="仿宋" w:hAnsi="仿宋" w:eastAsia="仿宋" w:cs="仿宋"/>
                <w:i w:val="0"/>
                <w:iCs w:val="0"/>
                <w:color w:val="auto"/>
                <w:kern w:val="0"/>
                <w:sz w:val="24"/>
                <w:szCs w:val="24"/>
                <w:highlight w:val="none"/>
                <w:u w:val="none"/>
                <w:lang w:val="en-US" w:eastAsia="zh-CN" w:bidi="ar"/>
              </w:rPr>
            </w:pPr>
          </w:p>
          <w:p w14:paraId="18B25FDB">
            <w:pPr>
              <w:keepNext w:val="0"/>
              <w:keepLines w:val="0"/>
              <w:pageBreakBefore w:val="0"/>
              <w:widowControl/>
              <w:suppressLineNumbers w:val="0"/>
              <w:overflowPunct/>
              <w:topLinePunct w:val="0"/>
              <w:bidi w:val="0"/>
              <w:spacing w:line="360" w:lineRule="auto"/>
              <w:ind w:firstLine="429" w:firstLineChars="179"/>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注：</w:t>
            </w:r>
          </w:p>
          <w:p w14:paraId="1C972C70">
            <w:pPr>
              <w:keepNext w:val="0"/>
              <w:keepLines w:val="0"/>
              <w:pageBreakBefore w:val="0"/>
              <w:widowControl/>
              <w:suppressLineNumbers w:val="0"/>
              <w:overflowPunct/>
              <w:topLinePunct w:val="0"/>
              <w:bidi w:val="0"/>
              <w:spacing w:line="360" w:lineRule="auto"/>
              <w:ind w:firstLine="429" w:firstLineChars="179"/>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1、本表一式三份，交接单位及项目部各执一份，本表格签字完善后作为分包单位申请工程进度款的依据。</w:t>
            </w:r>
          </w:p>
          <w:p w14:paraId="7D4CE7AB">
            <w:pPr>
              <w:keepNext w:val="0"/>
              <w:keepLines w:val="0"/>
              <w:pageBreakBefore w:val="0"/>
              <w:widowControl/>
              <w:suppressLineNumbers w:val="0"/>
              <w:overflowPunct/>
              <w:topLinePunct w:val="0"/>
              <w:bidi w:val="0"/>
              <w:spacing w:line="360" w:lineRule="auto"/>
              <w:ind w:firstLine="429" w:firstLineChars="179"/>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2、移交人和接收人均为合同约定现场负责人。</w:t>
            </w:r>
          </w:p>
        </w:tc>
      </w:tr>
      <w:tr w14:paraId="7F523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continue"/>
            <w:tcBorders>
              <w:top w:val="nil"/>
              <w:left w:val="nil"/>
              <w:bottom w:val="nil"/>
              <w:right w:val="nil"/>
            </w:tcBorders>
            <w:noWrap w:val="0"/>
            <w:vAlign w:val="center"/>
          </w:tcPr>
          <w:p w14:paraId="2E668817">
            <w:pPr>
              <w:keepNext w:val="0"/>
              <w:keepLines w:val="0"/>
              <w:pageBreakBefore w:val="0"/>
              <w:overflowPunct/>
              <w:topLinePunct w:val="0"/>
              <w:bidi w:val="0"/>
              <w:spacing w:line="360" w:lineRule="auto"/>
              <w:ind w:firstLine="429" w:firstLineChars="179"/>
              <w:jc w:val="left"/>
              <w:rPr>
                <w:rFonts w:hint="eastAsia" w:ascii="仿宋" w:hAnsi="仿宋" w:eastAsia="仿宋" w:cs="仿宋"/>
                <w:i w:val="0"/>
                <w:iCs w:val="0"/>
                <w:color w:val="auto"/>
                <w:sz w:val="24"/>
                <w:szCs w:val="24"/>
                <w:highlight w:val="none"/>
                <w:u w:val="none"/>
              </w:rPr>
            </w:pPr>
          </w:p>
        </w:tc>
      </w:tr>
    </w:tbl>
    <w:p w14:paraId="7671CCF3">
      <w:pPr>
        <w:keepNext w:val="0"/>
        <w:keepLines w:val="0"/>
        <w:pageBreakBefore w:val="0"/>
        <w:shd w:val="clear" w:color="auto" w:fill="auto"/>
        <w:overflowPunct/>
        <w:topLinePunct w:val="0"/>
        <w:bidi w:val="0"/>
        <w:snapToGrid w:val="0"/>
        <w:spacing w:line="360" w:lineRule="auto"/>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14" w:name="_Toc23104"/>
      <w:bookmarkStart w:id="215" w:name="_Toc19866"/>
      <w:bookmarkStart w:id="216" w:name="_Toc2118"/>
      <w:bookmarkStart w:id="217" w:name="_Toc13962"/>
      <w:bookmarkStart w:id="218" w:name="_Toc19348"/>
      <w:bookmarkStart w:id="219" w:name="_Toc1305"/>
    </w:p>
    <w:p w14:paraId="356FAC87">
      <w:pPr>
        <w:keepNext w:val="0"/>
        <w:keepLines w:val="0"/>
        <w:pageBreakBefore w:val="0"/>
        <w:shd w:val="clear" w:color="auto" w:fill="auto"/>
        <w:overflowPunct/>
        <w:topLinePunct w:val="0"/>
        <w:bidi w:val="0"/>
        <w:snapToGrid w:val="0"/>
        <w:spacing w:line="360" w:lineRule="auto"/>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81" w:name="_GoBack"/>
      <w:bookmarkEnd w:id="281"/>
    </w:p>
    <w:p w14:paraId="4EB3ECF0">
      <w:pPr>
        <w:keepNext w:val="0"/>
        <w:keepLines w:val="0"/>
        <w:pageBreakBefore w:val="0"/>
        <w:shd w:val="clear" w:color="auto" w:fill="auto"/>
        <w:overflowPunct/>
        <w:topLinePunct w:val="0"/>
        <w:bidi w:val="0"/>
        <w:snapToGrid w:val="0"/>
        <w:spacing w:line="360" w:lineRule="auto"/>
        <w:jc w:val="right"/>
        <w:outlineLvl w:val="0"/>
        <w:rPr>
          <w:rFonts w:hint="eastAsia" w:ascii="仿宋" w:hAnsi="仿宋" w:eastAsia="仿宋" w:cs="仿宋"/>
          <w:b/>
          <w:bCs w:val="0"/>
          <w:color w:val="auto"/>
          <w:sz w:val="40"/>
          <w:szCs w:val="40"/>
          <w:highlight w:val="none"/>
          <w:shd w:val="clear" w:color="auto" w:fill="auto"/>
          <w:lang w:val="en-US" w:eastAsia="zh-CN"/>
        </w:rPr>
      </w:pPr>
    </w:p>
    <w:p w14:paraId="56FB633A">
      <w:pPr>
        <w:keepNext w:val="0"/>
        <w:keepLines w:val="0"/>
        <w:pageBreakBefore w:val="0"/>
        <w:shd w:val="clear" w:color="auto" w:fill="auto"/>
        <w:overflowPunct/>
        <w:topLinePunct w:val="0"/>
        <w:bidi w:val="0"/>
        <w:snapToGrid w:val="0"/>
        <w:spacing w:line="360" w:lineRule="auto"/>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20" w:name="_Toc24128"/>
      <w:bookmarkStart w:id="221" w:name="_Toc3615"/>
      <w:r>
        <w:rPr>
          <w:rFonts w:hint="eastAsia" w:ascii="仿宋" w:hAnsi="仿宋" w:eastAsia="仿宋" w:cs="仿宋"/>
          <w:b/>
          <w:bCs w:val="0"/>
          <w:color w:val="auto"/>
          <w:sz w:val="40"/>
          <w:szCs w:val="40"/>
          <w:highlight w:val="none"/>
          <w:shd w:val="clear" w:color="auto" w:fill="auto"/>
          <w:lang w:val="en-US" w:eastAsia="zh-CN"/>
        </w:rPr>
        <w:t>附件四</w:t>
      </w:r>
      <w:bookmarkEnd w:id="214"/>
      <w:bookmarkEnd w:id="215"/>
      <w:bookmarkEnd w:id="216"/>
      <w:bookmarkEnd w:id="217"/>
      <w:bookmarkEnd w:id="218"/>
      <w:bookmarkEnd w:id="219"/>
      <w:bookmarkEnd w:id="220"/>
      <w:bookmarkEnd w:id="221"/>
    </w:p>
    <w:p w14:paraId="6AA72985">
      <w:pPr>
        <w:ind w:firstLineChars="0"/>
        <w:jc w:val="center"/>
        <w:rPr>
          <w:rFonts w:hint="eastAsia" w:ascii="仿宋" w:hAnsi="仿宋" w:eastAsia="仿宋" w:cs="仿宋"/>
          <w:b/>
          <w:bCs w:val="0"/>
          <w:color w:val="auto"/>
          <w:sz w:val="28"/>
          <w:szCs w:val="28"/>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出 险 声 明 函</w:t>
      </w:r>
      <w:r>
        <w:rPr>
          <w:rFonts w:hint="eastAsia" w:ascii="仿宋_GB2312" w:hAnsi="仿宋_GB2312" w:eastAsia="仿宋_GB2312" w:cs="仿宋_GB2312"/>
          <w:b/>
          <w:bCs w:val="0"/>
          <w:color w:val="auto"/>
          <w:sz w:val="28"/>
          <w:szCs w:val="28"/>
          <w:highlight w:val="none"/>
          <w:shd w:val="clear" w:color="auto" w:fill="auto"/>
          <w:lang w:val="en-US" w:eastAsia="zh-CN"/>
        </w:rPr>
        <w:t xml:space="preserve"> </w:t>
      </w:r>
      <w:r>
        <w:rPr>
          <w:rFonts w:hint="eastAsia" w:ascii="仿宋" w:hAnsi="仿宋" w:eastAsia="仿宋" w:cs="仿宋"/>
          <w:b/>
          <w:bCs w:val="0"/>
          <w:color w:val="auto"/>
          <w:sz w:val="28"/>
          <w:szCs w:val="28"/>
          <w:highlight w:val="none"/>
          <w:shd w:val="clear" w:color="auto" w:fill="auto"/>
          <w:lang w:val="en-US" w:eastAsia="zh-CN"/>
        </w:rPr>
        <w:t xml:space="preserve">     </w:t>
      </w:r>
    </w:p>
    <w:p w14:paraId="2A3E45B4">
      <w:pPr>
        <w:ind w:firstLineChars="0"/>
        <w:jc w:val="center"/>
        <w:rPr>
          <w:rFonts w:hint="eastAsia" w:ascii="仿宋" w:hAnsi="仿宋" w:eastAsia="仿宋" w:cs="仿宋"/>
          <w:b/>
          <w:bCs w:val="0"/>
          <w:color w:val="auto"/>
          <w:sz w:val="28"/>
          <w:szCs w:val="28"/>
          <w:highlight w:val="none"/>
          <w:shd w:val="clear" w:color="auto" w:fill="auto"/>
          <w:lang w:eastAsia="zh-CN"/>
        </w:rPr>
      </w:pPr>
      <w:r>
        <w:rPr>
          <w:rFonts w:hint="eastAsia" w:ascii="仿宋" w:hAnsi="仿宋" w:eastAsia="仿宋" w:cs="仿宋"/>
          <w:b/>
          <w:bCs w:val="0"/>
          <w:color w:val="auto"/>
          <w:sz w:val="28"/>
          <w:szCs w:val="28"/>
          <w:highlight w:val="none"/>
          <w:shd w:val="clear" w:color="auto" w:fill="auto"/>
          <w:lang w:val="en-US" w:eastAsia="zh-CN"/>
        </w:rPr>
        <w:t xml:space="preserve">    </w:t>
      </w:r>
    </w:p>
    <w:p w14:paraId="5B27C20E">
      <w:pPr>
        <w:keepNext w:val="0"/>
        <w:keepLines w:val="0"/>
        <w:pageBreakBefore w:val="0"/>
        <w:widowControl w:val="0"/>
        <w:kinsoku/>
        <w:wordWrap/>
        <w:overflowPunct/>
        <w:topLinePunct w:val="0"/>
        <w:autoSpaceDE/>
        <w:autoSpaceDN/>
        <w:bidi w:val="0"/>
        <w:adjustRightInd/>
        <w:snapToGrid w:val="0"/>
        <w:ind w:firstLineChars="0"/>
        <w:textAlignment w:val="auto"/>
        <w:rPr>
          <w:rFonts w:hint="eastAsia" w:ascii="仿宋" w:hAnsi="仿宋" w:eastAsia="仿宋" w:cs="仿宋"/>
          <w:b/>
          <w:bCs/>
          <w:color w:val="auto"/>
          <w:sz w:val="24"/>
          <w:szCs w:val="24"/>
          <w:highlight w:val="none"/>
          <w:shd w:val="clear" w:color="auto" w:fill="auto"/>
          <w:lang w:val="en-US" w:eastAsia="zh-CN"/>
        </w:rPr>
      </w:pPr>
      <w:r>
        <w:rPr>
          <w:rFonts w:hint="eastAsia" w:ascii="仿宋" w:hAnsi="仿宋" w:eastAsia="仿宋" w:cs="仿宋"/>
          <w:b/>
          <w:bCs/>
          <w:color w:val="auto"/>
          <w:sz w:val="24"/>
          <w:szCs w:val="24"/>
          <w:highlight w:val="none"/>
          <w:shd w:val="clear" w:color="auto" w:fill="auto"/>
          <w:lang w:val="en-US" w:eastAsia="zh-CN"/>
        </w:rPr>
        <w:t>致：东莞市中泰建安工程有限公司（以下简称“贵司”）</w:t>
      </w:r>
    </w:p>
    <w:p w14:paraId="6CBC7284">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贵我双方于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日签订了</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项目（以下简称“本项目”）</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工程施工合同</w:t>
      </w:r>
      <w:r>
        <w:rPr>
          <w:rFonts w:hint="eastAsia" w:ascii="仿宋" w:hAnsi="仿宋" w:eastAsia="仿宋" w:cs="仿宋"/>
          <w:color w:val="auto"/>
          <w:sz w:val="24"/>
          <w:szCs w:val="24"/>
          <w:highlight w:val="none"/>
          <w:u w:val="single"/>
          <w:shd w:val="clear" w:color="auto" w:fill="auto"/>
          <w:lang w:val="en-US" w:eastAsia="zh-CN"/>
        </w:rPr>
        <w:t>》</w:t>
      </w:r>
      <w:r>
        <w:rPr>
          <w:rFonts w:hint="eastAsia" w:ascii="仿宋" w:hAnsi="仿宋" w:eastAsia="仿宋" w:cs="仿宋"/>
          <w:color w:val="auto"/>
          <w:sz w:val="24"/>
          <w:szCs w:val="24"/>
          <w:highlight w:val="none"/>
          <w:shd w:val="clear" w:color="auto" w:fill="auto"/>
          <w:lang w:val="en-US" w:eastAsia="zh-CN"/>
        </w:rPr>
        <w:t>（合同编号</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），现</w:t>
      </w:r>
      <w:r>
        <w:rPr>
          <w:rFonts w:hint="eastAsia" w:ascii="仿宋" w:hAnsi="仿宋" w:eastAsia="仿宋" w:cs="仿宋"/>
          <w:color w:val="auto"/>
          <w:sz w:val="24"/>
          <w:szCs w:val="24"/>
          <w:highlight w:val="none"/>
          <w:u w:val="single"/>
          <w:shd w:val="clear" w:color="auto" w:fill="auto"/>
          <w:lang w:val="en-US" w:eastAsia="zh-CN"/>
        </w:rPr>
        <w:t xml:space="preserve">  （声明单位）    </w:t>
      </w:r>
      <w:r>
        <w:rPr>
          <w:rFonts w:hint="eastAsia" w:ascii="仿宋" w:hAnsi="仿宋" w:eastAsia="仿宋" w:cs="仿宋"/>
          <w:color w:val="auto"/>
          <w:sz w:val="24"/>
          <w:szCs w:val="24"/>
          <w:highlight w:val="none"/>
          <w:u w:val="none"/>
          <w:shd w:val="clear" w:color="auto" w:fill="auto"/>
          <w:lang w:val="en-US" w:eastAsia="zh-CN"/>
        </w:rPr>
        <w:t>（以下简称“我司”）</w:t>
      </w:r>
      <w:r>
        <w:rPr>
          <w:rFonts w:hint="eastAsia" w:ascii="仿宋" w:hAnsi="仿宋" w:eastAsia="仿宋" w:cs="仿宋"/>
          <w:color w:val="auto"/>
          <w:sz w:val="24"/>
          <w:szCs w:val="24"/>
          <w:highlight w:val="none"/>
          <w:shd w:val="clear" w:color="auto" w:fill="auto"/>
          <w:lang w:val="en-US" w:eastAsia="zh-CN"/>
        </w:rPr>
        <w:t>员工在本项目施工时发生了安全事故，我司特作如下声明：</w:t>
      </w:r>
    </w:p>
    <w:p w14:paraId="38A2D00A">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b w:val="0"/>
          <w:bCs w:val="0"/>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1.我司</w:t>
      </w:r>
      <w:r>
        <w:rPr>
          <w:rFonts w:hint="eastAsia" w:ascii="仿宋" w:hAnsi="仿宋" w:eastAsia="仿宋" w:cs="仿宋"/>
          <w:color w:val="auto"/>
          <w:sz w:val="24"/>
          <w:szCs w:val="24"/>
          <w:highlight w:val="none"/>
          <w:shd w:val="clear" w:color="auto" w:fill="auto"/>
        </w:rPr>
        <w:t>员工</w:t>
      </w:r>
      <w:r>
        <w:rPr>
          <w:rFonts w:hint="eastAsia" w:ascii="仿宋" w:hAnsi="仿宋" w:eastAsia="仿宋" w:cs="仿宋"/>
          <w:color w:val="auto"/>
          <w:sz w:val="24"/>
          <w:szCs w:val="24"/>
          <w:highlight w:val="none"/>
          <w:shd w:val="clear" w:color="auto" w:fill="auto"/>
          <w:lang w:val="en-US" w:eastAsia="zh-CN"/>
        </w:rPr>
        <w:t>姓名</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eastAsia="zh-CN"/>
        </w:rPr>
        <w:t>（</w:t>
      </w:r>
      <w:r>
        <w:rPr>
          <w:rFonts w:hint="eastAsia" w:ascii="仿宋" w:hAnsi="仿宋" w:eastAsia="仿宋" w:cs="仿宋"/>
          <w:color w:val="auto"/>
          <w:sz w:val="24"/>
          <w:szCs w:val="24"/>
          <w:highlight w:val="none"/>
          <w:shd w:val="clear" w:color="auto" w:fill="auto"/>
        </w:rPr>
        <w:t>身份证号码</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w:t>
      </w:r>
      <w:r>
        <w:rPr>
          <w:rFonts w:hint="eastAsia" w:ascii="仿宋" w:hAnsi="仿宋" w:eastAsia="仿宋" w:cs="仿宋"/>
          <w:color w:val="auto"/>
          <w:sz w:val="24"/>
          <w:szCs w:val="24"/>
          <w:highlight w:val="none"/>
          <w:shd w:val="clear" w:color="auto" w:fill="auto"/>
        </w:rPr>
        <w:t>在</w:t>
      </w:r>
      <w:r>
        <w:rPr>
          <w:rFonts w:hint="eastAsia" w:ascii="仿宋" w:hAnsi="仿宋" w:eastAsia="仿宋" w:cs="仿宋"/>
          <w:color w:val="auto"/>
          <w:sz w:val="24"/>
          <w:szCs w:val="24"/>
          <w:highlight w:val="none"/>
          <w:shd w:val="clear" w:color="auto" w:fill="auto"/>
          <w:lang w:val="en-US" w:eastAsia="zh-CN"/>
        </w:rPr>
        <w:t>本</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bCs/>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项目</w:t>
      </w:r>
      <w:r>
        <w:rPr>
          <w:rFonts w:hint="eastAsia" w:ascii="仿宋" w:hAnsi="仿宋" w:eastAsia="仿宋" w:cs="仿宋"/>
          <w:color w:val="auto"/>
          <w:sz w:val="24"/>
          <w:szCs w:val="24"/>
          <w:highlight w:val="none"/>
          <w:shd w:val="clear" w:color="auto" w:fill="auto"/>
        </w:rPr>
        <w:t>从事</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工作，于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分左右，</w:t>
      </w:r>
      <w:r>
        <w:rPr>
          <w:rFonts w:hint="eastAsia" w:ascii="仿宋" w:hAnsi="仿宋" w:eastAsia="仿宋" w:cs="仿宋"/>
          <w:color w:val="auto"/>
          <w:sz w:val="24"/>
          <w:szCs w:val="24"/>
          <w:highlight w:val="none"/>
          <w:shd w:val="clear" w:color="auto" w:fill="auto"/>
          <w:lang w:val="en-US" w:eastAsia="zh-CN"/>
        </w:rPr>
        <w:t>发生了</w:t>
      </w:r>
      <w:r>
        <w:rPr>
          <w:rFonts w:hint="eastAsia" w:ascii="仿宋" w:hAnsi="仿宋" w:eastAsia="仿宋" w:cs="仿宋"/>
          <w:color w:val="auto"/>
          <w:sz w:val="24"/>
          <w:szCs w:val="24"/>
          <w:highlight w:val="none"/>
          <w:u w:val="single"/>
          <w:shd w:val="clear" w:color="auto" w:fill="auto"/>
          <w:lang w:val="en-US" w:eastAsia="zh-CN"/>
        </w:rPr>
        <w:t>（具体事故经过描述）</w:t>
      </w:r>
      <w:r>
        <w:rPr>
          <w:rFonts w:hint="eastAsia" w:ascii="仿宋" w:hAnsi="仿宋" w:eastAsia="仿宋" w:cs="仿宋"/>
          <w:color w:val="auto"/>
          <w:sz w:val="24"/>
          <w:szCs w:val="24"/>
          <w:highlight w:val="non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w:t>
      </w:r>
    </w:p>
    <w:p w14:paraId="2CADC5D0">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b w:val="0"/>
          <w:bCs w:val="0"/>
          <w:color w:val="auto"/>
          <w:sz w:val="24"/>
          <w:szCs w:val="24"/>
          <w:highlight w:val="none"/>
          <w:shd w:val="clear" w:color="auto" w:fill="auto"/>
          <w:lang w:val="en-US" w:eastAsia="zh-CN"/>
        </w:rPr>
        <w:t>2.我司员工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与贵司之间不存在劳动合同关系，即使贵司为配合我司办理</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i w:val="0"/>
          <w:iCs w:val="0"/>
          <w:color w:val="auto"/>
          <w:sz w:val="24"/>
          <w:szCs w:val="24"/>
          <w:highlight w:val="none"/>
          <w:u w:val="none"/>
          <w:shd w:val="clear" w:color="auto" w:fill="auto"/>
        </w:rPr>
        <w:t>建筑工程社会保险--工伤保险</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color w:val="auto"/>
          <w:sz w:val="24"/>
          <w:szCs w:val="24"/>
          <w:highlight w:val="none"/>
          <w:shd w:val="clear" w:color="auto" w:fill="auto"/>
          <w:lang w:val="en-US" w:eastAsia="zh-CN"/>
        </w:rPr>
        <w:t>的赔付以及社保机构要求出具关于我司员工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的《解除劳动关系协议》《劳动合同》等文件，也不意味着贵司与我</w:t>
      </w:r>
      <w:r>
        <w:rPr>
          <w:rFonts w:hint="eastAsia" w:ascii="仿宋" w:hAnsi="仿宋" w:eastAsia="仿宋" w:cs="仿宋"/>
          <w:color w:val="auto"/>
          <w:sz w:val="24"/>
          <w:szCs w:val="24"/>
          <w:highlight w:val="none"/>
          <w:shd w:val="clear" w:color="auto" w:fill="auto"/>
          <w:lang w:val="en-US" w:eastAsia="zh-CN"/>
        </w:rPr>
        <w:t>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建立了劳动关系，我司仍按劳动合同承担该员工雇用期间应承担的用人责任。</w:t>
      </w:r>
    </w:p>
    <w:p w14:paraId="04A66949">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3.我司</w:t>
      </w:r>
      <w:r>
        <w:rPr>
          <w:rFonts w:hint="eastAsia" w:ascii="仿宋" w:hAnsi="仿宋" w:eastAsia="仿宋" w:cs="仿宋"/>
          <w:color w:val="auto"/>
          <w:sz w:val="24"/>
          <w:szCs w:val="24"/>
          <w:highlight w:val="none"/>
          <w:shd w:val="clear" w:color="auto" w:fill="auto"/>
        </w:rPr>
        <w:t>恳请</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按国家政策</w:t>
      </w:r>
      <w:r>
        <w:rPr>
          <w:rFonts w:hint="eastAsia" w:ascii="仿宋" w:hAnsi="仿宋" w:eastAsia="仿宋" w:cs="仿宋"/>
          <w:color w:val="auto"/>
          <w:sz w:val="24"/>
          <w:szCs w:val="24"/>
          <w:highlight w:val="none"/>
          <w:shd w:val="clear" w:color="auto" w:fill="auto"/>
          <w:lang w:eastAsia="zh-CN"/>
        </w:rPr>
        <w:t>为</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在本项目</w:t>
      </w:r>
      <w:r>
        <w:rPr>
          <w:rFonts w:hint="eastAsia" w:ascii="仿宋" w:hAnsi="仿宋" w:eastAsia="仿宋" w:cs="仿宋"/>
          <w:color w:val="auto"/>
          <w:sz w:val="24"/>
          <w:szCs w:val="24"/>
          <w:highlight w:val="none"/>
          <w:shd w:val="clear" w:color="auto" w:fill="auto"/>
        </w:rPr>
        <w:t>申报工伤，无论</w:t>
      </w:r>
      <w:r>
        <w:rPr>
          <w:rFonts w:hint="eastAsia" w:ascii="仿宋" w:hAnsi="仿宋" w:eastAsia="仿宋" w:cs="仿宋"/>
          <w:color w:val="auto"/>
          <w:sz w:val="24"/>
          <w:szCs w:val="24"/>
          <w:highlight w:val="none"/>
          <w:shd w:val="clear" w:color="auto" w:fill="auto"/>
          <w:lang w:val="en-US" w:eastAsia="zh-CN"/>
        </w:rPr>
        <w:t>此次</w:t>
      </w:r>
      <w:r>
        <w:rPr>
          <w:rFonts w:hint="eastAsia" w:ascii="仿宋" w:hAnsi="仿宋" w:eastAsia="仿宋" w:cs="仿宋"/>
          <w:color w:val="auto"/>
          <w:sz w:val="24"/>
          <w:szCs w:val="24"/>
          <w:highlight w:val="none"/>
          <w:shd w:val="clear" w:color="auto" w:fill="auto"/>
        </w:rPr>
        <w:t>能否认定工伤，在此</w:t>
      </w:r>
      <w:r>
        <w:rPr>
          <w:rFonts w:hint="eastAsia" w:ascii="仿宋" w:hAnsi="仿宋" w:eastAsia="仿宋" w:cs="仿宋"/>
          <w:color w:val="auto"/>
          <w:sz w:val="24"/>
          <w:szCs w:val="24"/>
          <w:highlight w:val="none"/>
          <w:shd w:val="clear" w:color="auto" w:fill="auto"/>
          <w:lang w:val="en-US" w:eastAsia="zh-CN"/>
        </w:rPr>
        <w:t>我司郑重声明</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此次事件</w:t>
      </w:r>
      <w:r>
        <w:rPr>
          <w:rFonts w:hint="eastAsia" w:ascii="仿宋" w:hAnsi="仿宋" w:eastAsia="仿宋" w:cs="仿宋"/>
          <w:color w:val="auto"/>
          <w:sz w:val="24"/>
          <w:szCs w:val="24"/>
          <w:highlight w:val="none"/>
          <w:shd w:val="clear" w:color="auto" w:fill="auto"/>
        </w:rPr>
        <w:t>若能认定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工伤，在取得国家社保医疗保险赔偿部分后，</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不再以任何形式、任何理由向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主张超社保赔付的医疗费用、一次性就业补助金等其他任何经济补偿</w:t>
      </w:r>
      <w:r>
        <w:rPr>
          <w:rFonts w:hint="eastAsia" w:ascii="仿宋" w:hAnsi="仿宋" w:eastAsia="仿宋" w:cs="仿宋"/>
          <w:color w:val="auto"/>
          <w:sz w:val="24"/>
          <w:szCs w:val="24"/>
          <w:highlight w:val="none"/>
          <w:shd w:val="clear" w:color="auto" w:fill="auto"/>
          <w:lang w:eastAsia="zh-CN"/>
        </w:rPr>
        <w:t>，并保证约束</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不向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lang w:val="en-US" w:eastAsia="zh-CN"/>
        </w:rPr>
        <w:t>主张上述经济补偿</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无论</w:t>
      </w:r>
      <w:r>
        <w:rPr>
          <w:rFonts w:hint="eastAsia" w:ascii="仿宋" w:hAnsi="仿宋" w:eastAsia="仿宋" w:cs="仿宋"/>
          <w:color w:val="auto"/>
          <w:sz w:val="24"/>
          <w:szCs w:val="24"/>
          <w:highlight w:val="none"/>
          <w:shd w:val="clear" w:color="auto" w:fill="auto"/>
        </w:rPr>
        <w:t>社保部门</w:t>
      </w:r>
      <w:r>
        <w:rPr>
          <w:rFonts w:hint="eastAsia" w:ascii="仿宋" w:hAnsi="仿宋" w:eastAsia="仿宋" w:cs="仿宋"/>
          <w:color w:val="auto"/>
          <w:sz w:val="24"/>
          <w:szCs w:val="24"/>
          <w:highlight w:val="none"/>
          <w:shd w:val="clear" w:color="auto" w:fill="auto"/>
          <w:lang w:val="en-US" w:eastAsia="zh-CN"/>
        </w:rPr>
        <w:t>是否</w:t>
      </w:r>
      <w:r>
        <w:rPr>
          <w:rFonts w:hint="eastAsia" w:ascii="仿宋" w:hAnsi="仿宋" w:eastAsia="仿宋" w:cs="仿宋"/>
          <w:color w:val="auto"/>
          <w:sz w:val="24"/>
          <w:szCs w:val="24"/>
          <w:highlight w:val="none"/>
          <w:shd w:val="clear" w:color="auto" w:fill="auto"/>
        </w:rPr>
        <w:t>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工伤，由此事件引起的一切费用及责任</w:t>
      </w:r>
      <w:r>
        <w:rPr>
          <w:rFonts w:hint="eastAsia" w:ascii="仿宋" w:hAnsi="仿宋" w:eastAsia="仿宋" w:cs="仿宋"/>
          <w:color w:val="auto"/>
          <w:sz w:val="24"/>
          <w:szCs w:val="24"/>
          <w:highlight w:val="none"/>
          <w:shd w:val="clear" w:color="auto" w:fill="auto"/>
          <w:lang w:val="en-US" w:eastAsia="zh-CN"/>
        </w:rPr>
        <w:t>均</w:t>
      </w:r>
      <w:r>
        <w:rPr>
          <w:rFonts w:hint="eastAsia" w:ascii="仿宋" w:hAnsi="仿宋" w:eastAsia="仿宋" w:cs="仿宋"/>
          <w:color w:val="auto"/>
          <w:sz w:val="24"/>
          <w:szCs w:val="24"/>
          <w:highlight w:val="none"/>
          <w:shd w:val="clear" w:color="auto" w:fill="auto"/>
        </w:rPr>
        <w:t>由</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自行</w:t>
      </w:r>
      <w:r>
        <w:rPr>
          <w:rFonts w:hint="eastAsia" w:ascii="仿宋" w:hAnsi="仿宋" w:eastAsia="仿宋" w:cs="仿宋"/>
          <w:color w:val="auto"/>
          <w:sz w:val="24"/>
          <w:szCs w:val="24"/>
          <w:highlight w:val="none"/>
          <w:shd w:val="clear" w:color="auto" w:fill="auto"/>
          <w:lang w:val="en-US" w:eastAsia="zh-CN"/>
        </w:rPr>
        <w:t>承担和</w:t>
      </w:r>
      <w:r>
        <w:rPr>
          <w:rFonts w:hint="eastAsia" w:ascii="仿宋" w:hAnsi="仿宋" w:eastAsia="仿宋" w:cs="仿宋"/>
          <w:color w:val="auto"/>
          <w:sz w:val="24"/>
          <w:szCs w:val="24"/>
          <w:highlight w:val="none"/>
          <w:shd w:val="clear" w:color="auto" w:fill="auto"/>
        </w:rPr>
        <w:t>解决。</w:t>
      </w:r>
    </w:p>
    <w:p w14:paraId="1BD6E3FA">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4.若我司员工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以贵司作为用人单位，要求贵司承担用人单位义务（如社保、公积金、工资等）、用人单位责任（经济补偿金、一次性就业补助金等）而向社保机构投诉、提起争议仲裁或诉讼，根据相关机构的要求或生效裁决需贵司支付费用的，本次工伤/亡事故处理全过程产生的所有费用由我司自行承担，对贵司造成的损失由我司全部赔偿，且我司自愿向贵司支付金额等于本次工伤/亡事故所耗费用1.5倍的违约金。</w:t>
      </w:r>
    </w:p>
    <w:p w14:paraId="2945628E">
      <w:pPr>
        <w:keepNext w:val="0"/>
        <w:keepLines w:val="0"/>
        <w:pageBreakBefore w:val="0"/>
        <w:widowControl w:val="0"/>
        <w:numPr>
          <w:ilvl w:val="0"/>
          <w:numId w:val="0"/>
        </w:numPr>
        <w:kinsoku/>
        <w:wordWrap/>
        <w:overflowPunct/>
        <w:topLinePunct w:val="0"/>
        <w:autoSpaceDE/>
        <w:autoSpaceDN/>
        <w:bidi w:val="0"/>
        <w:adjustRightInd/>
        <w:snapToGrid w:val="0"/>
        <w:spacing w:before="0" w:line="240" w:lineRule="auto"/>
        <w:ind w:left="0" w:leftChars="0" w:right="0" w:rightChars="0" w:firstLine="480" w:firstLineChars="200"/>
        <w:jc w:val="left"/>
        <w:textAlignment w:val="auto"/>
        <w:rPr>
          <w:rFonts w:hint="eastAsia" w:ascii="仿宋" w:hAnsi="仿宋" w:eastAsia="仿宋" w:cs="仿宋"/>
          <w:color w:val="auto"/>
          <w:spacing w:val="0"/>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5、</w:t>
      </w:r>
      <w:r>
        <w:rPr>
          <w:rFonts w:hint="eastAsia" w:ascii="仿宋" w:hAnsi="仿宋" w:eastAsia="仿宋" w:cs="仿宋"/>
          <w:color w:val="auto"/>
          <w:spacing w:val="0"/>
          <w:sz w:val="24"/>
          <w:szCs w:val="24"/>
          <w:highlight w:val="none"/>
          <w:shd w:val="clear" w:color="auto" w:fill="auto"/>
          <w:lang w:val="en-US" w:eastAsia="zh-CN"/>
        </w:rPr>
        <w:t>特别约定：</w:t>
      </w:r>
    </w:p>
    <w:p w14:paraId="09BB5206">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pacing w:val="0"/>
          <w:sz w:val="24"/>
          <w:szCs w:val="24"/>
          <w:highlight w:val="none"/>
          <w:shd w:val="clear" w:color="auto" w:fill="auto"/>
          <w:lang w:val="en-US" w:eastAsia="zh-CN"/>
        </w:rPr>
        <w:t>*******公司法定代表人</w:t>
      </w:r>
      <w:r>
        <w:rPr>
          <w:rFonts w:hint="eastAsia" w:ascii="仿宋" w:hAnsi="仿宋" w:eastAsia="仿宋" w:cs="仿宋"/>
          <w:color w:val="auto"/>
          <w:spacing w:val="0"/>
          <w:sz w:val="24"/>
          <w:szCs w:val="24"/>
          <w:highlight w:val="none"/>
          <w:u w:val="none"/>
          <w:shd w:val="clear" w:color="auto" w:fill="auto"/>
          <w:lang w:val="en-US" w:eastAsia="zh-CN"/>
        </w:rPr>
        <w:t xml:space="preserve"> **** </w:t>
      </w:r>
      <w:r>
        <w:rPr>
          <w:rFonts w:hint="eastAsia" w:ascii="仿宋" w:hAnsi="仿宋" w:eastAsia="仿宋" w:cs="仿宋"/>
          <w:color w:val="auto"/>
          <w:spacing w:val="0"/>
          <w:sz w:val="24"/>
          <w:szCs w:val="24"/>
          <w:highlight w:val="none"/>
          <w:shd w:val="clear" w:color="auto" w:fill="auto"/>
          <w:lang w:val="en-US" w:eastAsia="zh-CN"/>
        </w:rPr>
        <w:t>（身份证号：</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）、实际控制人</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（身份证号：</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）就本《</w:t>
      </w:r>
      <w:r>
        <w:rPr>
          <w:rFonts w:hint="eastAsia" w:ascii="仿宋" w:hAnsi="仿宋" w:eastAsia="仿宋" w:cs="仿宋"/>
          <w:b w:val="0"/>
          <w:bCs w:val="0"/>
          <w:color w:val="auto"/>
          <w:spacing w:val="0"/>
          <w:sz w:val="24"/>
          <w:szCs w:val="24"/>
          <w:highlight w:val="none"/>
          <w:shd w:val="clear" w:color="auto" w:fill="auto"/>
          <w:lang w:val="en-US" w:eastAsia="zh-CN"/>
        </w:rPr>
        <w:t>出险声明函</w:t>
      </w:r>
      <w:r>
        <w:rPr>
          <w:rFonts w:hint="eastAsia" w:ascii="仿宋" w:hAnsi="仿宋" w:eastAsia="仿宋" w:cs="仿宋"/>
          <w:color w:val="auto"/>
          <w:spacing w:val="0"/>
          <w:sz w:val="24"/>
          <w:szCs w:val="24"/>
          <w:highlight w:val="none"/>
          <w:shd w:val="clear" w:color="auto" w:fill="auto"/>
          <w:lang w:val="en-US" w:eastAsia="zh-CN"/>
        </w:rPr>
        <w:t>》列明之全部公司责任后果，同意无条件向贵司承担连带清偿责任，并同意承担贵司为实现债权而产生的诉讼费、财产保全费、保全担保费、证据保全公证费、律师代理费、差旅费等费用</w:t>
      </w:r>
      <w:r>
        <w:rPr>
          <w:rFonts w:hint="eastAsia" w:ascii="仿宋" w:hAnsi="仿宋" w:eastAsia="仿宋" w:cs="仿宋"/>
          <w:color w:val="auto"/>
          <w:sz w:val="24"/>
          <w:szCs w:val="24"/>
          <w:highlight w:val="none"/>
          <w:shd w:val="clear" w:color="auto" w:fill="auto"/>
          <w:lang w:val="en-US" w:eastAsia="zh-CN"/>
        </w:rPr>
        <w:t>。</w:t>
      </w:r>
    </w:p>
    <w:p w14:paraId="08B7EB85">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特此声明！</w:t>
      </w:r>
    </w:p>
    <w:p w14:paraId="02D0FD95">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default" w:ascii="仿宋" w:hAnsi="仿宋" w:eastAsia="仿宋" w:cs="仿宋"/>
          <w:color w:val="auto"/>
          <w:sz w:val="24"/>
          <w:szCs w:val="24"/>
          <w:highlight w:val="none"/>
          <w:shd w:val="clear" w:color="auto" w:fill="auto"/>
          <w:lang w:val="en-US" w:eastAsia="zh-CN"/>
        </w:rPr>
      </w:pPr>
      <w:r>
        <w:rPr>
          <w:rFonts w:hint="default" w:ascii="仿宋" w:hAnsi="仿宋" w:eastAsia="仿宋" w:cs="仿宋"/>
          <w:color w:val="auto"/>
          <w:sz w:val="24"/>
          <w:szCs w:val="24"/>
          <w:highlight w:val="none"/>
          <w:shd w:val="clear" w:color="auto" w:fill="auto"/>
          <w:lang w:val="en-US" w:eastAsia="zh-CN"/>
        </w:rPr>
        <w:t>附件：</w:t>
      </w:r>
      <w:r>
        <w:rPr>
          <w:rFonts w:hint="eastAsia" w:ascii="仿宋" w:hAnsi="仿宋" w:eastAsia="仿宋" w:cs="仿宋"/>
          <w:color w:val="auto"/>
          <w:sz w:val="24"/>
          <w:szCs w:val="24"/>
          <w:highlight w:val="none"/>
          <w:shd w:val="clear" w:color="auto" w:fill="auto"/>
          <w:lang w:val="en-US" w:eastAsia="zh-CN"/>
        </w:rPr>
        <w:t>连带清偿责任</w:t>
      </w:r>
      <w:r>
        <w:rPr>
          <w:rFonts w:hint="default" w:ascii="仿宋" w:hAnsi="仿宋" w:eastAsia="仿宋" w:cs="仿宋"/>
          <w:color w:val="auto"/>
          <w:sz w:val="24"/>
          <w:szCs w:val="24"/>
          <w:highlight w:val="none"/>
          <w:shd w:val="clear" w:color="auto" w:fill="auto"/>
          <w:lang w:val="en-US" w:eastAsia="zh-CN"/>
        </w:rPr>
        <w:t>人身份证正反面复印件</w:t>
      </w:r>
    </w:p>
    <w:p w14:paraId="3274CF48">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仿宋" w:hAnsi="仿宋" w:eastAsia="仿宋" w:cs="仿宋"/>
          <w:color w:val="auto"/>
          <w:sz w:val="24"/>
          <w:szCs w:val="24"/>
          <w:highlight w:val="none"/>
          <w:shd w:val="clear" w:color="auto" w:fill="auto"/>
          <w:lang w:val="en-US" w:eastAsia="zh-CN"/>
        </w:rPr>
      </w:pPr>
    </w:p>
    <w:p w14:paraId="4C69F453">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声明单位：（全名称并盖公章） </w:t>
      </w:r>
    </w:p>
    <w:p w14:paraId="3CC7CEA3">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法人代表或授权代表签章：</w:t>
      </w:r>
    </w:p>
    <w:p w14:paraId="08C70C87">
      <w:pPr>
        <w:keepNext w:val="0"/>
        <w:keepLines w:val="0"/>
        <w:pageBreakBefore w:val="0"/>
        <w:widowControl w:val="0"/>
        <w:kinsoku/>
        <w:wordWrap/>
        <w:overflowPunct/>
        <w:topLinePunct w:val="0"/>
        <w:autoSpaceDE/>
        <w:autoSpaceDN/>
        <w:bidi w:val="0"/>
        <w:adjustRightInd/>
        <w:snapToGrid w:val="0"/>
        <w:spacing w:line="240" w:lineRule="auto"/>
        <w:ind w:left="630" w:leftChars="300" w:firstLine="480" w:firstLineChars="200"/>
        <w:jc w:val="center"/>
        <w:textAlignment w:val="auto"/>
        <w:rPr>
          <w:rFonts w:hint="default" w:ascii="Times New Roman" w:hAnsi="Times New Roman" w:eastAsia="宋体" w:cs="Times New Roman"/>
          <w:color w:val="auto"/>
          <w:kern w:val="2"/>
          <w:sz w:val="20"/>
          <w:szCs w:val="21"/>
          <w:highlight w:val="none"/>
          <w:lang w:val="en-US" w:eastAsia="zh-CN" w:bidi="ar-SA"/>
        </w:rPr>
      </w:pPr>
      <w:r>
        <w:rPr>
          <w:rFonts w:hint="eastAsia" w:ascii="仿宋" w:hAnsi="仿宋" w:eastAsia="仿宋" w:cs="仿宋"/>
          <w:color w:val="auto"/>
          <w:kern w:val="2"/>
          <w:sz w:val="24"/>
          <w:szCs w:val="24"/>
          <w:highlight w:val="none"/>
          <w:shd w:val="clear" w:color="auto" w:fill="auto"/>
          <w:lang w:val="en-US" w:eastAsia="zh-CN" w:bidi="ar-SA"/>
        </w:rPr>
        <w:t xml:space="preserve">         连带清偿责任人（签名）：</w:t>
      </w:r>
    </w:p>
    <w:p w14:paraId="7005AAC0">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电    话：                </w:t>
      </w:r>
    </w:p>
    <w:p w14:paraId="35E1A55E">
      <w:pPr>
        <w:keepNext w:val="0"/>
        <w:keepLines w:val="0"/>
        <w:pageBreakBefore w:val="0"/>
        <w:shd w:val="clear" w:color="auto" w:fill="auto"/>
        <w:overflowPunct/>
        <w:topLinePunct w:val="0"/>
        <w:bidi w:val="0"/>
        <w:snapToGrid w:val="0"/>
        <w:spacing w:line="360" w:lineRule="auto"/>
        <w:ind w:firstLineChars="0"/>
        <w:jc w:val="center"/>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                   日    期：     年  月  日 </w:t>
      </w:r>
    </w:p>
    <w:p w14:paraId="7DCBC30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ind w:firstLine="429" w:firstLineChars="179"/>
        <w:textAlignment w:val="auto"/>
        <w:rPr>
          <w:rFonts w:hint="eastAsia" w:ascii="仿宋" w:hAnsi="仿宋" w:eastAsia="仿宋" w:cs="仿宋"/>
          <w:color w:val="auto"/>
          <w:sz w:val="24"/>
          <w:szCs w:val="24"/>
          <w:highlight w:val="none"/>
          <w:shd w:val="clear" w:color="auto" w:fill="auto"/>
          <w:lang w:val="en-US" w:eastAsia="zh-CN"/>
        </w:rPr>
      </w:pPr>
    </w:p>
    <w:p w14:paraId="7A589630">
      <w:pPr>
        <w:keepNext w:val="0"/>
        <w:keepLines w:val="0"/>
        <w:pageBreakBefore w:val="0"/>
        <w:widowControl w:val="0"/>
        <w:kinsoku/>
        <w:wordWrap/>
        <w:overflowPunct/>
        <w:topLinePunct w:val="0"/>
        <w:autoSpaceDE/>
        <w:autoSpaceDN/>
        <w:bidi w:val="0"/>
        <w:adjustRightInd/>
        <w:snapToGrid w:val="0"/>
        <w:spacing w:line="360" w:lineRule="auto"/>
        <w:ind w:firstLine="431" w:firstLineChars="179"/>
        <w:jc w:val="center"/>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b/>
          <w:bCs/>
          <w:color w:val="auto"/>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 xml:space="preserve">                               </w:t>
      </w:r>
    </w:p>
    <w:p w14:paraId="700219B4">
      <w:pPr>
        <w:keepNext w:val="0"/>
        <w:keepLines w:val="0"/>
        <w:pageBreakBefore w:val="0"/>
        <w:widowControl w:val="0"/>
        <w:kinsoku/>
        <w:wordWrap/>
        <w:overflowPunct/>
        <w:topLinePunct w:val="0"/>
        <w:autoSpaceDE/>
        <w:autoSpaceDN/>
        <w:bidi w:val="0"/>
        <w:adjustRightInd/>
        <w:snapToGrid w:val="0"/>
        <w:spacing w:line="360" w:lineRule="auto"/>
        <w:ind w:firstLine="429" w:firstLineChars="179"/>
        <w:jc w:val="center"/>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                                </w:t>
      </w:r>
    </w:p>
    <w:p w14:paraId="62960F98">
      <w:pPr>
        <w:keepNext w:val="0"/>
        <w:keepLines w:val="0"/>
        <w:pageBreakBefore w:val="0"/>
        <w:shd w:val="clear" w:color="auto" w:fill="auto"/>
        <w:overflowPunct/>
        <w:topLinePunct w:val="0"/>
        <w:bidi w:val="0"/>
        <w:snapToGrid w:val="0"/>
        <w:spacing w:line="360" w:lineRule="auto"/>
        <w:ind w:firstLine="429" w:firstLineChars="179"/>
        <w:jc w:val="both"/>
        <w:rPr>
          <w:rFonts w:hint="eastAsia" w:ascii="仿宋" w:hAnsi="仿宋" w:eastAsia="仿宋" w:cs="仿宋"/>
          <w:color w:val="auto"/>
          <w:sz w:val="24"/>
          <w:szCs w:val="24"/>
          <w:highlight w:val="none"/>
          <w:shd w:val="clear" w:color="auto" w:fill="auto"/>
          <w:lang w:val="en-US" w:eastAsia="zh-CN"/>
        </w:rPr>
      </w:pPr>
    </w:p>
    <w:tbl>
      <w:tblPr>
        <w:tblStyle w:val="15"/>
        <w:tblpPr w:leftFromText="180" w:rightFromText="180" w:vertAnchor="text" w:horzAnchor="page" w:tblpX="1537" w:tblpY="816"/>
        <w:tblOverlap w:val="never"/>
        <w:tblW w:w="5154" w:type="pct"/>
        <w:tblInd w:w="0" w:type="dxa"/>
        <w:tblLayout w:type="fixed"/>
        <w:tblCellMar>
          <w:top w:w="15" w:type="dxa"/>
          <w:left w:w="15" w:type="dxa"/>
          <w:bottom w:w="15" w:type="dxa"/>
          <w:right w:w="15" w:type="dxa"/>
        </w:tblCellMar>
      </w:tblPr>
      <w:tblGrid>
        <w:gridCol w:w="9123"/>
      </w:tblGrid>
      <w:tr w14:paraId="5C14FF17">
        <w:tblPrEx>
          <w:tblCellMar>
            <w:top w:w="15" w:type="dxa"/>
            <w:left w:w="15" w:type="dxa"/>
            <w:bottom w:w="15" w:type="dxa"/>
            <w:right w:w="15" w:type="dxa"/>
          </w:tblCellMar>
        </w:tblPrEx>
        <w:trPr>
          <w:trHeight w:val="11338" w:hRule="atLeast"/>
        </w:trPr>
        <w:tc>
          <w:tcPr>
            <w:tcW w:w="5000" w:type="pct"/>
            <w:noWrap w:val="0"/>
            <w:vAlign w:val="center"/>
          </w:tcPr>
          <w:p w14:paraId="600B16A5">
            <w:pPr>
              <w:keepNext w:val="0"/>
              <w:keepLines w:val="0"/>
              <w:pageBreakBefore w:val="0"/>
              <w:overflowPunct/>
              <w:topLinePunct w:val="0"/>
              <w:bidi w:val="0"/>
              <w:spacing w:before="90" w:line="360" w:lineRule="auto"/>
              <w:ind w:firstLine="587" w:firstLineChars="179"/>
              <w:jc w:val="center"/>
              <w:outlineLvl w:val="0"/>
              <w:rPr>
                <w:rFonts w:ascii="仿宋" w:hAnsi="仿宋" w:eastAsia="仿宋" w:cs="仿宋"/>
                <w:color w:val="auto"/>
                <w:sz w:val="31"/>
                <w:szCs w:val="31"/>
                <w:highlight w:val="none"/>
              </w:rPr>
            </w:pPr>
            <w:bookmarkStart w:id="222" w:name="_Toc11907"/>
            <w:bookmarkStart w:id="223" w:name="_Toc15645"/>
            <w:bookmarkStart w:id="224" w:name="_Toc10511"/>
            <w:bookmarkStart w:id="225" w:name="_Toc24743"/>
            <w:bookmarkStart w:id="226" w:name="_Toc1593"/>
            <w:bookmarkStart w:id="227" w:name="_Toc20137"/>
            <w:bookmarkStart w:id="228" w:name="_Toc1475"/>
            <w:bookmarkStart w:id="229" w:name="_Toc11431"/>
            <w:bookmarkStart w:id="230" w:name="_Toc23510"/>
            <w:bookmarkStart w:id="231" w:name="_Toc11609"/>
            <w:bookmarkStart w:id="232" w:name="_Toc12620"/>
            <w:r>
              <w:rPr>
                <w:rFonts w:ascii="仿宋" w:hAnsi="仿宋" w:eastAsia="仿宋" w:cs="仿宋"/>
                <w:color w:val="auto"/>
                <w:spacing w:val="9"/>
                <w:sz w:val="31"/>
                <w:szCs w:val="31"/>
                <w:highlight w:val="none"/>
              </w:rPr>
              <w:t>分</w:t>
            </w:r>
            <w:r>
              <w:rPr>
                <w:rFonts w:ascii="仿宋" w:hAnsi="仿宋" w:eastAsia="仿宋" w:cs="仿宋"/>
                <w:color w:val="auto"/>
                <w:spacing w:val="7"/>
                <w:sz w:val="31"/>
                <w:szCs w:val="31"/>
                <w:highlight w:val="none"/>
              </w:rPr>
              <w:t>包签证确认单</w:t>
            </w:r>
            <w:bookmarkEnd w:id="222"/>
            <w:bookmarkEnd w:id="223"/>
            <w:bookmarkEnd w:id="224"/>
            <w:bookmarkEnd w:id="225"/>
            <w:bookmarkEnd w:id="226"/>
            <w:bookmarkEnd w:id="227"/>
            <w:bookmarkEnd w:id="228"/>
            <w:bookmarkEnd w:id="229"/>
            <w:bookmarkEnd w:id="230"/>
          </w:p>
          <w:tbl>
            <w:tblPr>
              <w:tblStyle w:val="28"/>
              <w:tblW w:w="856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52"/>
              <w:gridCol w:w="1955"/>
              <w:gridCol w:w="1708"/>
              <w:gridCol w:w="3446"/>
            </w:tblGrid>
            <w:tr w14:paraId="4AD0F6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1452" w:type="dxa"/>
                  <w:tcBorders>
                    <w:right w:val="nil"/>
                  </w:tcBorders>
                  <w:noWrap w:val="0"/>
                  <w:vAlign w:val="top"/>
                </w:tcPr>
                <w:p w14:paraId="585DB64D">
                  <w:pPr>
                    <w:keepNext w:val="0"/>
                    <w:keepLines w:val="0"/>
                    <w:pageBreakBefore w:val="0"/>
                    <w:overflowPunct/>
                    <w:topLinePunct w:val="0"/>
                    <w:bidi w:val="0"/>
                    <w:spacing w:before="149"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7"/>
                      <w:sz w:val="21"/>
                      <w:szCs w:val="21"/>
                      <w:highlight w:val="none"/>
                    </w:rPr>
                    <w:t>工</w:t>
                  </w:r>
                  <w:r>
                    <w:rPr>
                      <w:rFonts w:hint="eastAsia" w:ascii="仿宋" w:hAnsi="仿宋" w:eastAsia="仿宋" w:cs="仿宋"/>
                      <w:color w:val="auto"/>
                      <w:spacing w:val="4"/>
                      <w:sz w:val="21"/>
                      <w:szCs w:val="21"/>
                      <w:highlight w:val="none"/>
                    </w:rPr>
                    <w:t>程名称：</w:t>
                  </w:r>
                </w:p>
              </w:tc>
              <w:tc>
                <w:tcPr>
                  <w:tcW w:w="7109" w:type="dxa"/>
                  <w:gridSpan w:val="3"/>
                  <w:tcBorders>
                    <w:left w:val="nil"/>
                  </w:tcBorders>
                  <w:noWrap w:val="0"/>
                  <w:vAlign w:val="top"/>
                </w:tcPr>
                <w:p w14:paraId="05AC3A2D">
                  <w:pPr>
                    <w:keepNext w:val="0"/>
                    <w:keepLines w:val="0"/>
                    <w:pageBreakBefore w:val="0"/>
                    <w:overflowPunct/>
                    <w:topLinePunct w:val="0"/>
                    <w:bidi w:val="0"/>
                    <w:spacing w:before="149" w:line="240" w:lineRule="auto"/>
                    <w:ind w:left="2506" w:firstLine="411"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10"/>
                      <w:sz w:val="21"/>
                      <w:szCs w:val="21"/>
                      <w:highlight w:val="none"/>
                    </w:rPr>
                    <w:t>分</w:t>
                  </w:r>
                  <w:r>
                    <w:rPr>
                      <w:rFonts w:hint="eastAsia" w:ascii="仿宋" w:hAnsi="仿宋" w:eastAsia="仿宋" w:cs="仿宋"/>
                      <w:color w:val="auto"/>
                      <w:spacing w:val="6"/>
                      <w:sz w:val="21"/>
                      <w:szCs w:val="21"/>
                      <w:highlight w:val="none"/>
                    </w:rPr>
                    <w:t>包工程名称：</w:t>
                  </w:r>
                </w:p>
              </w:tc>
            </w:tr>
            <w:tr w14:paraId="353106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1452" w:type="dxa"/>
                  <w:tcBorders>
                    <w:right w:val="nil"/>
                  </w:tcBorders>
                  <w:noWrap w:val="0"/>
                  <w:vAlign w:val="top"/>
                </w:tcPr>
                <w:p w14:paraId="630DA775">
                  <w:pPr>
                    <w:keepNext w:val="0"/>
                    <w:keepLines w:val="0"/>
                    <w:pageBreakBefore w:val="0"/>
                    <w:overflowPunct/>
                    <w:topLinePunct w:val="0"/>
                    <w:bidi w:val="0"/>
                    <w:spacing w:before="125"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8"/>
                      <w:sz w:val="21"/>
                      <w:szCs w:val="21"/>
                      <w:highlight w:val="none"/>
                    </w:rPr>
                    <w:t>分</w:t>
                  </w:r>
                  <w:r>
                    <w:rPr>
                      <w:rFonts w:hint="eastAsia" w:ascii="仿宋" w:hAnsi="仿宋" w:eastAsia="仿宋" w:cs="仿宋"/>
                      <w:color w:val="auto"/>
                      <w:spacing w:val="5"/>
                      <w:sz w:val="21"/>
                      <w:szCs w:val="21"/>
                      <w:highlight w:val="none"/>
                    </w:rPr>
                    <w:t>包单位：</w:t>
                  </w:r>
                </w:p>
              </w:tc>
              <w:tc>
                <w:tcPr>
                  <w:tcW w:w="3663" w:type="dxa"/>
                  <w:gridSpan w:val="2"/>
                  <w:tcBorders>
                    <w:left w:val="nil"/>
                    <w:right w:val="nil"/>
                  </w:tcBorders>
                  <w:noWrap w:val="0"/>
                  <w:vAlign w:val="top"/>
                </w:tcPr>
                <w:p w14:paraId="46364FDD">
                  <w:pPr>
                    <w:keepNext w:val="0"/>
                    <w:keepLines w:val="0"/>
                    <w:pageBreakBefore w:val="0"/>
                    <w:overflowPunct/>
                    <w:topLinePunct w:val="0"/>
                    <w:bidi w:val="0"/>
                    <w:spacing w:before="125" w:line="240" w:lineRule="auto"/>
                    <w:ind w:left="2908" w:firstLine="397"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6"/>
                      <w:sz w:val="21"/>
                      <w:szCs w:val="21"/>
                      <w:highlight w:val="none"/>
                    </w:rPr>
                    <w:t>填</w:t>
                  </w:r>
                  <w:r>
                    <w:rPr>
                      <w:rFonts w:hint="eastAsia" w:ascii="仿宋" w:hAnsi="仿宋" w:eastAsia="仿宋" w:cs="仿宋"/>
                      <w:color w:val="auto"/>
                      <w:spacing w:val="5"/>
                      <w:sz w:val="21"/>
                      <w:szCs w:val="21"/>
                      <w:highlight w:val="none"/>
                    </w:rPr>
                    <w:t>表日期：</w:t>
                  </w:r>
                </w:p>
              </w:tc>
              <w:tc>
                <w:tcPr>
                  <w:tcW w:w="3446" w:type="dxa"/>
                  <w:tcBorders>
                    <w:left w:val="nil"/>
                  </w:tcBorders>
                  <w:noWrap w:val="0"/>
                  <w:vAlign w:val="top"/>
                </w:tcPr>
                <w:p w14:paraId="12D3718D">
                  <w:pPr>
                    <w:keepNext w:val="0"/>
                    <w:keepLines w:val="0"/>
                    <w:pageBreakBefore w:val="0"/>
                    <w:overflowPunct/>
                    <w:topLinePunct w:val="0"/>
                    <w:bidi w:val="0"/>
                    <w:spacing w:before="124" w:line="240" w:lineRule="auto"/>
                    <w:ind w:left="633" w:firstLine="383"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2"/>
                      <w:sz w:val="21"/>
                      <w:szCs w:val="21"/>
                      <w:highlight w:val="none"/>
                    </w:rPr>
                    <w:t>编号</w:t>
                  </w:r>
                  <w:r>
                    <w:rPr>
                      <w:rFonts w:hint="eastAsia" w:ascii="仿宋" w:hAnsi="仿宋" w:eastAsia="仿宋" w:cs="仿宋"/>
                      <w:color w:val="auto"/>
                      <w:spacing w:val="1"/>
                      <w:sz w:val="21"/>
                      <w:szCs w:val="21"/>
                      <w:highlight w:val="none"/>
                    </w:rPr>
                    <w:t>：</w:t>
                  </w:r>
                </w:p>
              </w:tc>
            </w:tr>
            <w:tr w14:paraId="324CC7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1" w:hRule="atLeast"/>
              </w:trPr>
              <w:tc>
                <w:tcPr>
                  <w:tcW w:w="8561" w:type="dxa"/>
                  <w:gridSpan w:val="4"/>
                  <w:noWrap w:val="0"/>
                  <w:vAlign w:val="top"/>
                </w:tcPr>
                <w:p w14:paraId="71D09FA6">
                  <w:pPr>
                    <w:keepNext w:val="0"/>
                    <w:keepLines w:val="0"/>
                    <w:pageBreakBefore w:val="0"/>
                    <w:overflowPunct/>
                    <w:topLinePunct w:val="0"/>
                    <w:bidi w:val="0"/>
                    <w:spacing w:before="67"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7"/>
                      <w:sz w:val="21"/>
                      <w:szCs w:val="21"/>
                      <w:highlight w:val="none"/>
                    </w:rPr>
                    <w:t xml:space="preserve">□减少项目       </w:t>
                  </w:r>
                  <w:r>
                    <w:rPr>
                      <w:rFonts w:hint="eastAsia" w:ascii="仿宋" w:hAnsi="仿宋" w:eastAsia="仿宋" w:cs="仿宋"/>
                      <w:color w:val="auto"/>
                      <w:spacing w:val="7"/>
                      <w:sz w:val="21"/>
                      <w:szCs w:val="21"/>
                      <w:highlight w:val="none"/>
                      <w:lang w:eastAsia="zh-CN"/>
                    </w:rPr>
                    <w:t>□</w:t>
                  </w:r>
                  <w:r>
                    <w:rPr>
                      <w:rFonts w:hint="eastAsia" w:ascii="仿宋" w:hAnsi="仿宋" w:eastAsia="仿宋" w:cs="仿宋"/>
                      <w:color w:val="auto"/>
                      <w:spacing w:val="7"/>
                      <w:sz w:val="21"/>
                      <w:szCs w:val="21"/>
                      <w:highlight w:val="none"/>
                    </w:rPr>
                    <w:t>增加项目    □变更     □点工    □机械台班     □</w:t>
                  </w:r>
                  <w:r>
                    <w:rPr>
                      <w:rFonts w:hint="eastAsia" w:ascii="仿宋" w:hAnsi="仿宋" w:eastAsia="仿宋" w:cs="仿宋"/>
                      <w:color w:val="auto"/>
                      <w:spacing w:val="6"/>
                      <w:sz w:val="21"/>
                      <w:szCs w:val="21"/>
                      <w:highlight w:val="none"/>
                    </w:rPr>
                    <w:t>其</w:t>
                  </w:r>
                  <w:r>
                    <w:rPr>
                      <w:rFonts w:hint="eastAsia" w:ascii="仿宋" w:hAnsi="仿宋" w:eastAsia="仿宋" w:cs="仿宋"/>
                      <w:color w:val="auto"/>
                      <w:sz w:val="21"/>
                      <w:szCs w:val="21"/>
                      <w:highlight w:val="none"/>
                    </w:rPr>
                    <w:t>它</w:t>
                  </w:r>
                </w:p>
              </w:tc>
            </w:tr>
            <w:tr w14:paraId="482C05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452" w:type="dxa"/>
                  <w:noWrap w:val="0"/>
                  <w:vAlign w:val="top"/>
                </w:tcPr>
                <w:p w14:paraId="5B5B4DF1">
                  <w:pPr>
                    <w:keepNext w:val="0"/>
                    <w:keepLines w:val="0"/>
                    <w:pageBreakBefore w:val="0"/>
                    <w:overflowPunct/>
                    <w:topLinePunct w:val="0"/>
                    <w:bidi w:val="0"/>
                    <w:spacing w:before="175"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8"/>
                      <w:sz w:val="21"/>
                      <w:szCs w:val="21"/>
                      <w:highlight w:val="none"/>
                    </w:rPr>
                    <w:t>施</w:t>
                  </w:r>
                  <w:r>
                    <w:rPr>
                      <w:rFonts w:hint="eastAsia" w:ascii="仿宋" w:hAnsi="仿宋" w:eastAsia="仿宋" w:cs="仿宋"/>
                      <w:color w:val="auto"/>
                      <w:spacing w:val="6"/>
                      <w:sz w:val="21"/>
                      <w:szCs w:val="21"/>
                      <w:highlight w:val="none"/>
                    </w:rPr>
                    <w:t>工部位</w:t>
                  </w:r>
                </w:p>
              </w:tc>
              <w:tc>
                <w:tcPr>
                  <w:tcW w:w="7109" w:type="dxa"/>
                  <w:gridSpan w:val="3"/>
                  <w:noWrap w:val="0"/>
                  <w:vAlign w:val="top"/>
                </w:tcPr>
                <w:p w14:paraId="55FF1411">
                  <w:pPr>
                    <w:keepNext w:val="0"/>
                    <w:keepLines w:val="0"/>
                    <w:pageBreakBefore w:val="0"/>
                    <w:overflowPunct/>
                    <w:topLinePunct w:val="0"/>
                    <w:bidi w:val="0"/>
                    <w:spacing w:line="240" w:lineRule="auto"/>
                    <w:ind w:firstLine="429" w:firstLineChars="179"/>
                    <w:rPr>
                      <w:rFonts w:hint="eastAsia" w:ascii="仿宋" w:hAnsi="仿宋" w:eastAsia="仿宋" w:cs="仿宋"/>
                      <w:color w:val="auto"/>
                      <w:sz w:val="24"/>
                      <w:szCs w:val="24"/>
                      <w:highlight w:val="none"/>
                    </w:rPr>
                  </w:pPr>
                </w:p>
              </w:tc>
            </w:tr>
            <w:tr w14:paraId="6AFF0E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452" w:type="dxa"/>
                  <w:noWrap w:val="0"/>
                  <w:vAlign w:val="top"/>
                </w:tcPr>
                <w:p w14:paraId="208142AD">
                  <w:pPr>
                    <w:keepNext w:val="0"/>
                    <w:keepLines w:val="0"/>
                    <w:pageBreakBefore w:val="0"/>
                    <w:overflowPunct/>
                    <w:topLinePunct w:val="0"/>
                    <w:bidi w:val="0"/>
                    <w:spacing w:before="176"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10"/>
                      <w:sz w:val="21"/>
                      <w:szCs w:val="21"/>
                      <w:highlight w:val="none"/>
                    </w:rPr>
                    <w:t>费</w:t>
                  </w:r>
                  <w:r>
                    <w:rPr>
                      <w:rFonts w:hint="eastAsia" w:ascii="仿宋" w:hAnsi="仿宋" w:eastAsia="仿宋" w:cs="仿宋"/>
                      <w:color w:val="auto"/>
                      <w:spacing w:val="6"/>
                      <w:sz w:val="21"/>
                      <w:szCs w:val="21"/>
                      <w:highlight w:val="none"/>
                    </w:rPr>
                    <w:t>用承担单位</w:t>
                  </w:r>
                </w:p>
              </w:tc>
              <w:tc>
                <w:tcPr>
                  <w:tcW w:w="7109" w:type="dxa"/>
                  <w:gridSpan w:val="3"/>
                  <w:noWrap w:val="0"/>
                  <w:vAlign w:val="top"/>
                </w:tcPr>
                <w:p w14:paraId="63370A37">
                  <w:pPr>
                    <w:keepNext w:val="0"/>
                    <w:keepLines w:val="0"/>
                    <w:pageBreakBefore w:val="0"/>
                    <w:overflowPunct/>
                    <w:topLinePunct w:val="0"/>
                    <w:bidi w:val="0"/>
                    <w:spacing w:line="240" w:lineRule="auto"/>
                    <w:ind w:firstLine="429" w:firstLineChars="179"/>
                    <w:rPr>
                      <w:rFonts w:hint="eastAsia" w:ascii="仿宋" w:hAnsi="仿宋" w:eastAsia="仿宋" w:cs="仿宋"/>
                      <w:color w:val="auto"/>
                      <w:sz w:val="24"/>
                      <w:szCs w:val="24"/>
                      <w:highlight w:val="none"/>
                    </w:rPr>
                  </w:pPr>
                </w:p>
              </w:tc>
            </w:tr>
            <w:tr w14:paraId="346BA1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6" w:hRule="atLeast"/>
              </w:trPr>
              <w:tc>
                <w:tcPr>
                  <w:tcW w:w="8561" w:type="dxa"/>
                  <w:gridSpan w:val="4"/>
                  <w:noWrap w:val="0"/>
                  <w:vAlign w:val="top"/>
                </w:tcPr>
                <w:p w14:paraId="5B942C8C">
                  <w:pPr>
                    <w:keepNext w:val="0"/>
                    <w:keepLines w:val="0"/>
                    <w:pageBreakBefore w:val="0"/>
                    <w:overflowPunct/>
                    <w:topLinePunct w:val="0"/>
                    <w:bidi w:val="0"/>
                    <w:spacing w:before="152"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4"/>
                      <w:sz w:val="21"/>
                      <w:szCs w:val="21"/>
                      <w:highlight w:val="none"/>
                    </w:rPr>
                    <w:t>与建</w:t>
                  </w:r>
                  <w:r>
                    <w:rPr>
                      <w:rFonts w:hint="eastAsia" w:ascii="仿宋" w:hAnsi="仿宋" w:eastAsia="仿宋" w:cs="仿宋"/>
                      <w:color w:val="auto"/>
                      <w:spacing w:val="3"/>
                      <w:sz w:val="21"/>
                      <w:szCs w:val="21"/>
                      <w:highlight w:val="none"/>
                    </w:rPr>
                    <w:t>设</w:t>
                  </w:r>
                  <w:r>
                    <w:rPr>
                      <w:rFonts w:hint="eastAsia" w:ascii="仿宋" w:hAnsi="仿宋" w:eastAsia="仿宋" w:cs="仿宋"/>
                      <w:color w:val="auto"/>
                      <w:spacing w:val="2"/>
                      <w:sz w:val="21"/>
                      <w:szCs w:val="21"/>
                      <w:highlight w:val="none"/>
                    </w:rPr>
                    <w:t xml:space="preserve">单位是否办理签证  </w:t>
                  </w:r>
                  <w:r>
                    <w:rPr>
                      <w:rFonts w:hint="eastAsia" w:ascii="仿宋" w:hAnsi="仿宋" w:eastAsia="仿宋" w:cs="仿宋"/>
                      <w:color w:val="auto"/>
                      <w:position w:val="-4"/>
                      <w:sz w:val="21"/>
                      <w:szCs w:val="21"/>
                      <w:highlight w:val="none"/>
                    </w:rPr>
                    <w:drawing>
                      <wp:inline distT="0" distB="0" distL="114300" distR="114300">
                        <wp:extent cx="90805" cy="139700"/>
                        <wp:effectExtent l="0" t="0" r="4445" b="13335"/>
                        <wp:docPr id="2" name="图片 3"/>
                        <wp:cNvGraphicFramePr/>
                        <a:graphic xmlns:a="http://schemas.openxmlformats.org/drawingml/2006/main">
                          <a:graphicData uri="http://schemas.openxmlformats.org/drawingml/2006/picture">
                            <pic:pic xmlns:pic="http://schemas.openxmlformats.org/drawingml/2006/picture">
                              <pic:nvPicPr>
                                <pic:cNvPr id="2" name="图片 3"/>
                                <pic:cNvPicPr/>
                              </pic:nvPicPr>
                              <pic:blipFill>
                                <a:blip r:embed="rId12"/>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1"/>
                      <w:szCs w:val="21"/>
                      <w:highlight w:val="none"/>
                    </w:rPr>
                    <w:t>是  签证编号：</w:t>
                  </w:r>
                  <w:r>
                    <w:rPr>
                      <w:rFonts w:hint="eastAsia" w:ascii="仿宋" w:hAnsi="仿宋" w:eastAsia="仿宋" w:cs="仿宋"/>
                      <w:color w:val="auto"/>
                      <w:spacing w:val="2"/>
                      <w:sz w:val="21"/>
                      <w:szCs w:val="21"/>
                      <w:highlight w:val="none"/>
                      <w:u w:val="single" w:color="auto"/>
                    </w:rPr>
                    <w:t xml:space="preserve">                                  </w:t>
                  </w:r>
                  <w:r>
                    <w:rPr>
                      <w:rFonts w:hint="eastAsia" w:ascii="仿宋" w:hAnsi="仿宋" w:eastAsia="仿宋" w:cs="仿宋"/>
                      <w:color w:val="auto"/>
                      <w:position w:val="-4"/>
                      <w:sz w:val="21"/>
                      <w:szCs w:val="21"/>
                      <w:highlight w:val="none"/>
                    </w:rPr>
                    <w:drawing>
                      <wp:inline distT="0" distB="0" distL="114300" distR="114300">
                        <wp:extent cx="90805" cy="139700"/>
                        <wp:effectExtent l="0" t="0" r="4445" b="13335"/>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12"/>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1"/>
                      <w:szCs w:val="21"/>
                      <w:highlight w:val="none"/>
                    </w:rPr>
                    <w:t>否</w:t>
                  </w:r>
                </w:p>
              </w:tc>
            </w:tr>
            <w:tr w14:paraId="0F61F4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3" w:hRule="atLeast"/>
              </w:trPr>
              <w:tc>
                <w:tcPr>
                  <w:tcW w:w="8561" w:type="dxa"/>
                  <w:gridSpan w:val="4"/>
                  <w:noWrap w:val="0"/>
                  <w:vAlign w:val="top"/>
                </w:tcPr>
                <w:p w14:paraId="59CCDD3D">
                  <w:pPr>
                    <w:keepNext w:val="0"/>
                    <w:keepLines w:val="0"/>
                    <w:pageBreakBefore w:val="0"/>
                    <w:overflowPunct/>
                    <w:topLinePunct w:val="0"/>
                    <w:bidi w:val="0"/>
                    <w:spacing w:before="48"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14"/>
                      <w:sz w:val="21"/>
                      <w:szCs w:val="21"/>
                      <w:highlight w:val="none"/>
                    </w:rPr>
                    <w:t>签</w:t>
                  </w:r>
                  <w:r>
                    <w:rPr>
                      <w:rFonts w:hint="eastAsia" w:ascii="仿宋" w:hAnsi="仿宋" w:eastAsia="仿宋" w:cs="仿宋"/>
                      <w:color w:val="auto"/>
                      <w:spacing w:val="8"/>
                      <w:sz w:val="21"/>
                      <w:szCs w:val="21"/>
                      <w:highlight w:val="none"/>
                    </w:rPr>
                    <w:t>证情况说明 (签证原因、工作内容、完成工程量) ：</w:t>
                  </w:r>
                </w:p>
              </w:tc>
            </w:tr>
            <w:tr w14:paraId="476F76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3" w:hRule="atLeast"/>
              </w:trPr>
              <w:tc>
                <w:tcPr>
                  <w:tcW w:w="3407" w:type="dxa"/>
                  <w:gridSpan w:val="2"/>
                  <w:noWrap w:val="0"/>
                  <w:vAlign w:val="top"/>
                </w:tcPr>
                <w:p w14:paraId="17AA3270">
                  <w:pPr>
                    <w:keepNext w:val="0"/>
                    <w:keepLines w:val="0"/>
                    <w:pageBreakBefore w:val="0"/>
                    <w:overflowPunct/>
                    <w:topLinePunct w:val="0"/>
                    <w:bidi w:val="0"/>
                    <w:spacing w:before="48" w:line="240" w:lineRule="auto"/>
                    <w:ind w:left="1752" w:firstLine="397"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6"/>
                      <w:sz w:val="21"/>
                      <w:szCs w:val="21"/>
                      <w:highlight w:val="none"/>
                    </w:rPr>
                    <w:t>分</w:t>
                  </w:r>
                  <w:r>
                    <w:rPr>
                      <w:rFonts w:hint="eastAsia" w:ascii="仿宋" w:hAnsi="仿宋" w:eastAsia="仿宋" w:cs="仿宋"/>
                      <w:color w:val="auto"/>
                      <w:spacing w:val="4"/>
                      <w:sz w:val="21"/>
                      <w:szCs w:val="21"/>
                      <w:highlight w:val="none"/>
                    </w:rPr>
                    <w:t>包方</w:t>
                  </w:r>
                </w:p>
              </w:tc>
              <w:tc>
                <w:tcPr>
                  <w:tcW w:w="5154" w:type="dxa"/>
                  <w:gridSpan w:val="2"/>
                  <w:noWrap w:val="0"/>
                  <w:vAlign w:val="top"/>
                </w:tcPr>
                <w:p w14:paraId="79094DBB">
                  <w:pPr>
                    <w:keepNext w:val="0"/>
                    <w:keepLines w:val="0"/>
                    <w:pageBreakBefore w:val="0"/>
                    <w:overflowPunct/>
                    <w:topLinePunct w:val="0"/>
                    <w:bidi w:val="0"/>
                    <w:spacing w:before="48" w:line="240" w:lineRule="auto"/>
                    <w:ind w:left="1971" w:firstLine="397"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6"/>
                      <w:sz w:val="21"/>
                      <w:szCs w:val="21"/>
                      <w:highlight w:val="none"/>
                    </w:rPr>
                    <w:t>承</w:t>
                  </w:r>
                  <w:r>
                    <w:rPr>
                      <w:rFonts w:hint="eastAsia" w:ascii="仿宋" w:hAnsi="仿宋" w:eastAsia="仿宋" w:cs="仿宋"/>
                      <w:color w:val="auto"/>
                      <w:spacing w:val="5"/>
                      <w:sz w:val="21"/>
                      <w:szCs w:val="21"/>
                      <w:highlight w:val="none"/>
                    </w:rPr>
                    <w:t>包方</w:t>
                  </w:r>
                </w:p>
              </w:tc>
            </w:tr>
            <w:tr w14:paraId="751F5E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6" w:hRule="atLeast"/>
              </w:trPr>
              <w:tc>
                <w:tcPr>
                  <w:tcW w:w="3407" w:type="dxa"/>
                  <w:gridSpan w:val="2"/>
                  <w:vMerge w:val="restart"/>
                  <w:tcBorders>
                    <w:bottom w:val="nil"/>
                  </w:tcBorders>
                  <w:noWrap w:val="0"/>
                  <w:vAlign w:val="top"/>
                </w:tcPr>
                <w:p w14:paraId="2FD7F09E">
                  <w:pPr>
                    <w:keepNext w:val="0"/>
                    <w:keepLines w:val="0"/>
                    <w:pageBreakBefore w:val="0"/>
                    <w:overflowPunct/>
                    <w:topLinePunct w:val="0"/>
                    <w:bidi w:val="0"/>
                    <w:spacing w:before="48" w:line="240" w:lineRule="auto"/>
                    <w:ind w:left="29" w:firstLine="400"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7"/>
                      <w:sz w:val="21"/>
                      <w:szCs w:val="21"/>
                      <w:highlight w:val="none"/>
                    </w:rPr>
                    <w:t>分包单位确认 (签字盖章) ：</w:t>
                  </w:r>
                </w:p>
              </w:tc>
              <w:tc>
                <w:tcPr>
                  <w:tcW w:w="5154" w:type="dxa"/>
                  <w:gridSpan w:val="2"/>
                  <w:noWrap w:val="0"/>
                  <w:vAlign w:val="top"/>
                </w:tcPr>
                <w:p w14:paraId="393266CA">
                  <w:pPr>
                    <w:keepNext w:val="0"/>
                    <w:keepLines w:val="0"/>
                    <w:pageBreakBefore w:val="0"/>
                    <w:overflowPunct/>
                    <w:topLinePunct w:val="0"/>
                    <w:bidi w:val="0"/>
                    <w:spacing w:before="49" w:line="240" w:lineRule="auto"/>
                    <w:ind w:left="24" w:firstLine="400"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7"/>
                      <w:sz w:val="21"/>
                      <w:szCs w:val="21"/>
                      <w:highlight w:val="none"/>
                    </w:rPr>
                    <w:t>现场施工员意见：</w:t>
                  </w:r>
                </w:p>
                <w:p w14:paraId="3EDEF854">
                  <w:pPr>
                    <w:keepNext w:val="0"/>
                    <w:keepLines w:val="0"/>
                    <w:pageBreakBefore w:val="0"/>
                    <w:overflowPunct/>
                    <w:topLinePunct w:val="0"/>
                    <w:bidi w:val="0"/>
                    <w:spacing w:before="279" w:line="240" w:lineRule="auto"/>
                    <w:ind w:left="29" w:firstLine="343"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签</w:t>
                  </w:r>
                  <w:r>
                    <w:rPr>
                      <w:rFonts w:hint="eastAsia" w:ascii="仿宋" w:hAnsi="仿宋" w:eastAsia="仿宋" w:cs="仿宋"/>
                      <w:color w:val="auto"/>
                      <w:spacing w:val="-6"/>
                      <w:sz w:val="21"/>
                      <w:szCs w:val="21"/>
                      <w:highlight w:val="none"/>
                    </w:rPr>
                    <w:t>字：                     日期：</w:t>
                  </w:r>
                </w:p>
              </w:tc>
            </w:tr>
            <w:tr w14:paraId="425654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3407" w:type="dxa"/>
                  <w:gridSpan w:val="2"/>
                  <w:vMerge w:val="continue"/>
                  <w:tcBorders>
                    <w:top w:val="nil"/>
                    <w:bottom w:val="nil"/>
                  </w:tcBorders>
                  <w:noWrap w:val="0"/>
                  <w:vAlign w:val="top"/>
                </w:tcPr>
                <w:p w14:paraId="74C4976D">
                  <w:pPr>
                    <w:keepNext w:val="0"/>
                    <w:keepLines w:val="0"/>
                    <w:pageBreakBefore w:val="0"/>
                    <w:overflowPunct/>
                    <w:topLinePunct w:val="0"/>
                    <w:bidi w:val="0"/>
                    <w:spacing w:line="240" w:lineRule="auto"/>
                    <w:ind w:firstLine="429" w:firstLineChars="179"/>
                    <w:rPr>
                      <w:rFonts w:hint="eastAsia" w:ascii="仿宋" w:hAnsi="仿宋" w:eastAsia="仿宋" w:cs="仿宋"/>
                      <w:color w:val="auto"/>
                      <w:sz w:val="24"/>
                      <w:szCs w:val="24"/>
                      <w:highlight w:val="none"/>
                    </w:rPr>
                  </w:pPr>
                </w:p>
              </w:tc>
              <w:tc>
                <w:tcPr>
                  <w:tcW w:w="5154" w:type="dxa"/>
                  <w:gridSpan w:val="2"/>
                  <w:noWrap w:val="0"/>
                  <w:vAlign w:val="top"/>
                </w:tcPr>
                <w:p w14:paraId="15FF90D3">
                  <w:pPr>
                    <w:keepNext w:val="0"/>
                    <w:keepLines w:val="0"/>
                    <w:pageBreakBefore w:val="0"/>
                    <w:overflowPunct/>
                    <w:topLinePunct w:val="0"/>
                    <w:bidi w:val="0"/>
                    <w:spacing w:before="49" w:line="240" w:lineRule="auto"/>
                    <w:ind w:left="25" w:firstLine="400"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7"/>
                      <w:sz w:val="21"/>
                      <w:szCs w:val="21"/>
                      <w:highlight w:val="none"/>
                    </w:rPr>
                    <w:t>项目副经理意见</w:t>
                  </w:r>
                  <w:r>
                    <w:rPr>
                      <w:rFonts w:hint="eastAsia" w:ascii="仿宋" w:hAnsi="仿宋" w:eastAsia="仿宋" w:cs="仿宋"/>
                      <w:color w:val="auto"/>
                      <w:spacing w:val="6"/>
                      <w:sz w:val="21"/>
                      <w:szCs w:val="21"/>
                      <w:highlight w:val="none"/>
                    </w:rPr>
                    <w:t>：</w:t>
                  </w:r>
                </w:p>
                <w:p w14:paraId="64483F89">
                  <w:pPr>
                    <w:keepNext w:val="0"/>
                    <w:keepLines w:val="0"/>
                    <w:pageBreakBefore w:val="0"/>
                    <w:overflowPunct/>
                    <w:topLinePunct w:val="0"/>
                    <w:bidi w:val="0"/>
                    <w:spacing w:before="278" w:line="240" w:lineRule="auto"/>
                    <w:ind w:left="29" w:firstLine="343"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签</w:t>
                  </w:r>
                  <w:r>
                    <w:rPr>
                      <w:rFonts w:hint="eastAsia" w:ascii="仿宋" w:hAnsi="仿宋" w:eastAsia="仿宋" w:cs="仿宋"/>
                      <w:color w:val="auto"/>
                      <w:spacing w:val="-6"/>
                      <w:sz w:val="21"/>
                      <w:szCs w:val="21"/>
                      <w:highlight w:val="none"/>
                    </w:rPr>
                    <w:t>字：                     日期：</w:t>
                  </w:r>
                </w:p>
              </w:tc>
            </w:tr>
            <w:tr w14:paraId="132ADA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7" w:hRule="atLeast"/>
              </w:trPr>
              <w:tc>
                <w:tcPr>
                  <w:tcW w:w="3407" w:type="dxa"/>
                  <w:gridSpan w:val="2"/>
                  <w:vMerge w:val="continue"/>
                  <w:tcBorders>
                    <w:top w:val="nil"/>
                    <w:bottom w:val="nil"/>
                  </w:tcBorders>
                  <w:noWrap w:val="0"/>
                  <w:vAlign w:val="top"/>
                </w:tcPr>
                <w:p w14:paraId="3137702D">
                  <w:pPr>
                    <w:keepNext w:val="0"/>
                    <w:keepLines w:val="0"/>
                    <w:pageBreakBefore w:val="0"/>
                    <w:overflowPunct/>
                    <w:topLinePunct w:val="0"/>
                    <w:bidi w:val="0"/>
                    <w:spacing w:line="240" w:lineRule="auto"/>
                    <w:ind w:firstLine="429" w:firstLineChars="179"/>
                    <w:rPr>
                      <w:rFonts w:hint="eastAsia" w:ascii="仿宋" w:hAnsi="仿宋" w:eastAsia="仿宋" w:cs="仿宋"/>
                      <w:color w:val="auto"/>
                      <w:sz w:val="24"/>
                      <w:szCs w:val="24"/>
                      <w:highlight w:val="none"/>
                    </w:rPr>
                  </w:pPr>
                </w:p>
              </w:tc>
              <w:tc>
                <w:tcPr>
                  <w:tcW w:w="5154" w:type="dxa"/>
                  <w:gridSpan w:val="2"/>
                  <w:noWrap w:val="0"/>
                  <w:vAlign w:val="top"/>
                </w:tcPr>
                <w:p w14:paraId="279ADDDF">
                  <w:pPr>
                    <w:keepNext w:val="0"/>
                    <w:keepLines w:val="0"/>
                    <w:pageBreakBefore w:val="0"/>
                    <w:overflowPunct/>
                    <w:topLinePunct w:val="0"/>
                    <w:bidi w:val="0"/>
                    <w:spacing w:before="50" w:line="240" w:lineRule="auto"/>
                    <w:ind w:left="25" w:firstLine="418"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12"/>
                      <w:position w:val="24"/>
                      <w:sz w:val="21"/>
                      <w:szCs w:val="21"/>
                      <w:highlight w:val="none"/>
                    </w:rPr>
                    <w:t>技</w:t>
                  </w:r>
                  <w:r>
                    <w:rPr>
                      <w:rFonts w:hint="eastAsia" w:ascii="仿宋" w:hAnsi="仿宋" w:eastAsia="仿宋" w:cs="仿宋"/>
                      <w:color w:val="auto"/>
                      <w:spacing w:val="8"/>
                      <w:position w:val="24"/>
                      <w:sz w:val="21"/>
                      <w:szCs w:val="21"/>
                      <w:highlight w:val="none"/>
                    </w:rPr>
                    <w:t>术负责人意见 (对工作内容及工程量见证) ：</w:t>
                  </w:r>
                </w:p>
                <w:p w14:paraId="538BE03C">
                  <w:pPr>
                    <w:keepNext w:val="0"/>
                    <w:keepLines w:val="0"/>
                    <w:pageBreakBefore w:val="0"/>
                    <w:overflowPunct/>
                    <w:topLinePunct w:val="0"/>
                    <w:bidi w:val="0"/>
                    <w:spacing w:before="1" w:line="240" w:lineRule="auto"/>
                    <w:ind w:left="29" w:firstLine="343"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签</w:t>
                  </w:r>
                  <w:r>
                    <w:rPr>
                      <w:rFonts w:hint="eastAsia" w:ascii="仿宋" w:hAnsi="仿宋" w:eastAsia="仿宋" w:cs="仿宋"/>
                      <w:color w:val="auto"/>
                      <w:spacing w:val="-6"/>
                      <w:sz w:val="21"/>
                      <w:szCs w:val="21"/>
                      <w:highlight w:val="none"/>
                    </w:rPr>
                    <w:t>字：                     日期：</w:t>
                  </w:r>
                </w:p>
              </w:tc>
            </w:tr>
            <w:tr w14:paraId="59DDE6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3407" w:type="dxa"/>
                  <w:gridSpan w:val="2"/>
                  <w:vMerge w:val="continue"/>
                  <w:tcBorders>
                    <w:top w:val="nil"/>
                    <w:bottom w:val="nil"/>
                  </w:tcBorders>
                  <w:noWrap w:val="0"/>
                  <w:vAlign w:val="top"/>
                </w:tcPr>
                <w:p w14:paraId="49E5ED1A">
                  <w:pPr>
                    <w:keepNext w:val="0"/>
                    <w:keepLines w:val="0"/>
                    <w:pageBreakBefore w:val="0"/>
                    <w:overflowPunct/>
                    <w:topLinePunct w:val="0"/>
                    <w:bidi w:val="0"/>
                    <w:spacing w:line="240" w:lineRule="auto"/>
                    <w:ind w:firstLine="429" w:firstLineChars="179"/>
                    <w:rPr>
                      <w:rFonts w:hint="eastAsia" w:ascii="仿宋" w:hAnsi="仿宋" w:eastAsia="仿宋" w:cs="仿宋"/>
                      <w:color w:val="auto"/>
                      <w:sz w:val="24"/>
                      <w:szCs w:val="24"/>
                      <w:highlight w:val="none"/>
                    </w:rPr>
                  </w:pPr>
                </w:p>
              </w:tc>
              <w:tc>
                <w:tcPr>
                  <w:tcW w:w="5154" w:type="dxa"/>
                  <w:gridSpan w:val="2"/>
                  <w:noWrap w:val="0"/>
                  <w:vAlign w:val="top"/>
                </w:tcPr>
                <w:p w14:paraId="19B063CD">
                  <w:pPr>
                    <w:keepNext w:val="0"/>
                    <w:keepLines w:val="0"/>
                    <w:pageBreakBefore w:val="0"/>
                    <w:overflowPunct/>
                    <w:topLinePunct w:val="0"/>
                    <w:bidi w:val="0"/>
                    <w:spacing w:before="49" w:line="240" w:lineRule="auto"/>
                    <w:ind w:left="25" w:firstLine="418"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12"/>
                      <w:sz w:val="21"/>
                      <w:szCs w:val="21"/>
                      <w:highlight w:val="none"/>
                    </w:rPr>
                    <w:t>项</w:t>
                  </w:r>
                  <w:r>
                    <w:rPr>
                      <w:rFonts w:hint="eastAsia" w:ascii="仿宋" w:hAnsi="仿宋" w:eastAsia="仿宋" w:cs="仿宋"/>
                      <w:color w:val="auto"/>
                      <w:spacing w:val="7"/>
                      <w:sz w:val="21"/>
                      <w:szCs w:val="21"/>
                      <w:highlight w:val="none"/>
                    </w:rPr>
                    <w:t>目成本管理员意见：</w:t>
                  </w:r>
                </w:p>
                <w:p w14:paraId="567CC65A">
                  <w:pPr>
                    <w:keepNext w:val="0"/>
                    <w:keepLines w:val="0"/>
                    <w:pageBreakBefore w:val="0"/>
                    <w:overflowPunct/>
                    <w:topLinePunct w:val="0"/>
                    <w:bidi w:val="0"/>
                    <w:spacing w:before="280" w:line="240" w:lineRule="auto"/>
                    <w:ind w:left="29" w:firstLine="343"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签</w:t>
                  </w:r>
                  <w:r>
                    <w:rPr>
                      <w:rFonts w:hint="eastAsia" w:ascii="仿宋" w:hAnsi="仿宋" w:eastAsia="仿宋" w:cs="仿宋"/>
                      <w:color w:val="auto"/>
                      <w:spacing w:val="-6"/>
                      <w:sz w:val="21"/>
                      <w:szCs w:val="21"/>
                      <w:highlight w:val="none"/>
                    </w:rPr>
                    <w:t>字：                     日期：</w:t>
                  </w:r>
                </w:p>
              </w:tc>
            </w:tr>
            <w:tr w14:paraId="537E29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407" w:type="dxa"/>
                  <w:gridSpan w:val="2"/>
                  <w:vMerge w:val="continue"/>
                  <w:tcBorders>
                    <w:top w:val="nil"/>
                  </w:tcBorders>
                  <w:noWrap w:val="0"/>
                  <w:vAlign w:val="top"/>
                </w:tcPr>
                <w:p w14:paraId="10F4ED0E">
                  <w:pPr>
                    <w:keepNext w:val="0"/>
                    <w:keepLines w:val="0"/>
                    <w:pageBreakBefore w:val="0"/>
                    <w:overflowPunct/>
                    <w:topLinePunct w:val="0"/>
                    <w:bidi w:val="0"/>
                    <w:spacing w:line="240" w:lineRule="auto"/>
                    <w:ind w:firstLine="429" w:firstLineChars="179"/>
                    <w:rPr>
                      <w:rFonts w:hint="eastAsia" w:ascii="仿宋" w:hAnsi="仿宋" w:eastAsia="仿宋" w:cs="仿宋"/>
                      <w:color w:val="auto"/>
                      <w:sz w:val="24"/>
                      <w:szCs w:val="24"/>
                      <w:highlight w:val="none"/>
                    </w:rPr>
                  </w:pPr>
                </w:p>
              </w:tc>
              <w:tc>
                <w:tcPr>
                  <w:tcW w:w="5154" w:type="dxa"/>
                  <w:gridSpan w:val="2"/>
                  <w:noWrap w:val="0"/>
                  <w:vAlign w:val="top"/>
                </w:tcPr>
                <w:p w14:paraId="6ACE422E">
                  <w:pPr>
                    <w:keepNext w:val="0"/>
                    <w:keepLines w:val="0"/>
                    <w:pageBreakBefore w:val="0"/>
                    <w:overflowPunct/>
                    <w:topLinePunct w:val="0"/>
                    <w:bidi w:val="0"/>
                    <w:spacing w:before="47" w:line="240" w:lineRule="auto"/>
                    <w:ind w:left="25" w:firstLine="408"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项</w:t>
                  </w:r>
                  <w:r>
                    <w:rPr>
                      <w:rFonts w:hint="eastAsia" w:ascii="仿宋" w:hAnsi="仿宋" w:eastAsia="仿宋" w:cs="仿宋"/>
                      <w:color w:val="auto"/>
                      <w:spacing w:val="6"/>
                      <w:sz w:val="21"/>
                      <w:szCs w:val="21"/>
                      <w:highlight w:val="none"/>
                    </w:rPr>
                    <w:t>目经理意见：</w:t>
                  </w:r>
                </w:p>
                <w:p w14:paraId="0CF865B2">
                  <w:pPr>
                    <w:keepNext w:val="0"/>
                    <w:keepLines w:val="0"/>
                    <w:pageBreakBefore w:val="0"/>
                    <w:overflowPunct/>
                    <w:topLinePunct w:val="0"/>
                    <w:bidi w:val="0"/>
                    <w:spacing w:before="278" w:line="240" w:lineRule="auto"/>
                    <w:ind w:left="29" w:firstLine="343"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签</w:t>
                  </w:r>
                  <w:r>
                    <w:rPr>
                      <w:rFonts w:hint="eastAsia" w:ascii="仿宋" w:hAnsi="仿宋" w:eastAsia="仿宋" w:cs="仿宋"/>
                      <w:color w:val="auto"/>
                      <w:spacing w:val="-6"/>
                      <w:sz w:val="21"/>
                      <w:szCs w:val="21"/>
                      <w:highlight w:val="none"/>
                    </w:rPr>
                    <w:t>字：                     日期：</w:t>
                  </w:r>
                </w:p>
              </w:tc>
            </w:tr>
            <w:tr w14:paraId="27391C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0" w:hRule="atLeast"/>
              </w:trPr>
              <w:tc>
                <w:tcPr>
                  <w:tcW w:w="8561" w:type="dxa"/>
                  <w:gridSpan w:val="4"/>
                  <w:noWrap w:val="0"/>
                  <w:vAlign w:val="top"/>
                </w:tcPr>
                <w:p w14:paraId="52602990">
                  <w:pPr>
                    <w:keepNext w:val="0"/>
                    <w:keepLines w:val="0"/>
                    <w:pageBreakBefore w:val="0"/>
                    <w:overflowPunct/>
                    <w:topLinePunct w:val="0"/>
                    <w:bidi w:val="0"/>
                    <w:spacing w:before="49" w:line="240" w:lineRule="auto"/>
                    <w:rPr>
                      <w:rFonts w:hint="eastAsia" w:ascii="仿宋" w:hAnsi="仿宋" w:eastAsia="仿宋" w:cs="仿宋"/>
                      <w:color w:val="auto"/>
                      <w:spacing w:val="8"/>
                      <w:sz w:val="21"/>
                      <w:szCs w:val="21"/>
                      <w:highlight w:val="none"/>
                    </w:rPr>
                  </w:pPr>
                  <w:r>
                    <w:rPr>
                      <w:rFonts w:hint="eastAsia" w:ascii="仿宋" w:hAnsi="仿宋" w:eastAsia="仿宋" w:cs="仿宋"/>
                      <w:color w:val="auto"/>
                      <w:spacing w:val="13"/>
                      <w:sz w:val="21"/>
                      <w:szCs w:val="21"/>
                      <w:highlight w:val="none"/>
                    </w:rPr>
                    <w:t>注</w:t>
                  </w:r>
                  <w:r>
                    <w:rPr>
                      <w:rFonts w:hint="eastAsia" w:ascii="仿宋" w:hAnsi="仿宋" w:eastAsia="仿宋" w:cs="仿宋"/>
                      <w:color w:val="auto"/>
                      <w:spacing w:val="8"/>
                      <w:sz w:val="21"/>
                      <w:szCs w:val="21"/>
                      <w:highlight w:val="none"/>
                    </w:rPr>
                    <w:t>：</w:t>
                  </w:r>
                </w:p>
                <w:p w14:paraId="6071844C">
                  <w:pPr>
                    <w:keepNext w:val="0"/>
                    <w:keepLines w:val="0"/>
                    <w:pageBreakBefore w:val="0"/>
                    <w:overflowPunct/>
                    <w:topLinePunct w:val="0"/>
                    <w:bidi w:val="0"/>
                    <w:spacing w:before="49" w:line="240" w:lineRule="auto"/>
                    <w:rPr>
                      <w:rFonts w:hint="eastAsia" w:ascii="仿宋" w:hAnsi="仿宋" w:eastAsia="仿宋" w:cs="仿宋"/>
                      <w:color w:val="auto"/>
                      <w:spacing w:val="9"/>
                      <w:position w:val="4"/>
                      <w:sz w:val="21"/>
                      <w:szCs w:val="21"/>
                      <w:highlight w:val="none"/>
                    </w:rPr>
                  </w:pPr>
                  <w:r>
                    <w:rPr>
                      <w:rFonts w:hint="eastAsia" w:ascii="仿宋" w:hAnsi="仿宋" w:eastAsia="仿宋" w:cs="仿宋"/>
                      <w:color w:val="auto"/>
                      <w:spacing w:val="8"/>
                      <w:sz w:val="21"/>
                      <w:szCs w:val="21"/>
                      <w:highlight w:val="none"/>
                    </w:rPr>
                    <w:t>1.通知单、工程变更(联系)单、工程量审核表、图像资料 (事前、事中、事后) 及其它相关依</w:t>
                  </w:r>
                  <w:r>
                    <w:rPr>
                      <w:rFonts w:hint="eastAsia" w:ascii="仿宋" w:hAnsi="仿宋" w:eastAsia="仿宋" w:cs="仿宋"/>
                      <w:color w:val="auto"/>
                      <w:spacing w:val="12"/>
                      <w:position w:val="4"/>
                      <w:sz w:val="21"/>
                      <w:szCs w:val="21"/>
                      <w:highlight w:val="none"/>
                    </w:rPr>
                    <w:t>据</w:t>
                  </w:r>
                  <w:r>
                    <w:rPr>
                      <w:rFonts w:hint="eastAsia" w:ascii="仿宋" w:hAnsi="仿宋" w:eastAsia="仿宋" w:cs="仿宋"/>
                      <w:color w:val="auto"/>
                      <w:spacing w:val="9"/>
                      <w:position w:val="4"/>
                      <w:sz w:val="21"/>
                      <w:szCs w:val="21"/>
                      <w:highlight w:val="none"/>
                    </w:rPr>
                    <w:t>附后；一式二份原件，项目成本管理员和分包方各一份。</w:t>
                  </w:r>
                </w:p>
                <w:p w14:paraId="3ECFF086">
                  <w:pPr>
                    <w:keepNext w:val="0"/>
                    <w:keepLines w:val="0"/>
                    <w:pageBreakBefore w:val="0"/>
                    <w:numPr>
                      <w:ilvl w:val="0"/>
                      <w:numId w:val="0"/>
                    </w:numPr>
                    <w:overflowPunct/>
                    <w:topLinePunct w:val="0"/>
                    <w:bidi w:val="0"/>
                    <w:spacing w:before="21" w:line="240" w:lineRule="auto"/>
                    <w:rPr>
                      <w:rFonts w:hint="eastAsia" w:ascii="仿宋" w:hAnsi="仿宋" w:eastAsia="仿宋" w:cs="仿宋"/>
                      <w:color w:val="auto"/>
                      <w:spacing w:val="8"/>
                      <w:position w:val="1"/>
                      <w:sz w:val="21"/>
                      <w:szCs w:val="21"/>
                      <w:highlight w:val="none"/>
                    </w:rPr>
                  </w:pPr>
                  <w:r>
                    <w:rPr>
                      <w:rFonts w:hint="eastAsia" w:ascii="仿宋" w:hAnsi="仿宋" w:eastAsia="仿宋" w:cs="仿宋"/>
                      <w:color w:val="auto"/>
                      <w:spacing w:val="8"/>
                      <w:position w:val="1"/>
                      <w:sz w:val="21"/>
                      <w:szCs w:val="21"/>
                      <w:highlight w:val="none"/>
                      <w:lang w:val="en-US" w:eastAsia="zh-CN"/>
                    </w:rPr>
                    <w:t>2.</w:t>
                  </w:r>
                  <w:r>
                    <w:rPr>
                      <w:rFonts w:hint="eastAsia" w:ascii="仿宋" w:hAnsi="仿宋" w:eastAsia="仿宋" w:cs="仿宋"/>
                      <w:color w:val="auto"/>
                      <w:spacing w:val="8"/>
                      <w:position w:val="1"/>
                      <w:sz w:val="21"/>
                      <w:szCs w:val="21"/>
                      <w:highlight w:val="none"/>
                    </w:rPr>
                    <w:t>本签证单仅用于确认存在工程变更事宜。</w:t>
                  </w:r>
                </w:p>
                <w:p w14:paraId="72CA069B">
                  <w:pPr>
                    <w:keepNext w:val="0"/>
                    <w:keepLines w:val="0"/>
                    <w:pageBreakBefore w:val="0"/>
                    <w:numPr>
                      <w:ilvl w:val="0"/>
                      <w:numId w:val="0"/>
                    </w:numPr>
                    <w:overflowPunct/>
                    <w:topLinePunct w:val="0"/>
                    <w:bidi w:val="0"/>
                    <w:spacing w:before="21"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10"/>
                      <w:sz w:val="21"/>
                      <w:szCs w:val="21"/>
                      <w:highlight w:val="none"/>
                      <w:lang w:val="en-US" w:eastAsia="zh-CN"/>
                    </w:rPr>
                    <w:t>3.</w:t>
                  </w:r>
                  <w:r>
                    <w:rPr>
                      <w:rFonts w:hint="eastAsia" w:ascii="仿宋" w:hAnsi="仿宋" w:eastAsia="仿宋" w:cs="仿宋"/>
                      <w:color w:val="auto"/>
                      <w:spacing w:val="8"/>
                      <w:position w:val="1"/>
                      <w:sz w:val="21"/>
                      <w:szCs w:val="21"/>
                      <w:highlight w:val="none"/>
                    </w:rPr>
                    <w:t>本签证单所述内容为双方对事项发生的签认，本签证单结算价款以分包方主合同工程结算时与 承包方共同确认的为准。</w:t>
                  </w:r>
                </w:p>
              </w:tc>
            </w:tr>
          </w:tbl>
          <w:p w14:paraId="7F53AA83">
            <w:pPr>
              <w:keepNext w:val="0"/>
              <w:keepLines w:val="0"/>
              <w:pageBreakBefore w:val="0"/>
              <w:widowControl/>
              <w:overflowPunct/>
              <w:topLinePunct w:val="0"/>
              <w:bidi w:val="0"/>
              <w:snapToGrid w:val="0"/>
              <w:spacing w:line="360" w:lineRule="auto"/>
              <w:ind w:left="0" w:leftChars="0" w:firstLine="358" w:firstLineChars="179"/>
              <w:jc w:val="left"/>
              <w:textAlignment w:val="center"/>
              <w:rPr>
                <w:rFonts w:hint="eastAsia" w:ascii="仿宋" w:hAnsi="仿宋" w:eastAsia="仿宋" w:cs="仿宋"/>
                <w:color w:val="auto"/>
                <w:sz w:val="20"/>
                <w:szCs w:val="20"/>
                <w:highlight w:val="none"/>
              </w:rPr>
            </w:pPr>
          </w:p>
        </w:tc>
      </w:tr>
    </w:tbl>
    <w:p w14:paraId="336F0961">
      <w:pPr>
        <w:keepNext w:val="0"/>
        <w:keepLines w:val="0"/>
        <w:pageBreakBefore w:val="0"/>
        <w:shd w:val="clear" w:color="auto" w:fill="auto"/>
        <w:overflowPunct/>
        <w:topLinePunct w:val="0"/>
        <w:bidi w:val="0"/>
        <w:snapToGrid w:val="0"/>
        <w:spacing w:line="360" w:lineRule="auto"/>
        <w:ind w:left="559" w:leftChars="266" w:firstLine="719" w:firstLineChars="179"/>
        <w:jc w:val="right"/>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附件五</w:t>
      </w:r>
      <w:bookmarkEnd w:id="231"/>
      <w:bookmarkEnd w:id="232"/>
      <w:bookmarkStart w:id="233" w:name="_Toc6279"/>
      <w:bookmarkStart w:id="234" w:name="_Toc17060"/>
    </w:p>
    <w:p w14:paraId="6588B432">
      <w:pPr>
        <w:keepNext w:val="0"/>
        <w:keepLines w:val="0"/>
        <w:pageBreakBefore w:val="0"/>
        <w:shd w:val="clear" w:color="auto" w:fill="auto"/>
        <w:overflowPunct/>
        <w:topLinePunct w:val="0"/>
        <w:bidi w:val="0"/>
        <w:snapToGrid w:val="0"/>
        <w:spacing w:line="360" w:lineRule="auto"/>
        <w:ind w:firstLine="719" w:firstLineChars="179"/>
        <w:jc w:val="right"/>
        <w:outlineLvl w:val="9"/>
        <w:rPr>
          <w:rFonts w:hint="eastAsia" w:ascii="仿宋" w:hAnsi="仿宋" w:eastAsia="仿宋" w:cs="仿宋"/>
          <w:b/>
          <w:bCs w:val="0"/>
          <w:color w:val="auto"/>
          <w:sz w:val="40"/>
          <w:szCs w:val="40"/>
          <w:highlight w:val="none"/>
          <w:shd w:val="clear" w:color="auto" w:fill="auto"/>
          <w:lang w:val="en-US" w:eastAsia="zh-CN"/>
        </w:rPr>
      </w:pPr>
    </w:p>
    <w:p w14:paraId="6DC73ED1">
      <w:pPr>
        <w:keepNext w:val="0"/>
        <w:keepLines w:val="0"/>
        <w:pageBreakBefore w:val="0"/>
        <w:shd w:val="clear" w:color="auto" w:fill="auto"/>
        <w:overflowPunct/>
        <w:topLinePunct w:val="0"/>
        <w:bidi w:val="0"/>
        <w:snapToGrid w:val="0"/>
        <w:spacing w:line="360" w:lineRule="auto"/>
        <w:ind w:firstLine="719" w:firstLineChars="179"/>
        <w:jc w:val="right"/>
        <w:outlineLvl w:val="9"/>
        <w:rPr>
          <w:rFonts w:hint="eastAsia" w:ascii="仿宋" w:hAnsi="仿宋" w:eastAsia="仿宋" w:cs="仿宋"/>
          <w:b/>
          <w:bCs w:val="0"/>
          <w:color w:val="auto"/>
          <w:sz w:val="40"/>
          <w:szCs w:val="40"/>
          <w:highlight w:val="none"/>
          <w:shd w:val="clear" w:color="auto" w:fill="auto"/>
          <w:lang w:val="en-US" w:eastAsia="zh-CN"/>
        </w:rPr>
      </w:pPr>
    </w:p>
    <w:p w14:paraId="0D2B4BE9">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35" w:name="_Toc7606"/>
      <w:bookmarkStart w:id="236" w:name="_Toc3378"/>
      <w:bookmarkStart w:id="237" w:name="_Toc30261"/>
      <w:bookmarkStart w:id="238" w:name="_Toc13032"/>
    </w:p>
    <w:p w14:paraId="223CD9AD">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39" w:name="_Toc3489"/>
      <w:bookmarkStart w:id="240" w:name="_Toc21491"/>
      <w:r>
        <w:rPr>
          <w:rFonts w:hint="eastAsia" w:ascii="仿宋" w:hAnsi="仿宋" w:eastAsia="仿宋" w:cs="仿宋"/>
          <w:b/>
          <w:bCs w:val="0"/>
          <w:color w:val="auto"/>
          <w:sz w:val="40"/>
          <w:szCs w:val="40"/>
          <w:highlight w:val="none"/>
          <w:shd w:val="clear" w:color="auto" w:fill="auto"/>
          <w:lang w:val="en-US" w:eastAsia="zh-CN"/>
        </w:rPr>
        <w:t>附件六</w:t>
      </w:r>
      <w:bookmarkEnd w:id="233"/>
      <w:bookmarkEnd w:id="234"/>
      <w:bookmarkEnd w:id="235"/>
      <w:bookmarkEnd w:id="236"/>
      <w:bookmarkEnd w:id="237"/>
      <w:bookmarkEnd w:id="238"/>
      <w:bookmarkEnd w:id="239"/>
      <w:bookmarkEnd w:id="240"/>
    </w:p>
    <w:p w14:paraId="30C9410D">
      <w:pPr>
        <w:keepNext w:val="0"/>
        <w:keepLines w:val="0"/>
        <w:pageBreakBefore w:val="0"/>
        <w:widowControl/>
        <w:kinsoku w:val="0"/>
        <w:overflowPunct/>
        <w:topLinePunct w:val="0"/>
        <w:autoSpaceDE w:val="0"/>
        <w:autoSpaceDN w:val="0"/>
        <w:bidi w:val="0"/>
        <w:adjustRightInd w:val="0"/>
        <w:snapToGrid w:val="0"/>
        <w:spacing w:before="59" w:line="360" w:lineRule="auto"/>
        <w:ind w:firstLine="590" w:firstLineChars="179"/>
        <w:jc w:val="center"/>
        <w:textAlignment w:val="baseline"/>
        <w:rPr>
          <w:rFonts w:hint="eastAsia" w:ascii="仿宋" w:hAnsi="仿宋" w:eastAsia="仿宋" w:cs="仿宋"/>
          <w:snapToGrid w:val="0"/>
          <w:color w:val="auto"/>
          <w:spacing w:val="8"/>
          <w:kern w:val="0"/>
          <w:sz w:val="31"/>
          <w:szCs w:val="31"/>
          <w:highlight w:val="none"/>
          <w:lang w:val="en-US" w:eastAsia="zh-CN"/>
        </w:rPr>
      </w:pPr>
      <w:r>
        <w:rPr>
          <w:rFonts w:ascii="仿宋" w:hAnsi="仿宋" w:eastAsia="仿宋" w:cs="仿宋"/>
          <w:snapToGrid w:val="0"/>
          <w:color w:val="auto"/>
          <w:spacing w:val="10"/>
          <w:kern w:val="0"/>
          <w:sz w:val="31"/>
          <w:szCs w:val="31"/>
          <w:highlight w:val="none"/>
        </w:rPr>
        <w:t>工</w:t>
      </w:r>
      <w:r>
        <w:rPr>
          <w:rFonts w:ascii="仿宋" w:hAnsi="仿宋" w:eastAsia="仿宋" w:cs="仿宋"/>
          <w:snapToGrid w:val="0"/>
          <w:color w:val="auto"/>
          <w:spacing w:val="8"/>
          <w:kern w:val="0"/>
          <w:sz w:val="31"/>
          <w:szCs w:val="31"/>
          <w:highlight w:val="none"/>
        </w:rPr>
        <w:t>程量现场草签记录表</w:t>
      </w:r>
    </w:p>
    <w:tbl>
      <w:tblPr>
        <w:tblStyle w:val="28"/>
        <w:tblW w:w="87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7"/>
        <w:gridCol w:w="490"/>
        <w:gridCol w:w="1364"/>
        <w:gridCol w:w="2264"/>
        <w:gridCol w:w="809"/>
        <w:gridCol w:w="824"/>
        <w:gridCol w:w="795"/>
        <w:gridCol w:w="1371"/>
      </w:tblGrid>
      <w:tr w14:paraId="1D1039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1297" w:type="dxa"/>
            <w:gridSpan w:val="2"/>
            <w:noWrap w:val="0"/>
            <w:vAlign w:val="top"/>
          </w:tcPr>
          <w:p w14:paraId="476EE7BE">
            <w:pPr>
              <w:keepNext w:val="0"/>
              <w:keepLines w:val="0"/>
              <w:pageBreakBefore w:val="0"/>
              <w:widowControl/>
              <w:kinsoku w:val="0"/>
              <w:overflowPunct/>
              <w:topLinePunct w:val="0"/>
              <w:autoSpaceDE w:val="0"/>
              <w:autoSpaceDN w:val="0"/>
              <w:bidi w:val="0"/>
              <w:adjustRightInd w:val="0"/>
              <w:snapToGrid w:val="0"/>
              <w:spacing w:before="86"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工程名称</w:t>
            </w:r>
          </w:p>
        </w:tc>
        <w:tc>
          <w:tcPr>
            <w:tcW w:w="7427" w:type="dxa"/>
            <w:gridSpan w:val="6"/>
            <w:noWrap w:val="0"/>
            <w:vAlign w:val="top"/>
          </w:tcPr>
          <w:p w14:paraId="03F7525E">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4B9B6C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noWrap w:val="0"/>
            <w:vAlign w:val="center"/>
          </w:tcPr>
          <w:p w14:paraId="78381AA2">
            <w:pPr>
              <w:keepNext w:val="0"/>
              <w:keepLines w:val="0"/>
              <w:pageBreakBefore w:val="0"/>
              <w:widowControl/>
              <w:kinsoku w:val="0"/>
              <w:overflowPunct/>
              <w:topLinePunct w:val="0"/>
              <w:autoSpaceDE w:val="0"/>
              <w:autoSpaceDN w:val="0"/>
              <w:bidi w:val="0"/>
              <w:adjustRightInd w:val="0"/>
              <w:snapToGrid w:val="0"/>
              <w:spacing w:before="83"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承</w:t>
            </w:r>
            <w:r>
              <w:rPr>
                <w:rFonts w:ascii="仿宋" w:hAnsi="仿宋" w:eastAsia="仿宋" w:cs="仿宋"/>
                <w:snapToGrid w:val="0"/>
                <w:color w:val="auto"/>
                <w:spacing w:val="5"/>
                <w:kern w:val="0"/>
                <w:sz w:val="23"/>
                <w:szCs w:val="23"/>
                <w:highlight w:val="none"/>
              </w:rPr>
              <w:t>包方</w:t>
            </w:r>
          </w:p>
        </w:tc>
        <w:tc>
          <w:tcPr>
            <w:tcW w:w="3628" w:type="dxa"/>
            <w:gridSpan w:val="2"/>
            <w:noWrap w:val="0"/>
            <w:vAlign w:val="center"/>
          </w:tcPr>
          <w:p w14:paraId="5957CF18">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center"/>
              <w:textAlignment w:val="baseline"/>
              <w:rPr>
                <w:rFonts w:ascii="Arial" w:hAnsi="Arial" w:eastAsia="Arial" w:cs="Arial"/>
                <w:snapToGrid w:val="0"/>
                <w:color w:val="auto"/>
                <w:kern w:val="0"/>
                <w:sz w:val="21"/>
                <w:szCs w:val="21"/>
                <w:highlight w:val="none"/>
              </w:rPr>
            </w:pPr>
          </w:p>
        </w:tc>
        <w:tc>
          <w:tcPr>
            <w:tcW w:w="809" w:type="dxa"/>
            <w:noWrap w:val="0"/>
            <w:vAlign w:val="center"/>
          </w:tcPr>
          <w:p w14:paraId="682345DF">
            <w:pPr>
              <w:keepNext w:val="0"/>
              <w:keepLines w:val="0"/>
              <w:pageBreakBefore w:val="0"/>
              <w:widowControl/>
              <w:kinsoku w:val="0"/>
              <w:overflowPunct/>
              <w:topLinePunct w:val="0"/>
              <w:autoSpaceDE w:val="0"/>
              <w:autoSpaceDN w:val="0"/>
              <w:bidi w:val="0"/>
              <w:adjustRightInd w:val="0"/>
              <w:snapToGrid w:val="0"/>
              <w:spacing w:before="83"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号</w:t>
            </w:r>
          </w:p>
        </w:tc>
        <w:tc>
          <w:tcPr>
            <w:tcW w:w="2990" w:type="dxa"/>
            <w:gridSpan w:val="3"/>
            <w:noWrap w:val="0"/>
            <w:vAlign w:val="center"/>
          </w:tcPr>
          <w:p w14:paraId="1297BDA1">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center"/>
              <w:textAlignment w:val="baseline"/>
              <w:rPr>
                <w:rFonts w:ascii="Arial" w:hAnsi="Arial" w:eastAsia="Arial" w:cs="Arial"/>
                <w:snapToGrid w:val="0"/>
                <w:color w:val="auto"/>
                <w:kern w:val="0"/>
                <w:sz w:val="21"/>
                <w:szCs w:val="21"/>
                <w:highlight w:val="none"/>
              </w:rPr>
            </w:pPr>
          </w:p>
        </w:tc>
      </w:tr>
      <w:tr w14:paraId="293034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noWrap w:val="0"/>
            <w:vAlign w:val="center"/>
          </w:tcPr>
          <w:p w14:paraId="6ABAFCEE">
            <w:pPr>
              <w:keepNext w:val="0"/>
              <w:keepLines w:val="0"/>
              <w:pageBreakBefore w:val="0"/>
              <w:widowControl/>
              <w:kinsoku w:val="0"/>
              <w:overflowPunct/>
              <w:topLinePunct w:val="0"/>
              <w:autoSpaceDE w:val="0"/>
              <w:autoSpaceDN w:val="0"/>
              <w:bidi w:val="0"/>
              <w:adjustRightInd w:val="0"/>
              <w:snapToGrid w:val="0"/>
              <w:spacing w:before="84"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分</w:t>
            </w:r>
            <w:r>
              <w:rPr>
                <w:rFonts w:ascii="仿宋" w:hAnsi="仿宋" w:eastAsia="仿宋" w:cs="仿宋"/>
                <w:snapToGrid w:val="0"/>
                <w:color w:val="auto"/>
                <w:spacing w:val="4"/>
                <w:kern w:val="0"/>
                <w:sz w:val="23"/>
                <w:szCs w:val="23"/>
                <w:highlight w:val="none"/>
              </w:rPr>
              <w:t>包方</w:t>
            </w:r>
          </w:p>
        </w:tc>
        <w:tc>
          <w:tcPr>
            <w:tcW w:w="3628" w:type="dxa"/>
            <w:gridSpan w:val="2"/>
            <w:noWrap w:val="0"/>
            <w:vAlign w:val="center"/>
          </w:tcPr>
          <w:p w14:paraId="567C43C8">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center"/>
              <w:textAlignment w:val="baseline"/>
              <w:rPr>
                <w:rFonts w:ascii="Arial" w:hAnsi="Arial" w:eastAsia="Arial" w:cs="Arial"/>
                <w:snapToGrid w:val="0"/>
                <w:color w:val="auto"/>
                <w:kern w:val="0"/>
                <w:sz w:val="21"/>
                <w:szCs w:val="21"/>
                <w:highlight w:val="none"/>
              </w:rPr>
            </w:pPr>
          </w:p>
        </w:tc>
        <w:tc>
          <w:tcPr>
            <w:tcW w:w="809" w:type="dxa"/>
            <w:noWrap w:val="0"/>
            <w:vAlign w:val="center"/>
          </w:tcPr>
          <w:p w14:paraId="78FA1B32">
            <w:pPr>
              <w:keepNext w:val="0"/>
              <w:keepLines w:val="0"/>
              <w:pageBreakBefore w:val="0"/>
              <w:widowControl/>
              <w:kinsoku w:val="0"/>
              <w:overflowPunct/>
              <w:topLinePunct w:val="0"/>
              <w:autoSpaceDE w:val="0"/>
              <w:autoSpaceDN w:val="0"/>
              <w:bidi w:val="0"/>
              <w:adjustRightInd w:val="0"/>
              <w:snapToGrid w:val="0"/>
              <w:spacing w:before="84"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原</w:t>
            </w:r>
            <w:r>
              <w:rPr>
                <w:rFonts w:ascii="仿宋" w:hAnsi="仿宋" w:eastAsia="仿宋" w:cs="仿宋"/>
                <w:snapToGrid w:val="0"/>
                <w:color w:val="auto"/>
                <w:kern w:val="0"/>
                <w:sz w:val="23"/>
                <w:szCs w:val="23"/>
                <w:highlight w:val="none"/>
              </w:rPr>
              <w:t>因</w:t>
            </w:r>
          </w:p>
        </w:tc>
        <w:tc>
          <w:tcPr>
            <w:tcW w:w="2990" w:type="dxa"/>
            <w:gridSpan w:val="3"/>
            <w:noWrap w:val="0"/>
            <w:vAlign w:val="center"/>
          </w:tcPr>
          <w:p w14:paraId="5D19256B">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center"/>
              <w:textAlignment w:val="baseline"/>
              <w:rPr>
                <w:rFonts w:ascii="Arial" w:hAnsi="Arial" w:eastAsia="Arial" w:cs="Arial"/>
                <w:snapToGrid w:val="0"/>
                <w:color w:val="auto"/>
                <w:kern w:val="0"/>
                <w:sz w:val="21"/>
                <w:szCs w:val="21"/>
                <w:highlight w:val="none"/>
              </w:rPr>
            </w:pPr>
          </w:p>
        </w:tc>
      </w:tr>
      <w:tr w14:paraId="1C4658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center"/>
          </w:tcPr>
          <w:p w14:paraId="727CDB76">
            <w:pPr>
              <w:keepNext w:val="0"/>
              <w:keepLines w:val="0"/>
              <w:pageBreakBefore w:val="0"/>
              <w:widowControl/>
              <w:kinsoku w:val="0"/>
              <w:overflowPunct/>
              <w:topLinePunct w:val="0"/>
              <w:autoSpaceDE w:val="0"/>
              <w:autoSpaceDN w:val="0"/>
              <w:bidi w:val="0"/>
              <w:adjustRightInd w:val="0"/>
              <w:snapToGrid w:val="0"/>
              <w:spacing w:before="149"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序号</w:t>
            </w:r>
          </w:p>
        </w:tc>
        <w:tc>
          <w:tcPr>
            <w:tcW w:w="4927" w:type="dxa"/>
            <w:gridSpan w:val="4"/>
            <w:noWrap w:val="0"/>
            <w:vAlign w:val="center"/>
          </w:tcPr>
          <w:p w14:paraId="22632F49">
            <w:pPr>
              <w:keepNext w:val="0"/>
              <w:keepLines w:val="0"/>
              <w:pageBreakBefore w:val="0"/>
              <w:widowControl/>
              <w:kinsoku w:val="0"/>
              <w:overflowPunct/>
              <w:topLinePunct w:val="0"/>
              <w:autoSpaceDE w:val="0"/>
              <w:autoSpaceDN w:val="0"/>
              <w:bidi w:val="0"/>
              <w:adjustRightInd w:val="0"/>
              <w:snapToGrid w:val="0"/>
              <w:spacing w:before="150"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项目名</w:t>
            </w:r>
            <w:r>
              <w:rPr>
                <w:rFonts w:ascii="仿宋" w:hAnsi="仿宋" w:eastAsia="仿宋" w:cs="仿宋"/>
                <w:snapToGrid w:val="0"/>
                <w:color w:val="auto"/>
                <w:spacing w:val="5"/>
                <w:kern w:val="0"/>
                <w:sz w:val="23"/>
                <w:szCs w:val="23"/>
                <w:highlight w:val="none"/>
              </w:rPr>
              <w:t>称</w:t>
            </w:r>
          </w:p>
        </w:tc>
        <w:tc>
          <w:tcPr>
            <w:tcW w:w="824" w:type="dxa"/>
            <w:noWrap w:val="0"/>
            <w:vAlign w:val="center"/>
          </w:tcPr>
          <w:p w14:paraId="762D3472">
            <w:pPr>
              <w:keepNext w:val="0"/>
              <w:keepLines w:val="0"/>
              <w:pageBreakBefore w:val="0"/>
              <w:widowControl/>
              <w:kinsoku w:val="0"/>
              <w:overflowPunct/>
              <w:topLinePunct w:val="0"/>
              <w:autoSpaceDE w:val="0"/>
              <w:autoSpaceDN w:val="0"/>
              <w:bidi w:val="0"/>
              <w:adjustRightInd w:val="0"/>
              <w:snapToGrid w:val="0"/>
              <w:spacing w:before="150"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位</w:t>
            </w:r>
          </w:p>
        </w:tc>
        <w:tc>
          <w:tcPr>
            <w:tcW w:w="795" w:type="dxa"/>
            <w:noWrap w:val="0"/>
            <w:vAlign w:val="center"/>
          </w:tcPr>
          <w:p w14:paraId="635B0401">
            <w:pPr>
              <w:keepNext w:val="0"/>
              <w:keepLines w:val="0"/>
              <w:pageBreakBefore w:val="0"/>
              <w:widowControl/>
              <w:kinsoku w:val="0"/>
              <w:overflowPunct/>
              <w:topLinePunct w:val="0"/>
              <w:autoSpaceDE w:val="0"/>
              <w:autoSpaceDN w:val="0"/>
              <w:bidi w:val="0"/>
              <w:adjustRightInd w:val="0"/>
              <w:snapToGrid w:val="0"/>
              <w:spacing w:before="150"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数量</w:t>
            </w:r>
          </w:p>
        </w:tc>
        <w:tc>
          <w:tcPr>
            <w:tcW w:w="1371" w:type="dxa"/>
            <w:noWrap w:val="0"/>
            <w:vAlign w:val="center"/>
          </w:tcPr>
          <w:p w14:paraId="26ADB862">
            <w:pPr>
              <w:keepNext w:val="0"/>
              <w:keepLines w:val="0"/>
              <w:pageBreakBefore w:val="0"/>
              <w:widowControl/>
              <w:kinsoku w:val="0"/>
              <w:overflowPunct/>
              <w:topLinePunct w:val="0"/>
              <w:autoSpaceDE w:val="0"/>
              <w:autoSpaceDN w:val="0"/>
              <w:bidi w:val="0"/>
              <w:adjustRightInd w:val="0"/>
              <w:snapToGrid w:val="0"/>
              <w:spacing w:before="150"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备注</w:t>
            </w:r>
          </w:p>
        </w:tc>
      </w:tr>
      <w:tr w14:paraId="79AE70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center"/>
          </w:tcPr>
          <w:p w14:paraId="1CEF9B83">
            <w:pPr>
              <w:keepNext w:val="0"/>
              <w:keepLines w:val="0"/>
              <w:pageBreakBefore w:val="0"/>
              <w:widowControl/>
              <w:kinsoku w:val="0"/>
              <w:overflowPunct/>
              <w:topLinePunct w:val="0"/>
              <w:autoSpaceDE w:val="0"/>
              <w:autoSpaceDN w:val="0"/>
              <w:bidi w:val="0"/>
              <w:adjustRightInd w:val="0"/>
              <w:snapToGrid w:val="0"/>
              <w:spacing w:before="190"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1</w:t>
            </w:r>
          </w:p>
        </w:tc>
        <w:tc>
          <w:tcPr>
            <w:tcW w:w="4927" w:type="dxa"/>
            <w:gridSpan w:val="4"/>
            <w:noWrap w:val="0"/>
            <w:vAlign w:val="top"/>
          </w:tcPr>
          <w:p w14:paraId="47D22BA3">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7D635733">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5F19F010">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19AA911C">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60BB3B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center"/>
          </w:tcPr>
          <w:p w14:paraId="6D54D2C3">
            <w:pPr>
              <w:keepNext w:val="0"/>
              <w:keepLines w:val="0"/>
              <w:pageBreakBefore w:val="0"/>
              <w:widowControl/>
              <w:kinsoku w:val="0"/>
              <w:overflowPunct/>
              <w:topLinePunct w:val="0"/>
              <w:autoSpaceDE w:val="0"/>
              <w:autoSpaceDN w:val="0"/>
              <w:bidi w:val="0"/>
              <w:adjustRightInd w:val="0"/>
              <w:snapToGrid w:val="0"/>
              <w:spacing w:before="191"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2</w:t>
            </w:r>
          </w:p>
        </w:tc>
        <w:tc>
          <w:tcPr>
            <w:tcW w:w="4927" w:type="dxa"/>
            <w:gridSpan w:val="4"/>
            <w:noWrap w:val="0"/>
            <w:vAlign w:val="top"/>
          </w:tcPr>
          <w:p w14:paraId="62A336E1">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076165B6">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76DF841E">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7EB42591">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2A042E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noWrap w:val="0"/>
            <w:vAlign w:val="center"/>
          </w:tcPr>
          <w:p w14:paraId="5C914672">
            <w:pPr>
              <w:keepNext w:val="0"/>
              <w:keepLines w:val="0"/>
              <w:pageBreakBefore w:val="0"/>
              <w:widowControl/>
              <w:kinsoku w:val="0"/>
              <w:overflowPunct/>
              <w:topLinePunct w:val="0"/>
              <w:autoSpaceDE w:val="0"/>
              <w:autoSpaceDN w:val="0"/>
              <w:bidi w:val="0"/>
              <w:adjustRightInd w:val="0"/>
              <w:snapToGrid w:val="0"/>
              <w:spacing w:before="191"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3</w:t>
            </w:r>
          </w:p>
        </w:tc>
        <w:tc>
          <w:tcPr>
            <w:tcW w:w="4927" w:type="dxa"/>
            <w:gridSpan w:val="4"/>
            <w:noWrap w:val="0"/>
            <w:vAlign w:val="top"/>
          </w:tcPr>
          <w:p w14:paraId="23D1BF6C">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4E4B2BF9">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14EB166A">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339E0571">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3A0259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center"/>
          </w:tcPr>
          <w:p w14:paraId="03A8B436">
            <w:pPr>
              <w:keepNext w:val="0"/>
              <w:keepLines w:val="0"/>
              <w:pageBreakBefore w:val="0"/>
              <w:widowControl/>
              <w:kinsoku w:val="0"/>
              <w:overflowPunct/>
              <w:topLinePunct w:val="0"/>
              <w:autoSpaceDE w:val="0"/>
              <w:autoSpaceDN w:val="0"/>
              <w:bidi w:val="0"/>
              <w:adjustRightInd w:val="0"/>
              <w:snapToGrid w:val="0"/>
              <w:spacing w:before="192"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4</w:t>
            </w:r>
          </w:p>
        </w:tc>
        <w:tc>
          <w:tcPr>
            <w:tcW w:w="4927" w:type="dxa"/>
            <w:gridSpan w:val="4"/>
            <w:noWrap w:val="0"/>
            <w:vAlign w:val="top"/>
          </w:tcPr>
          <w:p w14:paraId="62E417AD">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593E775D">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647F59FC">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33BB7773">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438E89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center"/>
          </w:tcPr>
          <w:p w14:paraId="6C430722">
            <w:pPr>
              <w:keepNext w:val="0"/>
              <w:keepLines w:val="0"/>
              <w:pageBreakBefore w:val="0"/>
              <w:widowControl/>
              <w:kinsoku w:val="0"/>
              <w:overflowPunct/>
              <w:topLinePunct w:val="0"/>
              <w:autoSpaceDE w:val="0"/>
              <w:autoSpaceDN w:val="0"/>
              <w:bidi w:val="0"/>
              <w:adjustRightInd w:val="0"/>
              <w:snapToGrid w:val="0"/>
              <w:spacing w:before="195"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5</w:t>
            </w:r>
          </w:p>
        </w:tc>
        <w:tc>
          <w:tcPr>
            <w:tcW w:w="4927" w:type="dxa"/>
            <w:gridSpan w:val="4"/>
            <w:noWrap w:val="0"/>
            <w:vAlign w:val="top"/>
          </w:tcPr>
          <w:p w14:paraId="30163BD1">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7C0545C3">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0F972A50">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7F6E6D1C">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2C6422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center"/>
          </w:tcPr>
          <w:p w14:paraId="6460DF7A">
            <w:pPr>
              <w:keepNext w:val="0"/>
              <w:keepLines w:val="0"/>
              <w:pageBreakBefore w:val="0"/>
              <w:widowControl/>
              <w:kinsoku w:val="0"/>
              <w:overflowPunct/>
              <w:topLinePunct w:val="0"/>
              <w:autoSpaceDE w:val="0"/>
              <w:autoSpaceDN w:val="0"/>
              <w:bidi w:val="0"/>
              <w:adjustRightInd w:val="0"/>
              <w:snapToGrid w:val="0"/>
              <w:spacing w:before="192"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6</w:t>
            </w:r>
          </w:p>
        </w:tc>
        <w:tc>
          <w:tcPr>
            <w:tcW w:w="4927" w:type="dxa"/>
            <w:gridSpan w:val="4"/>
            <w:noWrap w:val="0"/>
            <w:vAlign w:val="top"/>
          </w:tcPr>
          <w:p w14:paraId="2CFD3354">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6F250A71">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3BB179C5">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38F9E12B">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274C6B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noWrap w:val="0"/>
            <w:vAlign w:val="center"/>
          </w:tcPr>
          <w:p w14:paraId="030A2DB6">
            <w:pPr>
              <w:keepNext w:val="0"/>
              <w:keepLines w:val="0"/>
              <w:pageBreakBefore w:val="0"/>
              <w:widowControl/>
              <w:kinsoku w:val="0"/>
              <w:overflowPunct/>
              <w:topLinePunct w:val="0"/>
              <w:autoSpaceDE w:val="0"/>
              <w:autoSpaceDN w:val="0"/>
              <w:bidi w:val="0"/>
              <w:adjustRightInd w:val="0"/>
              <w:snapToGrid w:val="0"/>
              <w:spacing w:before="195"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7</w:t>
            </w:r>
          </w:p>
        </w:tc>
        <w:tc>
          <w:tcPr>
            <w:tcW w:w="4927" w:type="dxa"/>
            <w:gridSpan w:val="4"/>
            <w:noWrap w:val="0"/>
            <w:vAlign w:val="top"/>
          </w:tcPr>
          <w:p w14:paraId="119C9663">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29B09CB5">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424CF4F4">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02126162">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61FA1D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center"/>
          </w:tcPr>
          <w:p w14:paraId="1CFED721">
            <w:pPr>
              <w:keepNext w:val="0"/>
              <w:keepLines w:val="0"/>
              <w:pageBreakBefore w:val="0"/>
              <w:widowControl/>
              <w:kinsoku w:val="0"/>
              <w:overflowPunct/>
              <w:topLinePunct w:val="0"/>
              <w:autoSpaceDE w:val="0"/>
              <w:autoSpaceDN w:val="0"/>
              <w:bidi w:val="0"/>
              <w:adjustRightInd w:val="0"/>
              <w:snapToGrid w:val="0"/>
              <w:spacing w:before="193"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8</w:t>
            </w:r>
          </w:p>
        </w:tc>
        <w:tc>
          <w:tcPr>
            <w:tcW w:w="4927" w:type="dxa"/>
            <w:gridSpan w:val="4"/>
            <w:noWrap w:val="0"/>
            <w:vAlign w:val="top"/>
          </w:tcPr>
          <w:p w14:paraId="671DE674">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27D2D12D">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648E6067">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51903DAC">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3C9962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center"/>
          </w:tcPr>
          <w:p w14:paraId="10A97E3D">
            <w:pPr>
              <w:keepNext w:val="0"/>
              <w:keepLines w:val="0"/>
              <w:pageBreakBefore w:val="0"/>
              <w:widowControl/>
              <w:kinsoku w:val="0"/>
              <w:overflowPunct/>
              <w:topLinePunct w:val="0"/>
              <w:autoSpaceDE w:val="0"/>
              <w:autoSpaceDN w:val="0"/>
              <w:bidi w:val="0"/>
              <w:adjustRightInd w:val="0"/>
              <w:snapToGrid w:val="0"/>
              <w:spacing w:before="193"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9</w:t>
            </w:r>
          </w:p>
        </w:tc>
        <w:tc>
          <w:tcPr>
            <w:tcW w:w="4927" w:type="dxa"/>
            <w:gridSpan w:val="4"/>
            <w:noWrap w:val="0"/>
            <w:vAlign w:val="top"/>
          </w:tcPr>
          <w:p w14:paraId="35249D07">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13AEE77F">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2D65397C">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1F2DC561">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065566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center"/>
          </w:tcPr>
          <w:p w14:paraId="49A11BC9">
            <w:pPr>
              <w:keepNext w:val="0"/>
              <w:keepLines w:val="0"/>
              <w:pageBreakBefore w:val="0"/>
              <w:widowControl/>
              <w:kinsoku w:val="0"/>
              <w:overflowPunct/>
              <w:topLinePunct w:val="0"/>
              <w:autoSpaceDE w:val="0"/>
              <w:autoSpaceDN w:val="0"/>
              <w:bidi w:val="0"/>
              <w:adjustRightInd w:val="0"/>
              <w:snapToGrid w:val="0"/>
              <w:spacing w:before="193"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0</w:t>
            </w:r>
          </w:p>
        </w:tc>
        <w:tc>
          <w:tcPr>
            <w:tcW w:w="4927" w:type="dxa"/>
            <w:gridSpan w:val="4"/>
            <w:noWrap w:val="0"/>
            <w:vAlign w:val="top"/>
          </w:tcPr>
          <w:p w14:paraId="5AB4FDE3">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6783AFE4">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1C82FFD0">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63E77581">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57B46E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center"/>
          </w:tcPr>
          <w:p w14:paraId="7A14D212">
            <w:pPr>
              <w:keepNext w:val="0"/>
              <w:keepLines w:val="0"/>
              <w:pageBreakBefore w:val="0"/>
              <w:widowControl/>
              <w:kinsoku w:val="0"/>
              <w:overflowPunct/>
              <w:topLinePunct w:val="0"/>
              <w:autoSpaceDE w:val="0"/>
              <w:autoSpaceDN w:val="0"/>
              <w:bidi w:val="0"/>
              <w:adjustRightInd w:val="0"/>
              <w:snapToGrid w:val="0"/>
              <w:spacing w:before="192"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1</w:t>
            </w:r>
          </w:p>
        </w:tc>
        <w:tc>
          <w:tcPr>
            <w:tcW w:w="4927" w:type="dxa"/>
            <w:gridSpan w:val="4"/>
            <w:noWrap w:val="0"/>
            <w:vAlign w:val="top"/>
          </w:tcPr>
          <w:p w14:paraId="538685BA">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270251D8">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4CFD6936">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62AC07B0">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0DEBC7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807" w:type="dxa"/>
            <w:noWrap w:val="0"/>
            <w:vAlign w:val="center"/>
          </w:tcPr>
          <w:p w14:paraId="5A0FD136">
            <w:pPr>
              <w:keepNext w:val="0"/>
              <w:keepLines w:val="0"/>
              <w:pageBreakBefore w:val="0"/>
              <w:widowControl/>
              <w:kinsoku w:val="0"/>
              <w:overflowPunct/>
              <w:topLinePunct w:val="0"/>
              <w:autoSpaceDE w:val="0"/>
              <w:autoSpaceDN w:val="0"/>
              <w:bidi w:val="0"/>
              <w:adjustRightInd w:val="0"/>
              <w:snapToGrid w:val="0"/>
              <w:spacing w:before="197"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2</w:t>
            </w:r>
          </w:p>
        </w:tc>
        <w:tc>
          <w:tcPr>
            <w:tcW w:w="4927" w:type="dxa"/>
            <w:gridSpan w:val="4"/>
            <w:noWrap w:val="0"/>
            <w:vAlign w:val="top"/>
          </w:tcPr>
          <w:p w14:paraId="503250EB">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16F0DEB1">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01FB280B">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732AE589">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tc>
      </w:tr>
      <w:tr w14:paraId="3F4468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661" w:type="dxa"/>
            <w:gridSpan w:val="3"/>
            <w:noWrap w:val="0"/>
            <w:vAlign w:val="center"/>
          </w:tcPr>
          <w:p w14:paraId="64DAE79D">
            <w:pPr>
              <w:keepNext w:val="0"/>
              <w:keepLines w:val="0"/>
              <w:pageBreakBefore w:val="0"/>
              <w:widowControl/>
              <w:kinsoku w:val="0"/>
              <w:overflowPunct/>
              <w:topLinePunct w:val="0"/>
              <w:autoSpaceDE w:val="0"/>
              <w:autoSpaceDN w:val="0"/>
              <w:bidi w:val="0"/>
              <w:adjustRightInd w:val="0"/>
              <w:snapToGrid w:val="0"/>
              <w:spacing w:before="39"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分</w:t>
            </w:r>
            <w:r>
              <w:rPr>
                <w:rFonts w:ascii="仿宋" w:hAnsi="仿宋" w:eastAsia="仿宋" w:cs="仿宋"/>
                <w:snapToGrid w:val="0"/>
                <w:color w:val="auto"/>
                <w:spacing w:val="7"/>
                <w:kern w:val="0"/>
                <w:sz w:val="23"/>
                <w:szCs w:val="23"/>
                <w:highlight w:val="none"/>
              </w:rPr>
              <w:t>包方代表</w:t>
            </w:r>
          </w:p>
        </w:tc>
        <w:tc>
          <w:tcPr>
            <w:tcW w:w="3073" w:type="dxa"/>
            <w:gridSpan w:val="2"/>
            <w:noWrap w:val="0"/>
            <w:vAlign w:val="center"/>
          </w:tcPr>
          <w:p w14:paraId="59C3F111">
            <w:pPr>
              <w:keepNext w:val="0"/>
              <w:keepLines w:val="0"/>
              <w:pageBreakBefore w:val="0"/>
              <w:widowControl/>
              <w:kinsoku w:val="0"/>
              <w:overflowPunct/>
              <w:topLinePunct w:val="0"/>
              <w:autoSpaceDE w:val="0"/>
              <w:autoSpaceDN w:val="0"/>
              <w:bidi w:val="0"/>
              <w:adjustRightInd w:val="0"/>
              <w:snapToGrid w:val="0"/>
              <w:spacing w:before="39"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0"/>
                <w:kern w:val="0"/>
                <w:sz w:val="23"/>
                <w:szCs w:val="23"/>
                <w:highlight w:val="none"/>
              </w:rPr>
              <w:t>承</w:t>
            </w:r>
            <w:r>
              <w:rPr>
                <w:rFonts w:ascii="仿宋" w:hAnsi="仿宋" w:eastAsia="仿宋" w:cs="仿宋"/>
                <w:snapToGrid w:val="0"/>
                <w:color w:val="auto"/>
                <w:spacing w:val="7"/>
                <w:kern w:val="0"/>
                <w:sz w:val="23"/>
                <w:szCs w:val="23"/>
                <w:highlight w:val="none"/>
              </w:rPr>
              <w:t>包方代表</w:t>
            </w:r>
          </w:p>
        </w:tc>
        <w:tc>
          <w:tcPr>
            <w:tcW w:w="2990" w:type="dxa"/>
            <w:gridSpan w:val="3"/>
            <w:noWrap w:val="0"/>
            <w:vAlign w:val="center"/>
          </w:tcPr>
          <w:p w14:paraId="76F95DFD">
            <w:pPr>
              <w:keepNext w:val="0"/>
              <w:keepLines w:val="0"/>
              <w:pageBreakBefore w:val="0"/>
              <w:widowControl/>
              <w:kinsoku w:val="0"/>
              <w:overflowPunct/>
              <w:topLinePunct w:val="0"/>
              <w:autoSpaceDE w:val="0"/>
              <w:autoSpaceDN w:val="0"/>
              <w:bidi w:val="0"/>
              <w:adjustRightInd w:val="0"/>
              <w:snapToGrid w:val="0"/>
              <w:spacing w:before="39" w:line="240" w:lineRule="auto"/>
              <w:jc w:val="center"/>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其它</w:t>
            </w:r>
          </w:p>
        </w:tc>
      </w:tr>
      <w:tr w14:paraId="72145F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0" w:hRule="atLeast"/>
        </w:trPr>
        <w:tc>
          <w:tcPr>
            <w:tcW w:w="2661" w:type="dxa"/>
            <w:gridSpan w:val="3"/>
            <w:noWrap w:val="0"/>
            <w:vAlign w:val="top"/>
          </w:tcPr>
          <w:p w14:paraId="1179B5FC">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69C3BA52">
            <w:pPr>
              <w:keepNext w:val="0"/>
              <w:keepLines w:val="0"/>
              <w:pageBreakBefore w:val="0"/>
              <w:widowControl/>
              <w:kinsoku w:val="0"/>
              <w:overflowPunct/>
              <w:topLinePunct w:val="0"/>
              <w:autoSpaceDE w:val="0"/>
              <w:autoSpaceDN w:val="0"/>
              <w:bidi w:val="0"/>
              <w:adjustRightInd w:val="0"/>
              <w:snapToGrid w:val="0"/>
              <w:spacing w:before="75"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现场执行人</w:t>
            </w:r>
            <w:r>
              <w:rPr>
                <w:rFonts w:ascii="仿宋" w:hAnsi="仿宋" w:eastAsia="仿宋" w:cs="仿宋"/>
                <w:snapToGrid w:val="0"/>
                <w:color w:val="auto"/>
                <w:spacing w:val="4"/>
                <w:kern w:val="0"/>
                <w:sz w:val="23"/>
                <w:szCs w:val="23"/>
                <w:highlight w:val="none"/>
              </w:rPr>
              <w:t>：</w:t>
            </w:r>
          </w:p>
        </w:tc>
        <w:tc>
          <w:tcPr>
            <w:tcW w:w="3073" w:type="dxa"/>
            <w:gridSpan w:val="2"/>
            <w:noWrap w:val="0"/>
            <w:vAlign w:val="top"/>
          </w:tcPr>
          <w:p w14:paraId="519CA699">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4A51D254">
            <w:pPr>
              <w:keepNext w:val="0"/>
              <w:keepLines w:val="0"/>
              <w:pageBreakBefore w:val="0"/>
              <w:widowControl/>
              <w:kinsoku w:val="0"/>
              <w:overflowPunct/>
              <w:topLinePunct w:val="0"/>
              <w:autoSpaceDE w:val="0"/>
              <w:autoSpaceDN w:val="0"/>
              <w:bidi w:val="0"/>
              <w:adjustRightInd w:val="0"/>
              <w:snapToGrid w:val="0"/>
              <w:spacing w:before="74"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施</w:t>
            </w:r>
            <w:r>
              <w:rPr>
                <w:rFonts w:ascii="仿宋" w:hAnsi="仿宋" w:eastAsia="仿宋" w:cs="仿宋"/>
                <w:snapToGrid w:val="0"/>
                <w:color w:val="auto"/>
                <w:spacing w:val="3"/>
                <w:kern w:val="0"/>
                <w:sz w:val="23"/>
                <w:szCs w:val="23"/>
                <w:highlight w:val="none"/>
              </w:rPr>
              <w:t>工员：</w:t>
            </w:r>
          </w:p>
          <w:p w14:paraId="3C1DE317">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33CBA3BC">
            <w:pPr>
              <w:keepNext w:val="0"/>
              <w:keepLines w:val="0"/>
              <w:pageBreakBefore w:val="0"/>
              <w:widowControl/>
              <w:kinsoku w:val="0"/>
              <w:overflowPunct/>
              <w:topLinePunct w:val="0"/>
              <w:autoSpaceDE w:val="0"/>
              <w:autoSpaceDN w:val="0"/>
              <w:bidi w:val="0"/>
              <w:adjustRightInd w:val="0"/>
              <w:snapToGrid w:val="0"/>
              <w:spacing w:before="74"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副经理</w:t>
            </w:r>
            <w:r>
              <w:rPr>
                <w:rFonts w:ascii="仿宋" w:hAnsi="仿宋" w:eastAsia="仿宋" w:cs="仿宋"/>
                <w:snapToGrid w:val="0"/>
                <w:color w:val="auto"/>
                <w:spacing w:val="1"/>
                <w:kern w:val="0"/>
                <w:sz w:val="23"/>
                <w:szCs w:val="23"/>
                <w:highlight w:val="none"/>
              </w:rPr>
              <w:t>：</w:t>
            </w:r>
          </w:p>
          <w:p w14:paraId="6E3F5683">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4691391D">
            <w:pPr>
              <w:keepNext w:val="0"/>
              <w:keepLines w:val="0"/>
              <w:pageBreakBefore w:val="0"/>
              <w:widowControl/>
              <w:kinsoku w:val="0"/>
              <w:overflowPunct/>
              <w:topLinePunct w:val="0"/>
              <w:autoSpaceDE w:val="0"/>
              <w:autoSpaceDN w:val="0"/>
              <w:bidi w:val="0"/>
              <w:adjustRightInd w:val="0"/>
              <w:snapToGrid w:val="0"/>
              <w:spacing w:before="74"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成本管理员：</w:t>
            </w:r>
          </w:p>
        </w:tc>
        <w:tc>
          <w:tcPr>
            <w:tcW w:w="2990" w:type="dxa"/>
            <w:gridSpan w:val="3"/>
            <w:noWrap w:val="0"/>
            <w:vAlign w:val="top"/>
          </w:tcPr>
          <w:p w14:paraId="400A015A">
            <w:pPr>
              <w:keepNext w:val="0"/>
              <w:keepLines w:val="0"/>
              <w:pageBreakBefore w:val="0"/>
              <w:widowControl/>
              <w:kinsoku w:val="0"/>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533738F3">
            <w:pPr>
              <w:keepNext w:val="0"/>
              <w:keepLines w:val="0"/>
              <w:pageBreakBefore w:val="0"/>
              <w:widowControl/>
              <w:kinsoku w:val="0"/>
              <w:overflowPunct/>
              <w:topLinePunct w:val="0"/>
              <w:autoSpaceDE w:val="0"/>
              <w:autoSpaceDN w:val="0"/>
              <w:bidi w:val="0"/>
              <w:adjustRightInd w:val="0"/>
              <w:snapToGrid w:val="0"/>
              <w:spacing w:before="74" w:line="240" w:lineRule="auto"/>
              <w:ind w:right="1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附件如</w:t>
            </w:r>
            <w:r>
              <w:rPr>
                <w:rFonts w:ascii="仿宋" w:hAnsi="仿宋" w:eastAsia="仿宋" w:cs="仿宋"/>
                <w:snapToGrid w:val="0"/>
                <w:color w:val="auto"/>
                <w:spacing w:val="-1"/>
                <w:kern w:val="0"/>
                <w:sz w:val="23"/>
                <w:szCs w:val="23"/>
                <w:highlight w:val="none"/>
              </w:rPr>
              <w:t>：施工前、中、后的</w:t>
            </w:r>
            <w:r>
              <w:rPr>
                <w:rFonts w:ascii="仿宋" w:hAnsi="仿宋" w:eastAsia="仿宋" w:cs="仿宋"/>
                <w:snapToGrid w:val="0"/>
                <w:color w:val="auto"/>
                <w:kern w:val="0"/>
                <w:sz w:val="23"/>
                <w:szCs w:val="23"/>
                <w:highlight w:val="none"/>
              </w:rPr>
              <w:t xml:space="preserve"> </w:t>
            </w:r>
            <w:r>
              <w:rPr>
                <w:rFonts w:ascii="仿宋" w:hAnsi="仿宋" w:eastAsia="仿宋" w:cs="仿宋"/>
                <w:snapToGrid w:val="0"/>
                <w:color w:val="auto"/>
                <w:spacing w:val="8"/>
                <w:kern w:val="0"/>
                <w:sz w:val="23"/>
                <w:szCs w:val="23"/>
                <w:highlight w:val="none"/>
              </w:rPr>
              <w:t>照</w:t>
            </w:r>
            <w:r>
              <w:rPr>
                <w:rFonts w:ascii="仿宋" w:hAnsi="仿宋" w:eastAsia="仿宋" w:cs="仿宋"/>
                <w:snapToGrid w:val="0"/>
                <w:color w:val="auto"/>
                <w:spacing w:val="5"/>
                <w:kern w:val="0"/>
                <w:sz w:val="23"/>
                <w:szCs w:val="23"/>
                <w:highlight w:val="none"/>
              </w:rPr>
              <w:t>片、录像</w:t>
            </w:r>
          </w:p>
        </w:tc>
      </w:tr>
      <w:tr w14:paraId="5221E9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trPr>
        <w:tc>
          <w:tcPr>
            <w:tcW w:w="2661" w:type="dxa"/>
            <w:gridSpan w:val="3"/>
            <w:noWrap w:val="0"/>
            <w:vAlign w:val="top"/>
          </w:tcPr>
          <w:p w14:paraId="3869892F">
            <w:pPr>
              <w:keepNext w:val="0"/>
              <w:keepLines w:val="0"/>
              <w:pageBreakBefore w:val="0"/>
              <w:widowControl/>
              <w:kinsoku w:val="0"/>
              <w:overflowPunct/>
              <w:topLinePunct w:val="0"/>
              <w:autoSpaceDE w:val="0"/>
              <w:autoSpaceDN w:val="0"/>
              <w:bidi w:val="0"/>
              <w:adjustRightInd w:val="0"/>
              <w:snapToGrid w:val="0"/>
              <w:spacing w:before="212" w:line="240" w:lineRule="auto"/>
              <w:ind w:firstLine="1040" w:firstLineChars="40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c>
          <w:tcPr>
            <w:tcW w:w="3073" w:type="dxa"/>
            <w:gridSpan w:val="2"/>
            <w:noWrap w:val="0"/>
            <w:vAlign w:val="top"/>
          </w:tcPr>
          <w:p w14:paraId="361C176E">
            <w:pPr>
              <w:keepNext w:val="0"/>
              <w:keepLines w:val="0"/>
              <w:pageBreakBefore w:val="0"/>
              <w:widowControl/>
              <w:kinsoku w:val="0"/>
              <w:overflowPunct/>
              <w:topLinePunct w:val="0"/>
              <w:autoSpaceDE w:val="0"/>
              <w:autoSpaceDN w:val="0"/>
              <w:bidi w:val="0"/>
              <w:adjustRightInd w:val="0"/>
              <w:snapToGrid w:val="0"/>
              <w:spacing w:before="212" w:line="240" w:lineRule="auto"/>
              <w:ind w:left="835" w:firstLine="465" w:firstLineChars="17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c>
          <w:tcPr>
            <w:tcW w:w="2990" w:type="dxa"/>
            <w:gridSpan w:val="3"/>
            <w:noWrap w:val="0"/>
            <w:vAlign w:val="top"/>
          </w:tcPr>
          <w:p w14:paraId="442CF4EB">
            <w:pPr>
              <w:keepNext w:val="0"/>
              <w:keepLines w:val="0"/>
              <w:pageBreakBefore w:val="0"/>
              <w:widowControl/>
              <w:kinsoku w:val="0"/>
              <w:overflowPunct/>
              <w:topLinePunct w:val="0"/>
              <w:autoSpaceDE w:val="0"/>
              <w:autoSpaceDN w:val="0"/>
              <w:bidi w:val="0"/>
              <w:adjustRightInd w:val="0"/>
              <w:snapToGrid w:val="0"/>
              <w:spacing w:before="212" w:line="240" w:lineRule="auto"/>
              <w:ind w:left="793" w:firstLine="465" w:firstLineChars="17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r>
    </w:tbl>
    <w:p w14:paraId="10002ACA">
      <w:pPr>
        <w:keepNext w:val="0"/>
        <w:keepLines w:val="0"/>
        <w:pageBreakBefore w:val="0"/>
        <w:shd w:val="clear" w:color="auto" w:fill="auto"/>
        <w:overflowPunct/>
        <w:topLinePunct w:val="0"/>
        <w:bidi w:val="0"/>
        <w:snapToGrid w:val="0"/>
        <w:spacing w:line="360" w:lineRule="auto"/>
        <w:jc w:val="both"/>
        <w:outlineLvl w:val="9"/>
        <w:rPr>
          <w:rFonts w:hint="eastAsia" w:ascii="仿宋" w:hAnsi="仿宋" w:eastAsia="仿宋" w:cs="仿宋"/>
          <w:b/>
          <w:bCs w:val="0"/>
          <w:color w:val="auto"/>
          <w:sz w:val="40"/>
          <w:szCs w:val="40"/>
          <w:highlight w:val="none"/>
          <w:shd w:val="clear" w:color="auto" w:fill="auto"/>
          <w:lang w:val="en-US" w:eastAsia="zh-CN"/>
        </w:rPr>
      </w:pPr>
      <w:bookmarkStart w:id="241" w:name="_Toc3865"/>
      <w:bookmarkStart w:id="242" w:name="_Toc13180"/>
    </w:p>
    <w:p w14:paraId="3E78725D">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43" w:name="_Toc20093"/>
      <w:bookmarkStart w:id="244" w:name="_Toc3758"/>
      <w:bookmarkStart w:id="245" w:name="_Toc8629"/>
      <w:bookmarkStart w:id="246" w:name="_Toc17734"/>
    </w:p>
    <w:p w14:paraId="677E5F74">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47" w:name="_Toc11651"/>
      <w:bookmarkStart w:id="248" w:name="_Toc1683"/>
      <w:r>
        <w:rPr>
          <w:rFonts w:hint="eastAsia" w:ascii="仿宋" w:hAnsi="仿宋" w:eastAsia="仿宋" w:cs="仿宋"/>
          <w:b/>
          <w:bCs w:val="0"/>
          <w:color w:val="auto"/>
          <w:sz w:val="40"/>
          <w:szCs w:val="40"/>
          <w:highlight w:val="none"/>
          <w:shd w:val="clear" w:color="auto" w:fill="auto"/>
          <w:lang w:val="en-US" w:eastAsia="zh-CN"/>
        </w:rPr>
        <w:t>附件七</w:t>
      </w:r>
      <w:bookmarkEnd w:id="241"/>
      <w:bookmarkEnd w:id="242"/>
      <w:bookmarkEnd w:id="243"/>
      <w:bookmarkEnd w:id="244"/>
      <w:bookmarkEnd w:id="245"/>
      <w:bookmarkEnd w:id="246"/>
      <w:bookmarkEnd w:id="247"/>
      <w:bookmarkEnd w:id="248"/>
    </w:p>
    <w:p w14:paraId="5566025C">
      <w:pPr>
        <w:pStyle w:val="14"/>
        <w:keepNext w:val="0"/>
        <w:keepLines w:val="0"/>
        <w:pageBreakBefore w:val="0"/>
        <w:tabs>
          <w:tab w:val="clear" w:pos="-116"/>
          <w:tab w:val="clear" w:pos="420"/>
        </w:tabs>
        <w:overflowPunct/>
        <w:topLinePunct w:val="0"/>
        <w:bidi w:val="0"/>
        <w:spacing w:line="360" w:lineRule="auto"/>
        <w:ind w:left="0" w:leftChars="0" w:firstLine="431" w:firstLineChars="179"/>
        <w:jc w:val="center"/>
        <w:rPr>
          <w:rFonts w:hint="eastAsia"/>
          <w:color w:val="auto"/>
          <w:highlight w:val="none"/>
          <w:lang w:val="en-US" w:eastAsia="zh-CN"/>
        </w:rPr>
      </w:pPr>
      <w:r>
        <w:rPr>
          <w:rFonts w:hint="eastAsia" w:ascii="仿宋" w:hAnsi="仿宋" w:eastAsia="仿宋" w:cs="仿宋"/>
          <w:b/>
          <w:color w:val="auto"/>
          <w:sz w:val="24"/>
          <w:szCs w:val="24"/>
          <w:highlight w:val="none"/>
          <w:lang w:eastAsia="zh-CN"/>
        </w:rPr>
        <w:t>分项工程</w:t>
      </w:r>
      <w:r>
        <w:rPr>
          <w:rFonts w:hint="eastAsia" w:ascii="仿宋" w:hAnsi="仿宋" w:eastAsia="仿宋" w:cs="仿宋"/>
          <w:b/>
          <w:color w:val="auto"/>
          <w:sz w:val="24"/>
          <w:szCs w:val="24"/>
          <w:highlight w:val="none"/>
          <w:lang w:val="en-US" w:eastAsia="zh-CN"/>
        </w:rPr>
        <w:t>/认质认价申报审批表</w:t>
      </w:r>
    </w:p>
    <w:tbl>
      <w:tblPr>
        <w:tblStyle w:val="15"/>
        <w:tblW w:w="9406" w:type="dxa"/>
        <w:tblInd w:w="-247"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400"/>
        <w:gridCol w:w="1183"/>
        <w:gridCol w:w="861"/>
        <w:gridCol w:w="456"/>
        <w:gridCol w:w="1044"/>
        <w:gridCol w:w="1339"/>
        <w:gridCol w:w="198"/>
        <w:gridCol w:w="762"/>
        <w:gridCol w:w="757"/>
        <w:gridCol w:w="550"/>
        <w:gridCol w:w="856"/>
      </w:tblGrid>
      <w:tr w14:paraId="549D1D5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400" w:type="dxa"/>
            <w:noWrap w:val="0"/>
            <w:vAlign w:val="center"/>
          </w:tcPr>
          <w:p w14:paraId="681F5FE5">
            <w:pPr>
              <w:keepNext w:val="0"/>
              <w:keepLines w:val="0"/>
              <w:pageBreakBefore w:val="0"/>
              <w:overflowPunct/>
              <w:topLinePunct w:val="0"/>
              <w:bidi w:val="0"/>
              <w:spacing w:line="24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标题</w:t>
            </w:r>
          </w:p>
        </w:tc>
        <w:tc>
          <w:tcPr>
            <w:tcW w:w="2044" w:type="dxa"/>
            <w:gridSpan w:val="2"/>
            <w:noWrap w:val="0"/>
            <w:vAlign w:val="center"/>
          </w:tcPr>
          <w:p w14:paraId="236D6019">
            <w:pPr>
              <w:keepNext w:val="0"/>
              <w:keepLines w:val="0"/>
              <w:pageBreakBefore w:val="0"/>
              <w:overflowPunct/>
              <w:topLinePunct w:val="0"/>
              <w:bidi w:val="0"/>
              <w:spacing w:line="240" w:lineRule="auto"/>
              <w:ind w:firstLine="375" w:firstLineChars="179"/>
              <w:jc w:val="center"/>
              <w:rPr>
                <w:rFonts w:hint="eastAsia" w:ascii="仿宋" w:hAnsi="仿宋" w:eastAsia="仿宋" w:cs="仿宋"/>
                <w:b w:val="0"/>
                <w:bCs/>
                <w:color w:val="auto"/>
                <w:sz w:val="21"/>
                <w:szCs w:val="21"/>
                <w:highlight w:val="none"/>
                <w:lang w:eastAsia="zh-CN"/>
              </w:rPr>
            </w:pPr>
          </w:p>
        </w:tc>
        <w:tc>
          <w:tcPr>
            <w:tcW w:w="1500" w:type="dxa"/>
            <w:gridSpan w:val="2"/>
            <w:noWrap w:val="0"/>
            <w:vAlign w:val="center"/>
          </w:tcPr>
          <w:p w14:paraId="3A65DF34">
            <w:pPr>
              <w:keepNext w:val="0"/>
              <w:keepLines w:val="0"/>
              <w:pageBreakBefore w:val="0"/>
              <w:overflowPunct/>
              <w:topLinePunct w:val="0"/>
              <w:bidi w:val="0"/>
              <w:spacing w:line="240" w:lineRule="auto"/>
              <w:ind w:firstLine="375" w:firstLineChars="179"/>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单号</w:t>
            </w:r>
          </w:p>
        </w:tc>
        <w:tc>
          <w:tcPr>
            <w:tcW w:w="1537" w:type="dxa"/>
            <w:gridSpan w:val="2"/>
            <w:noWrap w:val="0"/>
            <w:vAlign w:val="center"/>
          </w:tcPr>
          <w:p w14:paraId="4C465753">
            <w:pPr>
              <w:keepNext w:val="0"/>
              <w:keepLines w:val="0"/>
              <w:pageBreakBefore w:val="0"/>
              <w:overflowPunct/>
              <w:topLinePunct w:val="0"/>
              <w:bidi w:val="0"/>
              <w:spacing w:line="240" w:lineRule="auto"/>
              <w:ind w:firstLine="375" w:firstLineChars="179"/>
              <w:jc w:val="center"/>
              <w:rPr>
                <w:rFonts w:hint="eastAsia" w:ascii="仿宋" w:hAnsi="仿宋" w:eastAsia="仿宋" w:cs="仿宋"/>
                <w:b w:val="0"/>
                <w:bCs/>
                <w:color w:val="auto"/>
                <w:sz w:val="21"/>
                <w:szCs w:val="21"/>
                <w:highlight w:val="none"/>
                <w:lang w:eastAsia="zh-CN"/>
              </w:rPr>
            </w:pPr>
          </w:p>
        </w:tc>
        <w:tc>
          <w:tcPr>
            <w:tcW w:w="1519" w:type="dxa"/>
            <w:gridSpan w:val="2"/>
            <w:noWrap w:val="0"/>
            <w:vAlign w:val="center"/>
          </w:tcPr>
          <w:p w14:paraId="3CF142C5">
            <w:pPr>
              <w:keepNext w:val="0"/>
              <w:keepLines w:val="0"/>
              <w:pageBreakBefore w:val="0"/>
              <w:overflowPunct/>
              <w:topLinePunct w:val="0"/>
              <w:bidi w:val="0"/>
              <w:spacing w:line="240" w:lineRule="auto"/>
              <w:ind w:firstLine="375" w:firstLineChars="179"/>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提单日期</w:t>
            </w:r>
          </w:p>
        </w:tc>
        <w:tc>
          <w:tcPr>
            <w:tcW w:w="1406" w:type="dxa"/>
            <w:gridSpan w:val="2"/>
            <w:noWrap w:val="0"/>
            <w:vAlign w:val="center"/>
          </w:tcPr>
          <w:p w14:paraId="683D4B19">
            <w:pPr>
              <w:keepNext w:val="0"/>
              <w:keepLines w:val="0"/>
              <w:pageBreakBefore w:val="0"/>
              <w:overflowPunct/>
              <w:topLinePunct w:val="0"/>
              <w:bidi w:val="0"/>
              <w:spacing w:line="240" w:lineRule="auto"/>
              <w:ind w:firstLine="375" w:firstLineChars="179"/>
              <w:jc w:val="center"/>
              <w:rPr>
                <w:rFonts w:hint="eastAsia" w:ascii="仿宋" w:hAnsi="仿宋" w:eastAsia="仿宋" w:cs="仿宋"/>
                <w:b w:val="0"/>
                <w:bCs/>
                <w:color w:val="auto"/>
                <w:sz w:val="21"/>
                <w:szCs w:val="21"/>
                <w:highlight w:val="none"/>
                <w:lang w:eastAsia="zh-CN"/>
              </w:rPr>
            </w:pPr>
          </w:p>
        </w:tc>
      </w:tr>
      <w:tr w14:paraId="4F625F0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400" w:type="dxa"/>
            <w:noWrap w:val="0"/>
            <w:vAlign w:val="center"/>
          </w:tcPr>
          <w:p w14:paraId="7411EA48">
            <w:pPr>
              <w:keepNext w:val="0"/>
              <w:keepLines w:val="0"/>
              <w:pageBreakBefore w:val="0"/>
              <w:overflowPunct/>
              <w:topLinePunct w:val="0"/>
              <w:bidi w:val="0"/>
              <w:spacing w:line="24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提单人</w:t>
            </w:r>
          </w:p>
        </w:tc>
        <w:tc>
          <w:tcPr>
            <w:tcW w:w="1183" w:type="dxa"/>
            <w:noWrap w:val="0"/>
            <w:vAlign w:val="center"/>
          </w:tcPr>
          <w:p w14:paraId="04B05068">
            <w:pPr>
              <w:keepNext w:val="0"/>
              <w:keepLines w:val="0"/>
              <w:pageBreakBefore w:val="0"/>
              <w:overflowPunct/>
              <w:topLinePunct w:val="0"/>
              <w:bidi w:val="0"/>
              <w:spacing w:line="240" w:lineRule="auto"/>
              <w:ind w:firstLine="375" w:firstLineChars="179"/>
              <w:jc w:val="center"/>
              <w:rPr>
                <w:rFonts w:hint="eastAsia" w:ascii="仿宋" w:hAnsi="仿宋" w:eastAsia="仿宋" w:cs="仿宋"/>
                <w:b w:val="0"/>
                <w:bCs/>
                <w:color w:val="auto"/>
                <w:sz w:val="21"/>
                <w:szCs w:val="21"/>
                <w:highlight w:val="none"/>
                <w:lang w:eastAsia="zh-CN"/>
              </w:rPr>
            </w:pPr>
          </w:p>
        </w:tc>
        <w:tc>
          <w:tcPr>
            <w:tcW w:w="1317" w:type="dxa"/>
            <w:gridSpan w:val="2"/>
            <w:noWrap w:val="0"/>
            <w:vAlign w:val="center"/>
          </w:tcPr>
          <w:p w14:paraId="258C52C9">
            <w:pPr>
              <w:keepNext w:val="0"/>
              <w:keepLines w:val="0"/>
              <w:pageBreakBefore w:val="0"/>
              <w:overflowPunct/>
              <w:topLinePunct w:val="0"/>
              <w:bidi w:val="0"/>
              <w:spacing w:line="24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提单人工号</w:t>
            </w:r>
          </w:p>
        </w:tc>
        <w:tc>
          <w:tcPr>
            <w:tcW w:w="1044" w:type="dxa"/>
            <w:noWrap w:val="0"/>
            <w:vAlign w:val="center"/>
          </w:tcPr>
          <w:p w14:paraId="528BFBE8">
            <w:pPr>
              <w:keepNext w:val="0"/>
              <w:keepLines w:val="0"/>
              <w:pageBreakBefore w:val="0"/>
              <w:overflowPunct/>
              <w:topLinePunct w:val="0"/>
              <w:bidi w:val="0"/>
              <w:spacing w:line="240" w:lineRule="auto"/>
              <w:ind w:firstLine="375" w:firstLineChars="179"/>
              <w:jc w:val="center"/>
              <w:rPr>
                <w:rFonts w:hint="eastAsia" w:ascii="仿宋" w:hAnsi="仿宋" w:eastAsia="仿宋" w:cs="仿宋"/>
                <w:b w:val="0"/>
                <w:bCs/>
                <w:color w:val="auto"/>
                <w:sz w:val="21"/>
                <w:szCs w:val="21"/>
                <w:highlight w:val="none"/>
                <w:lang w:eastAsia="zh-CN"/>
              </w:rPr>
            </w:pPr>
          </w:p>
        </w:tc>
        <w:tc>
          <w:tcPr>
            <w:tcW w:w="1339" w:type="dxa"/>
            <w:noWrap w:val="0"/>
            <w:vAlign w:val="center"/>
          </w:tcPr>
          <w:p w14:paraId="4503A2EA">
            <w:pPr>
              <w:keepNext w:val="0"/>
              <w:keepLines w:val="0"/>
              <w:pageBreakBefore w:val="0"/>
              <w:overflowPunct/>
              <w:topLinePunct w:val="0"/>
              <w:bidi w:val="0"/>
              <w:spacing w:line="24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提单人职位</w:t>
            </w:r>
          </w:p>
        </w:tc>
        <w:tc>
          <w:tcPr>
            <w:tcW w:w="960" w:type="dxa"/>
            <w:gridSpan w:val="2"/>
            <w:noWrap w:val="0"/>
            <w:vAlign w:val="center"/>
          </w:tcPr>
          <w:p w14:paraId="10FD9AB8">
            <w:pPr>
              <w:keepNext w:val="0"/>
              <w:keepLines w:val="0"/>
              <w:pageBreakBefore w:val="0"/>
              <w:overflowPunct/>
              <w:topLinePunct w:val="0"/>
              <w:bidi w:val="0"/>
              <w:spacing w:line="240" w:lineRule="auto"/>
              <w:ind w:firstLine="375" w:firstLineChars="179"/>
              <w:jc w:val="center"/>
              <w:rPr>
                <w:rFonts w:hint="eastAsia" w:ascii="仿宋" w:hAnsi="仿宋" w:eastAsia="仿宋" w:cs="仿宋"/>
                <w:b w:val="0"/>
                <w:bCs/>
                <w:color w:val="auto"/>
                <w:sz w:val="21"/>
                <w:szCs w:val="21"/>
                <w:highlight w:val="none"/>
                <w:lang w:eastAsia="zh-CN"/>
              </w:rPr>
            </w:pPr>
          </w:p>
        </w:tc>
        <w:tc>
          <w:tcPr>
            <w:tcW w:w="1307" w:type="dxa"/>
            <w:gridSpan w:val="2"/>
            <w:noWrap w:val="0"/>
            <w:vAlign w:val="center"/>
          </w:tcPr>
          <w:p w14:paraId="184A3156">
            <w:pPr>
              <w:keepNext w:val="0"/>
              <w:keepLines w:val="0"/>
              <w:pageBreakBefore w:val="0"/>
              <w:overflowPunct/>
              <w:topLinePunct w:val="0"/>
              <w:bidi w:val="0"/>
              <w:spacing w:line="24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提单人部门</w:t>
            </w:r>
          </w:p>
        </w:tc>
        <w:tc>
          <w:tcPr>
            <w:tcW w:w="856" w:type="dxa"/>
            <w:noWrap w:val="0"/>
            <w:vAlign w:val="center"/>
          </w:tcPr>
          <w:p w14:paraId="44CC1BD0">
            <w:pPr>
              <w:keepNext w:val="0"/>
              <w:keepLines w:val="0"/>
              <w:pageBreakBefore w:val="0"/>
              <w:overflowPunct/>
              <w:topLinePunct w:val="0"/>
              <w:bidi w:val="0"/>
              <w:spacing w:line="240" w:lineRule="auto"/>
              <w:ind w:firstLine="375" w:firstLineChars="179"/>
              <w:jc w:val="center"/>
              <w:rPr>
                <w:rFonts w:hint="eastAsia" w:ascii="仿宋" w:hAnsi="仿宋" w:eastAsia="仿宋" w:cs="仿宋"/>
                <w:b w:val="0"/>
                <w:bCs/>
                <w:color w:val="auto"/>
                <w:sz w:val="21"/>
                <w:szCs w:val="21"/>
                <w:highlight w:val="none"/>
                <w:lang w:eastAsia="zh-CN"/>
              </w:rPr>
            </w:pPr>
          </w:p>
        </w:tc>
      </w:tr>
      <w:tr w14:paraId="2290B9D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400" w:type="dxa"/>
            <w:noWrap w:val="0"/>
            <w:vAlign w:val="center"/>
          </w:tcPr>
          <w:p w14:paraId="77C9962E">
            <w:pPr>
              <w:keepNext w:val="0"/>
              <w:keepLines w:val="0"/>
              <w:pageBreakBefore w:val="0"/>
              <w:overflowPunct/>
              <w:topLinePunct w:val="0"/>
              <w:bidi w:val="0"/>
              <w:spacing w:line="24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申报类别</w:t>
            </w:r>
          </w:p>
        </w:tc>
        <w:tc>
          <w:tcPr>
            <w:tcW w:w="8006" w:type="dxa"/>
            <w:gridSpan w:val="10"/>
            <w:noWrap w:val="0"/>
            <w:vAlign w:val="top"/>
          </w:tcPr>
          <w:p w14:paraId="1C1F4872">
            <w:pPr>
              <w:keepNext w:val="0"/>
              <w:keepLines w:val="0"/>
              <w:pageBreakBefore w:val="0"/>
              <w:overflowPunct/>
              <w:topLinePunct w:val="0"/>
              <w:bidi w:val="0"/>
              <w:spacing w:line="240" w:lineRule="auto"/>
              <w:ind w:firstLine="375" w:firstLineChars="179"/>
              <w:jc w:val="both"/>
              <w:rPr>
                <w:rFonts w:hint="eastAsia" w:ascii="仿宋" w:hAnsi="仿宋" w:eastAsia="仿宋" w:cs="仿宋"/>
                <w:b w:val="0"/>
                <w:bCs/>
                <w:color w:val="auto"/>
                <w:sz w:val="21"/>
                <w:szCs w:val="21"/>
                <w:highlight w:val="none"/>
                <w:lang w:eastAsia="zh-CN"/>
              </w:rPr>
            </w:pPr>
          </w:p>
        </w:tc>
      </w:tr>
      <w:tr w14:paraId="74087F0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400" w:type="dxa"/>
            <w:noWrap w:val="0"/>
            <w:vAlign w:val="center"/>
          </w:tcPr>
          <w:p w14:paraId="52A38661">
            <w:pPr>
              <w:keepNext w:val="0"/>
              <w:keepLines w:val="0"/>
              <w:pageBreakBefore w:val="0"/>
              <w:overflowPunct/>
              <w:topLinePunct w:val="0"/>
              <w:bidi w:val="0"/>
              <w:spacing w:line="24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项目名称</w:t>
            </w:r>
          </w:p>
        </w:tc>
        <w:tc>
          <w:tcPr>
            <w:tcW w:w="8006" w:type="dxa"/>
            <w:gridSpan w:val="10"/>
            <w:noWrap w:val="0"/>
            <w:vAlign w:val="top"/>
          </w:tcPr>
          <w:p w14:paraId="0D23BA7F">
            <w:pPr>
              <w:keepNext w:val="0"/>
              <w:keepLines w:val="0"/>
              <w:pageBreakBefore w:val="0"/>
              <w:overflowPunct/>
              <w:topLinePunct w:val="0"/>
              <w:bidi w:val="0"/>
              <w:spacing w:line="240" w:lineRule="auto"/>
              <w:ind w:firstLine="375" w:firstLineChars="179"/>
              <w:jc w:val="both"/>
              <w:rPr>
                <w:rFonts w:hint="eastAsia" w:ascii="仿宋" w:hAnsi="仿宋" w:eastAsia="仿宋" w:cs="仿宋"/>
                <w:b w:val="0"/>
                <w:bCs/>
                <w:color w:val="auto"/>
                <w:sz w:val="21"/>
                <w:szCs w:val="21"/>
                <w:highlight w:val="none"/>
                <w:lang w:eastAsia="zh-CN"/>
              </w:rPr>
            </w:pPr>
          </w:p>
        </w:tc>
      </w:tr>
      <w:tr w14:paraId="1168F97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400" w:type="dxa"/>
            <w:noWrap w:val="0"/>
            <w:vAlign w:val="center"/>
          </w:tcPr>
          <w:p w14:paraId="543F063A">
            <w:pPr>
              <w:keepNext w:val="0"/>
              <w:keepLines w:val="0"/>
              <w:pageBreakBefore w:val="0"/>
              <w:overflowPunct/>
              <w:topLinePunct w:val="0"/>
              <w:bidi w:val="0"/>
              <w:spacing w:line="24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报价单位</w:t>
            </w:r>
          </w:p>
        </w:tc>
        <w:tc>
          <w:tcPr>
            <w:tcW w:w="8006" w:type="dxa"/>
            <w:gridSpan w:val="10"/>
            <w:noWrap w:val="0"/>
            <w:vAlign w:val="top"/>
          </w:tcPr>
          <w:p w14:paraId="4EEB5106">
            <w:pPr>
              <w:keepNext w:val="0"/>
              <w:keepLines w:val="0"/>
              <w:pageBreakBefore w:val="0"/>
              <w:overflowPunct/>
              <w:topLinePunct w:val="0"/>
              <w:bidi w:val="0"/>
              <w:spacing w:line="240" w:lineRule="auto"/>
              <w:ind w:firstLine="375" w:firstLineChars="179"/>
              <w:jc w:val="both"/>
              <w:rPr>
                <w:rFonts w:hint="eastAsia" w:ascii="仿宋" w:hAnsi="仿宋" w:eastAsia="仿宋" w:cs="仿宋"/>
                <w:b w:val="0"/>
                <w:bCs/>
                <w:color w:val="auto"/>
                <w:sz w:val="21"/>
                <w:szCs w:val="21"/>
                <w:highlight w:val="none"/>
                <w:lang w:eastAsia="zh-CN"/>
              </w:rPr>
            </w:pPr>
          </w:p>
        </w:tc>
      </w:tr>
      <w:tr w14:paraId="7C9FB0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400" w:type="dxa"/>
            <w:noWrap w:val="0"/>
            <w:vAlign w:val="center"/>
          </w:tcPr>
          <w:p w14:paraId="4A5F2BF3">
            <w:pPr>
              <w:keepNext w:val="0"/>
              <w:keepLines w:val="0"/>
              <w:pageBreakBefore w:val="0"/>
              <w:overflowPunct/>
              <w:topLinePunct w:val="0"/>
              <w:bidi w:val="0"/>
              <w:spacing w:line="24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工程类型</w:t>
            </w:r>
          </w:p>
        </w:tc>
        <w:tc>
          <w:tcPr>
            <w:tcW w:w="8006" w:type="dxa"/>
            <w:gridSpan w:val="10"/>
            <w:noWrap w:val="0"/>
            <w:vAlign w:val="top"/>
          </w:tcPr>
          <w:p w14:paraId="509614F9">
            <w:pPr>
              <w:keepNext w:val="0"/>
              <w:keepLines w:val="0"/>
              <w:pageBreakBefore w:val="0"/>
              <w:overflowPunct/>
              <w:topLinePunct w:val="0"/>
              <w:bidi w:val="0"/>
              <w:spacing w:line="240" w:lineRule="auto"/>
              <w:ind w:firstLine="375" w:firstLineChars="179"/>
              <w:jc w:val="both"/>
              <w:rPr>
                <w:rFonts w:hint="eastAsia" w:ascii="仿宋" w:hAnsi="仿宋" w:eastAsia="仿宋" w:cs="仿宋"/>
                <w:b w:val="0"/>
                <w:bCs/>
                <w:color w:val="auto"/>
                <w:sz w:val="21"/>
                <w:szCs w:val="21"/>
                <w:highlight w:val="none"/>
                <w:lang w:eastAsia="zh-CN"/>
              </w:rPr>
            </w:pPr>
          </w:p>
        </w:tc>
      </w:tr>
      <w:tr w14:paraId="3BA1A2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400" w:type="dxa"/>
            <w:noWrap w:val="0"/>
            <w:vAlign w:val="center"/>
          </w:tcPr>
          <w:p w14:paraId="505FDE53">
            <w:pPr>
              <w:keepNext w:val="0"/>
              <w:keepLines w:val="0"/>
              <w:pageBreakBefore w:val="0"/>
              <w:overflowPunct/>
              <w:topLinePunct w:val="0"/>
              <w:bidi w:val="0"/>
              <w:spacing w:line="24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工程金额</w:t>
            </w:r>
          </w:p>
        </w:tc>
        <w:tc>
          <w:tcPr>
            <w:tcW w:w="8006" w:type="dxa"/>
            <w:gridSpan w:val="10"/>
            <w:noWrap w:val="0"/>
            <w:vAlign w:val="top"/>
          </w:tcPr>
          <w:p w14:paraId="632155ED">
            <w:pPr>
              <w:keepNext w:val="0"/>
              <w:keepLines w:val="0"/>
              <w:pageBreakBefore w:val="0"/>
              <w:overflowPunct/>
              <w:topLinePunct w:val="0"/>
              <w:bidi w:val="0"/>
              <w:spacing w:line="240" w:lineRule="auto"/>
              <w:ind w:firstLine="375" w:firstLineChars="179"/>
              <w:jc w:val="both"/>
              <w:rPr>
                <w:rFonts w:hint="eastAsia" w:ascii="仿宋" w:hAnsi="仿宋" w:eastAsia="仿宋" w:cs="仿宋"/>
                <w:b w:val="0"/>
                <w:bCs/>
                <w:color w:val="auto"/>
                <w:sz w:val="21"/>
                <w:szCs w:val="21"/>
                <w:highlight w:val="none"/>
                <w:lang w:eastAsia="zh-CN"/>
              </w:rPr>
            </w:pPr>
          </w:p>
        </w:tc>
      </w:tr>
      <w:tr w14:paraId="44F70D3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12" w:hRule="atLeast"/>
        </w:trPr>
        <w:tc>
          <w:tcPr>
            <w:tcW w:w="1400" w:type="dxa"/>
            <w:noWrap w:val="0"/>
            <w:vAlign w:val="center"/>
          </w:tcPr>
          <w:p w14:paraId="770B6AC7">
            <w:pPr>
              <w:keepNext w:val="0"/>
              <w:keepLines w:val="0"/>
              <w:pageBreakBefore w:val="0"/>
              <w:overflowPunct/>
              <w:topLinePunct w:val="0"/>
              <w:bidi w:val="0"/>
              <w:spacing w:line="240" w:lineRule="auto"/>
              <w:jc w:val="left"/>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分项工程名称、主要工作内容、工程量及难易情况等信息(主合同外工程)</w:t>
            </w:r>
          </w:p>
        </w:tc>
        <w:tc>
          <w:tcPr>
            <w:tcW w:w="8006" w:type="dxa"/>
            <w:gridSpan w:val="10"/>
            <w:noWrap w:val="0"/>
            <w:vAlign w:val="center"/>
          </w:tcPr>
          <w:p w14:paraId="7B95327C">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5B0F191C">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3ED1148B">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54DFC4D3">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4A210DA1">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59EBCB34">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4240A40E">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1E86992E">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48DAA792">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6732C42A">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500E2EDD">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1D9BAE19">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295CC39B">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38504BEE">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4174BFA4">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2470CFDF">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5DE61F06">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p w14:paraId="50968C20">
            <w:pPr>
              <w:keepNext w:val="0"/>
              <w:keepLines w:val="0"/>
              <w:pageBreakBefore w:val="0"/>
              <w:overflowPunct/>
              <w:topLinePunct w:val="0"/>
              <w:bidi w:val="0"/>
              <w:spacing w:line="240" w:lineRule="auto"/>
              <w:ind w:firstLine="375" w:firstLineChars="179"/>
              <w:rPr>
                <w:rFonts w:hint="eastAsia" w:ascii="仿宋" w:hAnsi="仿宋" w:eastAsia="仿宋" w:cs="仿宋"/>
                <w:b w:val="0"/>
                <w:bCs/>
                <w:color w:val="auto"/>
                <w:sz w:val="21"/>
                <w:szCs w:val="21"/>
                <w:highlight w:val="none"/>
              </w:rPr>
            </w:pPr>
          </w:p>
          <w:p w14:paraId="643ECF30">
            <w:pPr>
              <w:keepNext w:val="0"/>
              <w:keepLines w:val="0"/>
              <w:pageBreakBefore w:val="0"/>
              <w:overflowPunct/>
              <w:topLinePunct w:val="0"/>
              <w:bidi w:val="0"/>
              <w:spacing w:line="240" w:lineRule="auto"/>
              <w:ind w:right="284" w:firstLine="375" w:firstLineChars="179"/>
              <w:jc w:val="left"/>
              <w:rPr>
                <w:rFonts w:hint="eastAsia" w:ascii="仿宋" w:hAnsi="仿宋" w:eastAsia="仿宋" w:cs="仿宋"/>
                <w:b w:val="0"/>
                <w:bCs/>
                <w:color w:val="auto"/>
                <w:sz w:val="21"/>
                <w:szCs w:val="21"/>
                <w:highlight w:val="none"/>
              </w:rPr>
            </w:pPr>
          </w:p>
        </w:tc>
      </w:tr>
      <w:tr w14:paraId="17006BE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400" w:type="dxa"/>
            <w:noWrap w:val="0"/>
            <w:vAlign w:val="center"/>
          </w:tcPr>
          <w:p w14:paraId="7E3FA2F2">
            <w:pPr>
              <w:keepNext w:val="0"/>
              <w:keepLines w:val="0"/>
              <w:pageBreakBefore w:val="0"/>
              <w:overflowPunct/>
              <w:topLinePunct w:val="0"/>
              <w:bidi w:val="0"/>
              <w:spacing w:line="240" w:lineRule="auto"/>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附件</w:t>
            </w:r>
          </w:p>
        </w:tc>
        <w:tc>
          <w:tcPr>
            <w:tcW w:w="8006" w:type="dxa"/>
            <w:gridSpan w:val="10"/>
            <w:noWrap w:val="0"/>
            <w:vAlign w:val="center"/>
          </w:tcPr>
          <w:p w14:paraId="36CCF7A9">
            <w:pPr>
              <w:keepNext w:val="0"/>
              <w:keepLines w:val="0"/>
              <w:pageBreakBefore w:val="0"/>
              <w:overflowPunct/>
              <w:topLinePunct w:val="0"/>
              <w:bidi w:val="0"/>
              <w:spacing w:line="240" w:lineRule="auto"/>
              <w:ind w:right="284" w:firstLine="377" w:firstLineChars="179"/>
              <w:jc w:val="left"/>
              <w:rPr>
                <w:rFonts w:hint="eastAsia" w:ascii="仿宋" w:hAnsi="仿宋" w:eastAsia="仿宋" w:cs="仿宋"/>
                <w:b/>
                <w:color w:val="auto"/>
                <w:sz w:val="21"/>
                <w:szCs w:val="21"/>
                <w:highlight w:val="none"/>
              </w:rPr>
            </w:pPr>
          </w:p>
        </w:tc>
      </w:tr>
      <w:tr w14:paraId="2DF5F64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400" w:type="dxa"/>
            <w:noWrap w:val="0"/>
            <w:vAlign w:val="center"/>
          </w:tcPr>
          <w:p w14:paraId="493CA671">
            <w:pPr>
              <w:keepNext w:val="0"/>
              <w:keepLines w:val="0"/>
              <w:pageBreakBefore w:val="0"/>
              <w:overflowPunct/>
              <w:topLinePunct w:val="0"/>
              <w:bidi w:val="0"/>
              <w:spacing w:line="240" w:lineRule="auto"/>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关联流程</w:t>
            </w:r>
          </w:p>
        </w:tc>
        <w:tc>
          <w:tcPr>
            <w:tcW w:w="8006" w:type="dxa"/>
            <w:gridSpan w:val="10"/>
            <w:noWrap w:val="0"/>
            <w:vAlign w:val="center"/>
          </w:tcPr>
          <w:p w14:paraId="7FDD7F3C">
            <w:pPr>
              <w:keepNext w:val="0"/>
              <w:keepLines w:val="0"/>
              <w:pageBreakBefore w:val="0"/>
              <w:overflowPunct/>
              <w:topLinePunct w:val="0"/>
              <w:bidi w:val="0"/>
              <w:spacing w:line="240" w:lineRule="auto"/>
              <w:ind w:right="284" w:firstLine="377" w:firstLineChars="179"/>
              <w:jc w:val="left"/>
              <w:rPr>
                <w:rFonts w:hint="eastAsia" w:ascii="仿宋" w:hAnsi="仿宋" w:eastAsia="仿宋" w:cs="仿宋"/>
                <w:b/>
                <w:color w:val="auto"/>
                <w:sz w:val="21"/>
                <w:szCs w:val="21"/>
                <w:highlight w:val="none"/>
              </w:rPr>
            </w:pPr>
          </w:p>
        </w:tc>
      </w:tr>
      <w:tr w14:paraId="1763E6D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400" w:type="dxa"/>
            <w:noWrap w:val="0"/>
            <w:vAlign w:val="center"/>
          </w:tcPr>
          <w:p w14:paraId="11F819A9">
            <w:pPr>
              <w:keepNext w:val="0"/>
              <w:keepLines w:val="0"/>
              <w:pageBreakBefore w:val="0"/>
              <w:overflowPunct/>
              <w:topLinePunct w:val="0"/>
              <w:bidi w:val="0"/>
              <w:spacing w:line="240" w:lineRule="auto"/>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备注</w:t>
            </w:r>
          </w:p>
        </w:tc>
        <w:tc>
          <w:tcPr>
            <w:tcW w:w="8006" w:type="dxa"/>
            <w:gridSpan w:val="10"/>
            <w:noWrap w:val="0"/>
            <w:vAlign w:val="center"/>
          </w:tcPr>
          <w:p w14:paraId="3873F02E">
            <w:pPr>
              <w:keepNext w:val="0"/>
              <w:keepLines w:val="0"/>
              <w:pageBreakBefore w:val="0"/>
              <w:overflowPunct/>
              <w:topLinePunct w:val="0"/>
              <w:bidi w:val="0"/>
              <w:spacing w:line="240" w:lineRule="auto"/>
              <w:ind w:right="284" w:firstLine="377" w:firstLineChars="179"/>
              <w:jc w:val="left"/>
              <w:rPr>
                <w:rFonts w:hint="eastAsia" w:ascii="仿宋" w:hAnsi="仿宋" w:eastAsia="仿宋" w:cs="仿宋"/>
                <w:b/>
                <w:color w:val="auto"/>
                <w:sz w:val="21"/>
                <w:szCs w:val="21"/>
                <w:highlight w:val="none"/>
              </w:rPr>
            </w:pPr>
          </w:p>
        </w:tc>
      </w:tr>
      <w:tr w14:paraId="77593A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9406" w:type="dxa"/>
            <w:gridSpan w:val="11"/>
            <w:noWrap w:val="0"/>
            <w:vAlign w:val="center"/>
          </w:tcPr>
          <w:p w14:paraId="150D5277">
            <w:pPr>
              <w:keepNext w:val="0"/>
              <w:keepLines w:val="0"/>
              <w:pageBreakBefore w:val="0"/>
              <w:overflowPunct/>
              <w:topLinePunct w:val="0"/>
              <w:bidi w:val="0"/>
              <w:spacing w:line="240" w:lineRule="auto"/>
              <w:ind w:right="284" w:firstLine="375" w:firstLineChars="179"/>
              <w:jc w:val="center"/>
              <w:rPr>
                <w:rFonts w:hint="default" w:ascii="仿宋" w:hAnsi="仿宋" w:eastAsia="仿宋" w:cs="仿宋"/>
                <w:b/>
                <w:color w:val="auto"/>
                <w:sz w:val="21"/>
                <w:szCs w:val="21"/>
                <w:highlight w:val="none"/>
                <w:lang w:val="en-US" w:eastAsia="zh-CN"/>
              </w:rPr>
            </w:pPr>
            <w:r>
              <w:rPr>
                <w:rFonts w:hint="eastAsia" w:ascii="仿宋" w:hAnsi="仿宋" w:eastAsia="仿宋" w:cs="仿宋"/>
                <w:b w:val="0"/>
                <w:bCs/>
                <w:color w:val="auto"/>
                <w:sz w:val="21"/>
                <w:szCs w:val="21"/>
                <w:highlight w:val="none"/>
                <w:lang w:eastAsia="zh-CN"/>
              </w:rPr>
              <w:t>审核</w:t>
            </w:r>
            <w:r>
              <w:rPr>
                <w:rFonts w:hint="eastAsia" w:ascii="仿宋" w:hAnsi="仿宋" w:eastAsia="仿宋" w:cs="仿宋"/>
                <w:b w:val="0"/>
                <w:bCs/>
                <w:color w:val="auto"/>
                <w:sz w:val="21"/>
                <w:szCs w:val="21"/>
                <w:highlight w:val="none"/>
                <w:lang w:val="en-US" w:eastAsia="zh-CN"/>
              </w:rPr>
              <w:t>/审批</w:t>
            </w:r>
          </w:p>
        </w:tc>
      </w:tr>
      <w:tr w14:paraId="69644F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400" w:type="dxa"/>
            <w:noWrap w:val="0"/>
            <w:vAlign w:val="center"/>
          </w:tcPr>
          <w:p w14:paraId="07AD940B">
            <w:pPr>
              <w:keepNext w:val="0"/>
              <w:keepLines w:val="0"/>
              <w:pageBreakBefore w:val="0"/>
              <w:overflowPunct/>
              <w:topLinePunct w:val="0"/>
              <w:bidi w:val="0"/>
              <w:spacing w:line="240" w:lineRule="auto"/>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申请部门</w:t>
            </w:r>
          </w:p>
        </w:tc>
        <w:tc>
          <w:tcPr>
            <w:tcW w:w="8006" w:type="dxa"/>
            <w:gridSpan w:val="10"/>
            <w:noWrap w:val="0"/>
            <w:vAlign w:val="center"/>
          </w:tcPr>
          <w:p w14:paraId="2C7E0F28">
            <w:pPr>
              <w:keepNext w:val="0"/>
              <w:keepLines w:val="0"/>
              <w:pageBreakBefore w:val="0"/>
              <w:overflowPunct/>
              <w:topLinePunct w:val="0"/>
              <w:bidi w:val="0"/>
              <w:spacing w:line="240" w:lineRule="auto"/>
              <w:ind w:right="284" w:firstLine="377" w:firstLineChars="179"/>
              <w:jc w:val="left"/>
              <w:rPr>
                <w:rFonts w:hint="eastAsia" w:ascii="仿宋" w:hAnsi="仿宋" w:eastAsia="仿宋" w:cs="仿宋"/>
                <w:b/>
                <w:color w:val="auto"/>
                <w:sz w:val="21"/>
                <w:szCs w:val="21"/>
                <w:highlight w:val="none"/>
              </w:rPr>
            </w:pPr>
          </w:p>
        </w:tc>
      </w:tr>
      <w:tr w14:paraId="2DD0011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400" w:type="dxa"/>
            <w:noWrap w:val="0"/>
            <w:vAlign w:val="center"/>
          </w:tcPr>
          <w:p w14:paraId="6A5552F4">
            <w:pPr>
              <w:keepNext w:val="0"/>
              <w:keepLines w:val="0"/>
              <w:pageBreakBefore w:val="0"/>
              <w:overflowPunct/>
              <w:topLinePunct w:val="0"/>
              <w:bidi w:val="0"/>
              <w:spacing w:line="240" w:lineRule="auto"/>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工程部</w:t>
            </w:r>
          </w:p>
        </w:tc>
        <w:tc>
          <w:tcPr>
            <w:tcW w:w="8006" w:type="dxa"/>
            <w:gridSpan w:val="10"/>
            <w:noWrap w:val="0"/>
            <w:vAlign w:val="center"/>
          </w:tcPr>
          <w:p w14:paraId="46E8061E">
            <w:pPr>
              <w:keepNext w:val="0"/>
              <w:keepLines w:val="0"/>
              <w:pageBreakBefore w:val="0"/>
              <w:overflowPunct/>
              <w:topLinePunct w:val="0"/>
              <w:bidi w:val="0"/>
              <w:spacing w:line="240" w:lineRule="auto"/>
              <w:ind w:right="284" w:firstLine="377" w:firstLineChars="179"/>
              <w:jc w:val="left"/>
              <w:rPr>
                <w:rFonts w:hint="eastAsia" w:ascii="仿宋" w:hAnsi="仿宋" w:eastAsia="仿宋" w:cs="仿宋"/>
                <w:b/>
                <w:color w:val="auto"/>
                <w:sz w:val="21"/>
                <w:szCs w:val="21"/>
                <w:highlight w:val="none"/>
              </w:rPr>
            </w:pPr>
          </w:p>
        </w:tc>
      </w:tr>
      <w:tr w14:paraId="35AA46D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400" w:type="dxa"/>
            <w:noWrap w:val="0"/>
            <w:vAlign w:val="center"/>
          </w:tcPr>
          <w:p w14:paraId="18B90FAF">
            <w:pPr>
              <w:keepNext w:val="0"/>
              <w:keepLines w:val="0"/>
              <w:pageBreakBefore w:val="0"/>
              <w:overflowPunct/>
              <w:topLinePunct w:val="0"/>
              <w:bidi w:val="0"/>
              <w:spacing w:line="240" w:lineRule="auto"/>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成本中心</w:t>
            </w:r>
          </w:p>
        </w:tc>
        <w:tc>
          <w:tcPr>
            <w:tcW w:w="8006" w:type="dxa"/>
            <w:gridSpan w:val="10"/>
            <w:noWrap w:val="0"/>
            <w:vAlign w:val="center"/>
          </w:tcPr>
          <w:p w14:paraId="59A46CA3">
            <w:pPr>
              <w:keepNext w:val="0"/>
              <w:keepLines w:val="0"/>
              <w:pageBreakBefore w:val="0"/>
              <w:overflowPunct/>
              <w:topLinePunct w:val="0"/>
              <w:bidi w:val="0"/>
              <w:spacing w:line="240" w:lineRule="auto"/>
              <w:ind w:right="284" w:firstLine="377" w:firstLineChars="179"/>
              <w:jc w:val="left"/>
              <w:rPr>
                <w:rFonts w:hint="eastAsia" w:ascii="仿宋" w:hAnsi="仿宋" w:eastAsia="仿宋" w:cs="仿宋"/>
                <w:b/>
                <w:color w:val="auto"/>
                <w:sz w:val="21"/>
                <w:szCs w:val="21"/>
                <w:highlight w:val="none"/>
              </w:rPr>
            </w:pPr>
          </w:p>
        </w:tc>
      </w:tr>
      <w:tr w14:paraId="3CF69C3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400" w:type="dxa"/>
            <w:noWrap w:val="0"/>
            <w:vAlign w:val="center"/>
          </w:tcPr>
          <w:p w14:paraId="21AC0CC5">
            <w:pPr>
              <w:keepNext w:val="0"/>
              <w:keepLines w:val="0"/>
              <w:pageBreakBefore w:val="0"/>
              <w:overflowPunct/>
              <w:topLinePunct w:val="0"/>
              <w:bidi w:val="0"/>
              <w:spacing w:line="240" w:lineRule="auto"/>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总经理</w:t>
            </w:r>
          </w:p>
        </w:tc>
        <w:tc>
          <w:tcPr>
            <w:tcW w:w="8006" w:type="dxa"/>
            <w:gridSpan w:val="10"/>
            <w:noWrap w:val="0"/>
            <w:vAlign w:val="center"/>
          </w:tcPr>
          <w:p w14:paraId="1741B815">
            <w:pPr>
              <w:keepNext w:val="0"/>
              <w:keepLines w:val="0"/>
              <w:pageBreakBefore w:val="0"/>
              <w:overflowPunct/>
              <w:topLinePunct w:val="0"/>
              <w:bidi w:val="0"/>
              <w:spacing w:line="240" w:lineRule="auto"/>
              <w:ind w:right="284" w:firstLine="377" w:firstLineChars="179"/>
              <w:jc w:val="left"/>
              <w:rPr>
                <w:rFonts w:hint="eastAsia" w:ascii="仿宋" w:hAnsi="仿宋" w:eastAsia="仿宋" w:cs="仿宋"/>
                <w:b/>
                <w:color w:val="auto"/>
                <w:sz w:val="21"/>
                <w:szCs w:val="21"/>
                <w:highlight w:val="none"/>
              </w:rPr>
            </w:pPr>
          </w:p>
        </w:tc>
      </w:tr>
    </w:tbl>
    <w:p w14:paraId="76D6BC6E">
      <w:pPr>
        <w:keepNext w:val="0"/>
        <w:keepLines w:val="0"/>
        <w:pageBreakBefore w:val="0"/>
        <w:shd w:val="clear" w:color="auto" w:fill="auto"/>
        <w:wordWrap w:val="0"/>
        <w:overflowPunct/>
        <w:topLinePunct w:val="0"/>
        <w:bidi w:val="0"/>
        <w:snapToGrid w:val="0"/>
        <w:spacing w:line="360" w:lineRule="auto"/>
        <w:ind w:right="-672" w:rightChars="-320" w:firstLine="719" w:firstLineChars="179"/>
        <w:jc w:val="center"/>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 xml:space="preserve">                      </w:t>
      </w:r>
    </w:p>
    <w:p w14:paraId="57487E97">
      <w:pPr>
        <w:keepNext w:val="0"/>
        <w:keepLines w:val="0"/>
        <w:pageBreakBefore w:val="0"/>
        <w:shd w:val="clear" w:color="auto" w:fill="auto"/>
        <w:wordWrap/>
        <w:overflowPunct/>
        <w:topLinePunct w:val="0"/>
        <w:bidi w:val="0"/>
        <w:snapToGrid w:val="0"/>
        <w:spacing w:line="360" w:lineRule="auto"/>
        <w:ind w:right="-672" w:rightChars="-320"/>
        <w:jc w:val="center"/>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 xml:space="preserve">                                  附件八</w:t>
      </w:r>
    </w:p>
    <w:p w14:paraId="069251F5">
      <w:pPr>
        <w:keepNext w:val="0"/>
        <w:keepLines w:val="0"/>
        <w:pageBreakBefore w:val="0"/>
        <w:wordWrap/>
        <w:overflowPunct/>
        <w:topLinePunct w:val="0"/>
        <w:bidi w:val="0"/>
        <w:spacing w:before="241" w:line="192" w:lineRule="auto"/>
        <w:ind w:left="0"/>
        <w:jc w:val="center"/>
        <w:rPr>
          <w:rFonts w:hint="eastAsia" w:ascii="仿宋" w:hAnsi="仿宋" w:eastAsia="仿宋" w:cs="仿宋"/>
          <w:b/>
          <w:bCs/>
          <w:color w:val="auto"/>
          <w:spacing w:val="-4"/>
          <w:position w:val="21"/>
          <w:sz w:val="8"/>
          <w:szCs w:val="8"/>
          <w:highlight w:val="none"/>
        </w:rPr>
      </w:pPr>
      <w:bookmarkStart w:id="249" w:name="_Toc22053"/>
      <w:bookmarkStart w:id="250" w:name="_Toc10137"/>
      <w:r>
        <w:rPr>
          <w:rFonts w:hint="eastAsia" w:ascii="仿宋" w:hAnsi="仿宋" w:eastAsia="仿宋" w:cs="仿宋"/>
          <w:b/>
          <w:bCs/>
          <w:color w:val="auto"/>
          <w:spacing w:val="-4"/>
          <w:position w:val="21"/>
          <w:sz w:val="32"/>
          <w:szCs w:val="32"/>
          <w:highlight w:val="none"/>
          <w:lang w:val="en-US" w:eastAsia="zh-CN"/>
        </w:rPr>
        <w:t>工人工资发放</w:t>
      </w:r>
      <w:r>
        <w:rPr>
          <w:rFonts w:hint="eastAsia" w:ascii="仿宋" w:hAnsi="仿宋" w:eastAsia="仿宋" w:cs="仿宋"/>
          <w:b/>
          <w:bCs/>
          <w:color w:val="auto"/>
          <w:spacing w:val="-4"/>
          <w:position w:val="21"/>
          <w:sz w:val="32"/>
          <w:szCs w:val="32"/>
          <w:highlight w:val="none"/>
        </w:rPr>
        <w:t>承诺书</w:t>
      </w:r>
    </w:p>
    <w:p w14:paraId="1C8DB3B0">
      <w:pPr>
        <w:keepNext w:val="0"/>
        <w:keepLines w:val="0"/>
        <w:pageBreakBefore w:val="0"/>
        <w:wordWrap/>
        <w:overflowPunct/>
        <w:topLinePunct w:val="0"/>
        <w:bidi w:val="0"/>
        <w:adjustRightInd w:val="0"/>
        <w:snapToGrid w:val="0"/>
        <w:spacing w:line="240" w:lineRule="auto"/>
        <w:ind w:left="-420" w:leftChars="-200" w:firstLine="0" w:firstLineChars="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致：</w:t>
      </w:r>
      <w:r>
        <w:rPr>
          <w:rFonts w:hint="eastAsia" w:ascii="仿宋" w:hAnsi="仿宋" w:eastAsia="仿宋" w:cs="仿宋"/>
          <w:b/>
          <w:bCs/>
          <w:color w:val="auto"/>
          <w:sz w:val="24"/>
          <w:szCs w:val="24"/>
          <w:highlight w:val="none"/>
          <w:lang w:val="en-US" w:eastAsia="zh-CN"/>
        </w:rPr>
        <w:t>**********</w:t>
      </w:r>
      <w:r>
        <w:rPr>
          <w:rFonts w:hint="eastAsia" w:ascii="仿宋" w:hAnsi="仿宋" w:eastAsia="仿宋" w:cs="仿宋"/>
          <w:b/>
          <w:bCs/>
          <w:color w:val="auto"/>
          <w:sz w:val="24"/>
          <w:szCs w:val="24"/>
          <w:highlight w:val="none"/>
        </w:rPr>
        <w:t>有限公司</w:t>
      </w:r>
    </w:p>
    <w:p w14:paraId="13A62775">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240" w:lineRule="auto"/>
        <w:ind w:left="-420" w:leftChars="-200" w:right="238" w:rightChars="0" w:firstLine="448" w:firstLineChars="175"/>
        <w:jc w:val="both"/>
        <w:textAlignment w:val="baseline"/>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我司与贵司于****年**月**日签订了《***合同》(以下简称“施工合同”），合同约定由我司承接贵司****项目工程***分项工程（以下简称“该工程”），该工程合同价***元，其中工人工资共计约***元。</w:t>
      </w:r>
    </w:p>
    <w:p w14:paraId="66D3DA71">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240" w:lineRule="auto"/>
        <w:ind w:left="-420" w:leftChars="-200" w:right="238" w:rightChars="0" w:firstLine="448" w:firstLineChars="175"/>
        <w:jc w:val="both"/>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pacing w:val="8"/>
          <w:sz w:val="24"/>
          <w:szCs w:val="24"/>
          <w:highlight w:val="none"/>
          <w:lang w:val="en-US" w:eastAsia="zh-CN"/>
        </w:rPr>
        <w:t>目前该工程在</w:t>
      </w:r>
      <w:r>
        <w:rPr>
          <w:rFonts w:hint="eastAsia" w:ascii="仿宋" w:hAnsi="仿宋" w:eastAsia="仿宋" w:cs="仿宋"/>
          <w:color w:val="auto"/>
          <w:spacing w:val="8"/>
          <w:sz w:val="24"/>
          <w:szCs w:val="24"/>
          <w:highlight w:val="none"/>
          <w:u w:val="single"/>
          <w:lang w:val="en-US" w:eastAsia="zh-CN"/>
        </w:rPr>
        <w:sym w:font="Wingdings 2" w:char="00A3"/>
      </w:r>
      <w:r>
        <w:rPr>
          <w:rFonts w:hint="eastAsia" w:ascii="仿宋" w:hAnsi="仿宋" w:eastAsia="仿宋" w:cs="仿宋"/>
          <w:color w:val="auto"/>
          <w:spacing w:val="8"/>
          <w:sz w:val="24"/>
          <w:szCs w:val="24"/>
          <w:highlight w:val="none"/>
          <w:u w:val="single"/>
          <w:lang w:val="en-US" w:eastAsia="zh-CN"/>
        </w:rPr>
        <w:t xml:space="preserve">施工过程中  </w:t>
      </w:r>
      <w:r>
        <w:rPr>
          <w:rFonts w:hint="eastAsia" w:ascii="仿宋" w:hAnsi="仿宋" w:eastAsia="仿宋" w:cs="仿宋"/>
          <w:color w:val="auto"/>
          <w:spacing w:val="8"/>
          <w:sz w:val="24"/>
          <w:szCs w:val="24"/>
          <w:highlight w:val="none"/>
          <w:u w:val="single"/>
          <w:lang w:val="en-US" w:eastAsia="zh-CN"/>
        </w:rPr>
        <w:sym w:font="Wingdings 2" w:char="00A3"/>
      </w:r>
      <w:r>
        <w:rPr>
          <w:rFonts w:hint="eastAsia" w:ascii="仿宋" w:hAnsi="仿宋" w:eastAsia="仿宋" w:cs="仿宋"/>
          <w:color w:val="auto"/>
          <w:spacing w:val="8"/>
          <w:sz w:val="24"/>
          <w:szCs w:val="24"/>
          <w:highlight w:val="none"/>
          <w:u w:val="single"/>
          <w:lang w:val="en-US" w:eastAsia="zh-CN"/>
        </w:rPr>
        <w:t>结算过程中</w:t>
      </w:r>
      <w:r>
        <w:rPr>
          <w:rFonts w:hint="eastAsia" w:ascii="仿宋" w:hAnsi="仿宋" w:eastAsia="仿宋" w:cs="仿宋"/>
          <w:color w:val="auto"/>
          <w:spacing w:val="8"/>
          <w:sz w:val="24"/>
          <w:szCs w:val="24"/>
          <w:highlight w:val="none"/>
          <w:lang w:val="en-US" w:eastAsia="zh-CN"/>
        </w:rPr>
        <w:t>。现我司申请贵司向我司支付**月份工程款共计</w:t>
      </w:r>
      <w:r>
        <w:rPr>
          <w:rFonts w:hint="eastAsia" w:ascii="仿宋" w:hAnsi="仿宋" w:eastAsia="仿宋" w:cs="仿宋"/>
          <w:color w:val="auto"/>
          <w:spacing w:val="8"/>
          <w:sz w:val="24"/>
          <w:szCs w:val="24"/>
          <w:highlight w:val="none"/>
          <w:u w:val="single"/>
          <w:lang w:val="en-US" w:eastAsia="zh-CN"/>
        </w:rPr>
        <w:t>**** 元</w:t>
      </w:r>
      <w:r>
        <w:rPr>
          <w:rFonts w:hint="eastAsia" w:ascii="仿宋" w:hAnsi="仿宋" w:eastAsia="仿宋" w:cs="仿宋"/>
          <w:color w:val="auto"/>
          <w:spacing w:val="8"/>
          <w:sz w:val="24"/>
          <w:szCs w:val="24"/>
          <w:highlight w:val="none"/>
          <w:lang w:val="en-US" w:eastAsia="zh-CN"/>
        </w:rPr>
        <w:t>，大写：</w:t>
      </w:r>
      <w:r>
        <w:rPr>
          <w:rFonts w:hint="eastAsia" w:ascii="仿宋" w:hAnsi="仿宋" w:eastAsia="仿宋" w:cs="仿宋"/>
          <w:color w:val="auto"/>
          <w:spacing w:val="8"/>
          <w:sz w:val="24"/>
          <w:szCs w:val="24"/>
          <w:highlight w:val="none"/>
          <w:u w:val="single"/>
          <w:lang w:val="en-US" w:eastAsia="zh-CN"/>
        </w:rPr>
        <w:t xml:space="preserve"> **** 元，其中</w:t>
      </w:r>
      <w:r>
        <w:rPr>
          <w:rFonts w:hint="eastAsia" w:ascii="仿宋" w:hAnsi="仿宋" w:eastAsia="仿宋" w:cs="仿宋"/>
          <w:color w:val="auto"/>
          <w:spacing w:val="8"/>
          <w:sz w:val="24"/>
          <w:szCs w:val="24"/>
          <w:highlight w:val="none"/>
          <w:lang w:val="en-US" w:eastAsia="zh-CN"/>
        </w:rPr>
        <w:t xml:space="preserve"> </w:t>
      </w:r>
      <w:r>
        <w:rPr>
          <w:rFonts w:hint="eastAsia" w:ascii="仿宋" w:hAnsi="仿宋" w:eastAsia="仿宋" w:cs="仿宋"/>
          <w:color w:val="auto"/>
          <w:spacing w:val="8"/>
          <w:sz w:val="24"/>
          <w:szCs w:val="24"/>
          <w:highlight w:val="none"/>
          <w:u w:val="single"/>
          <w:lang w:val="en-US" w:eastAsia="zh-CN"/>
        </w:rPr>
        <w:t>***元为</w:t>
      </w:r>
      <w:r>
        <w:rPr>
          <w:rFonts w:hint="eastAsia" w:ascii="仿宋" w:hAnsi="仿宋" w:eastAsia="仿宋" w:cs="仿宋"/>
          <w:color w:val="auto"/>
          <w:spacing w:val="8"/>
          <w:sz w:val="24"/>
          <w:szCs w:val="24"/>
          <w:highlight w:val="none"/>
          <w:lang w:val="en-US" w:eastAsia="zh-CN"/>
        </w:rPr>
        <w:t>施工合同涉及的所有施工工人工资，由</w:t>
      </w:r>
      <w:r>
        <w:rPr>
          <w:rFonts w:hint="eastAsia" w:ascii="仿宋" w:hAnsi="仿宋" w:eastAsia="仿宋" w:cs="仿宋"/>
          <w:color w:val="auto"/>
          <w:spacing w:val="8"/>
          <w:sz w:val="24"/>
          <w:szCs w:val="24"/>
          <w:highlight w:val="none"/>
          <w:u w:val="single"/>
          <w:lang w:val="en-US" w:eastAsia="zh-CN"/>
        </w:rPr>
        <w:t>贵司直接支付至工人银行卡账号</w:t>
      </w:r>
      <w:r>
        <w:rPr>
          <w:rFonts w:hint="eastAsia" w:ascii="仿宋" w:hAnsi="仿宋" w:eastAsia="仿宋" w:cs="仿宋"/>
          <w:color w:val="auto"/>
          <w:spacing w:val="8"/>
          <w:sz w:val="24"/>
          <w:szCs w:val="24"/>
          <w:highlight w:val="none"/>
          <w:u w:val="none"/>
          <w:lang w:val="en-US" w:eastAsia="zh-CN"/>
        </w:rPr>
        <w:t>，工人</w:t>
      </w:r>
      <w:r>
        <w:rPr>
          <w:rFonts w:hint="eastAsia" w:ascii="仿宋" w:hAnsi="仿宋" w:eastAsia="仿宋" w:cs="仿宋"/>
          <w:color w:val="auto"/>
          <w:spacing w:val="8"/>
          <w:sz w:val="24"/>
          <w:szCs w:val="24"/>
          <w:highlight w:val="none"/>
          <w:lang w:val="en-US" w:eastAsia="zh-CN"/>
        </w:rPr>
        <w:t>名单及工资明细情况等详见附件1</w:t>
      </w:r>
      <w:r>
        <w:rPr>
          <w:rFonts w:hint="eastAsia" w:ascii="仿宋" w:hAnsi="仿宋" w:eastAsia="仿宋" w:cs="仿宋"/>
          <w:color w:val="auto"/>
          <w:spacing w:val="-4"/>
          <w:sz w:val="24"/>
          <w:szCs w:val="24"/>
          <w:highlight w:val="none"/>
          <w:lang w:val="en-US" w:eastAsia="zh-CN"/>
        </w:rPr>
        <w:t>《建筑工人工资表》</w:t>
      </w:r>
      <w:r>
        <w:rPr>
          <w:rFonts w:hint="eastAsia" w:ascii="仿宋" w:hAnsi="仿宋" w:eastAsia="仿宋" w:cs="仿宋"/>
          <w:color w:val="auto"/>
          <w:spacing w:val="8"/>
          <w:sz w:val="24"/>
          <w:szCs w:val="24"/>
          <w:highlight w:val="none"/>
          <w:u w:val="none"/>
          <w:lang w:val="en-US" w:eastAsia="zh-CN"/>
        </w:rPr>
        <w:t>。</w:t>
      </w:r>
    </w:p>
    <w:p w14:paraId="20B872D2">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240" w:lineRule="auto"/>
        <w:ind w:left="-420" w:leftChars="-200" w:right="238" w:rightChars="0" w:firstLine="448" w:firstLineChars="175"/>
        <w:jc w:val="both"/>
        <w:textAlignment w:val="baseline"/>
        <w:rPr>
          <w:rFonts w:hint="eastAsia" w:ascii="仿宋" w:hAnsi="仿宋" w:eastAsia="仿宋" w:cs="仿宋"/>
          <w:color w:val="auto"/>
          <w:highlight w:val="none"/>
          <w:lang w:val="en-US" w:eastAsia="zh-CN"/>
        </w:rPr>
      </w:pPr>
      <w:r>
        <w:rPr>
          <w:rFonts w:hint="eastAsia" w:ascii="仿宋" w:hAnsi="仿宋" w:eastAsia="仿宋" w:cs="仿宋"/>
          <w:color w:val="auto"/>
          <w:spacing w:val="8"/>
          <w:sz w:val="24"/>
          <w:szCs w:val="24"/>
          <w:highlight w:val="none"/>
          <w:lang w:val="en-US" w:eastAsia="zh-CN"/>
        </w:rPr>
        <w:t>我司承诺全面贯彻落实《保障农民工工资支付条例》（中华人民共和国国务院令第724号）等国家及地方关于农民工工资支付的相关政策法规要求，切实履行农民工工资支付主体责任。我司如瞒报、漏报、错报工人工资或以其他形式克扣或拖欠工人工资，导致发生该工程工人因欠薪去政府部门上访、投诉、静坐、讨要工资，或在贵司相关场所非法集结讨要工资，或阻碍现场施工等行为的，属我司严重违约，我司同意按以下方式处理：</w:t>
      </w:r>
    </w:p>
    <w:p w14:paraId="2607007E">
      <w:pPr>
        <w:keepNext w:val="0"/>
        <w:keepLines w:val="0"/>
        <w:pageBreakBefore w:val="0"/>
        <w:numPr>
          <w:ilvl w:val="0"/>
          <w:numId w:val="0"/>
        </w:numPr>
        <w:wordWrap/>
        <w:overflowPunct/>
        <w:topLinePunct w:val="0"/>
        <w:bidi w:val="0"/>
        <w:adjustRightInd w:val="0"/>
        <w:snapToGrid w:val="0"/>
        <w:spacing w:before="120" w:line="240" w:lineRule="auto"/>
        <w:ind w:left="-420" w:leftChars="-200" w:right="238" w:rightChars="0" w:firstLine="448" w:firstLineChars="175"/>
        <w:jc w:val="both"/>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kern w:val="2"/>
          <w:sz w:val="24"/>
          <w:szCs w:val="24"/>
          <w:lang w:val="en-US" w:eastAsia="zh-CN" w:bidi="ar-SA"/>
        </w:rPr>
        <w:t>1、</w:t>
      </w:r>
      <w:r>
        <w:rPr>
          <w:rFonts w:hint="eastAsia" w:ascii="仿宋" w:hAnsi="仿宋" w:eastAsia="仿宋" w:cs="仿宋"/>
          <w:color w:val="auto"/>
          <w:spacing w:val="8"/>
          <w:sz w:val="24"/>
          <w:szCs w:val="24"/>
          <w:highlight w:val="none"/>
          <w:lang w:val="en-US" w:eastAsia="zh-CN"/>
        </w:rPr>
        <w:t>我司同意由贵司在应付未付工程款范围内直接代为支付该工程尚拖欠的工人工资（以现场工人所主张数据为准，贵司无核实的责任或义务，数据准确性后果由我司自行承担），我司在贵司代付工人工资后3个工作日内无条件开具对应金额的发票给贵司，并且我司还需就此另按贵司当次所代付工资总额的50%向贵司承担相关虚假承诺违约金。每发生一次劳资纠纷事件，或因我司拖欠工人工资而导致媒体曝光或政府部门介入的，我司按合同约定承担违约责任及向贵司支付相应违约金。以上全部违约金等，贵司有权单方在我司任何的后续合同款/进度款/结算款中直接做扣减处置，如后续合同款/进度款/结算款不足以被扣减违约金的，由我司负责另行支付给贵司，我司并应另向贵司赔偿因此遭遇的其他损失及费用。</w:t>
      </w:r>
    </w:p>
    <w:p w14:paraId="563AF1ED">
      <w:pPr>
        <w:keepNext w:val="0"/>
        <w:keepLines w:val="0"/>
        <w:pageBreakBefore w:val="0"/>
        <w:widowControl/>
        <w:numPr>
          <w:ilvl w:val="0"/>
          <w:numId w:val="0"/>
        </w:numPr>
        <w:kinsoku/>
        <w:wordWrap/>
        <w:overflowPunct/>
        <w:topLinePunct w:val="0"/>
        <w:autoSpaceDE/>
        <w:autoSpaceDN/>
        <w:bidi w:val="0"/>
        <w:adjustRightInd w:val="0"/>
        <w:snapToGrid w:val="0"/>
        <w:spacing w:before="120" w:line="240" w:lineRule="auto"/>
        <w:ind w:left="-420" w:leftChars="-200" w:right="238" w:rightChars="0" w:firstLine="448" w:firstLineChars="175"/>
        <w:jc w:val="both"/>
        <w:textAlignment w:val="auto"/>
        <w:rPr>
          <w:rFonts w:hint="eastAsia" w:ascii="仿宋" w:hAnsi="仿宋" w:eastAsia="仿宋" w:cs="仿宋"/>
          <w:color w:val="auto"/>
          <w:spacing w:val="8"/>
          <w:sz w:val="24"/>
          <w:szCs w:val="24"/>
          <w:lang w:val="en-US" w:eastAsia="zh-CN"/>
        </w:rPr>
      </w:pPr>
      <w:r>
        <w:rPr>
          <w:rFonts w:hint="eastAsia" w:ascii="仿宋" w:hAnsi="仿宋" w:eastAsia="仿宋" w:cs="仿宋"/>
          <w:color w:val="auto"/>
          <w:spacing w:val="8"/>
          <w:kern w:val="2"/>
          <w:sz w:val="24"/>
          <w:szCs w:val="24"/>
          <w:lang w:val="en-US" w:eastAsia="zh-CN" w:bidi="ar-SA"/>
        </w:rPr>
        <w:t>2、</w:t>
      </w:r>
      <w:r>
        <w:rPr>
          <w:rFonts w:hint="eastAsia" w:ascii="仿宋" w:hAnsi="仿宋" w:eastAsia="仿宋" w:cs="仿宋"/>
          <w:color w:val="auto"/>
          <w:spacing w:val="8"/>
          <w:sz w:val="24"/>
          <w:szCs w:val="24"/>
          <w:lang w:val="en-US" w:eastAsia="zh-CN"/>
        </w:rPr>
        <w:t>我司承诺将无条件负责相应的善后工作及消除对贵司造成的不良影响。</w:t>
      </w:r>
    </w:p>
    <w:p w14:paraId="2353FE46">
      <w:pPr>
        <w:keepNext w:val="0"/>
        <w:keepLines w:val="0"/>
        <w:pageBreakBefore w:val="0"/>
        <w:widowControl/>
        <w:numPr>
          <w:ilvl w:val="0"/>
          <w:numId w:val="0"/>
        </w:numPr>
        <w:kinsoku/>
        <w:wordWrap/>
        <w:overflowPunct/>
        <w:topLinePunct w:val="0"/>
        <w:autoSpaceDE/>
        <w:autoSpaceDN/>
        <w:bidi w:val="0"/>
        <w:adjustRightInd w:val="0"/>
        <w:snapToGrid w:val="0"/>
        <w:spacing w:before="120" w:line="240" w:lineRule="auto"/>
        <w:ind w:left="-420" w:leftChars="-200" w:right="238" w:rightChars="0" w:firstLine="448" w:firstLineChars="175"/>
        <w:jc w:val="both"/>
        <w:textAlignment w:val="auto"/>
        <w:rPr>
          <w:rFonts w:hint="eastAsia" w:ascii="仿宋" w:hAnsi="仿宋" w:eastAsia="仿宋" w:cs="仿宋"/>
          <w:color w:val="auto"/>
          <w:spacing w:val="8"/>
          <w:sz w:val="24"/>
          <w:szCs w:val="24"/>
          <w:lang w:val="en-US" w:eastAsia="zh-CN"/>
        </w:rPr>
      </w:pPr>
      <w:r>
        <w:rPr>
          <w:rFonts w:hint="eastAsia" w:ascii="仿宋" w:hAnsi="仿宋" w:eastAsia="仿宋" w:cs="仿宋"/>
          <w:color w:val="auto"/>
          <w:spacing w:val="8"/>
          <w:kern w:val="2"/>
          <w:sz w:val="24"/>
          <w:szCs w:val="24"/>
          <w:lang w:val="en-US" w:eastAsia="zh-CN" w:bidi="ar-SA"/>
        </w:rPr>
        <w:t>3、</w:t>
      </w:r>
      <w:r>
        <w:rPr>
          <w:rFonts w:hint="eastAsia" w:ascii="仿宋" w:hAnsi="仿宋" w:eastAsia="仿宋" w:cs="仿宋"/>
          <w:i w:val="0"/>
          <w:iCs w:val="0"/>
          <w:caps w:val="0"/>
          <w:color w:val="auto"/>
          <w:spacing w:val="0"/>
          <w:sz w:val="24"/>
          <w:szCs w:val="24"/>
          <w:shd w:val="clear" w:fill="FFFFFF"/>
        </w:rPr>
        <w:t xml:space="preserve">我司保证该工程完工之日起**个日历天内，将该工程的工人工资全部结清支付给所有工人，如遇节假日或休息日，将提前在最近的工作日进行支付，确保工人能够及时获得劳动报酬。对于新入职的工人，自其入职之日起，按照约定的工资支付周期和标准支付工资。否则，贵司有权不向我司支付合同进度款且不给我司办理结算，并由贵司按上述第三条规则进行处理。 </w:t>
      </w:r>
    </w:p>
    <w:p w14:paraId="2B045601">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420" w:leftChars="-200" w:right="238" w:rightChars="0" w:firstLine="448" w:firstLineChars="175"/>
        <w:jc w:val="both"/>
        <w:textAlignment w:val="auto"/>
        <w:rPr>
          <w:rFonts w:hint="eastAsia" w:ascii="仿宋" w:hAnsi="仿宋" w:eastAsia="仿宋" w:cs="仿宋"/>
          <w:color w:val="auto"/>
          <w:spacing w:val="8"/>
          <w:sz w:val="24"/>
          <w:szCs w:val="24"/>
          <w:lang w:val="en-US" w:eastAsia="zh-CN"/>
        </w:rPr>
      </w:pPr>
      <w:r>
        <w:rPr>
          <w:rFonts w:hint="eastAsia" w:ascii="仿宋" w:hAnsi="仿宋" w:eastAsia="仿宋" w:cs="仿宋"/>
          <w:color w:val="auto"/>
          <w:spacing w:val="8"/>
          <w:sz w:val="24"/>
          <w:szCs w:val="24"/>
          <w:lang w:val="en-US" w:eastAsia="zh-CN"/>
        </w:rPr>
        <w:t>四、特别约定：</w:t>
      </w:r>
    </w:p>
    <w:p w14:paraId="36ED0689">
      <w:pPr>
        <w:keepNext w:val="0"/>
        <w:keepLines w:val="0"/>
        <w:pageBreakBefore w:val="0"/>
        <w:widowControl/>
        <w:numPr>
          <w:ilvl w:val="0"/>
          <w:numId w:val="0"/>
        </w:numPr>
        <w:kinsoku/>
        <w:wordWrap/>
        <w:overflowPunct/>
        <w:topLinePunct w:val="0"/>
        <w:autoSpaceDE/>
        <w:autoSpaceDN/>
        <w:bidi w:val="0"/>
        <w:adjustRightInd w:val="0"/>
        <w:snapToGrid w:val="0"/>
        <w:spacing w:before="120" w:line="240" w:lineRule="auto"/>
        <w:ind w:left="-420" w:leftChars="-200" w:right="238" w:rightChars="0" w:firstLine="420" w:firstLineChars="175"/>
        <w:jc w:val="both"/>
        <w:textAlignment w:val="auto"/>
        <w:rPr>
          <w:rFonts w:hint="eastAsia" w:ascii="仿宋" w:hAnsi="仿宋" w:eastAsia="仿宋" w:cs="仿宋"/>
          <w:i w:val="0"/>
          <w:iCs w:val="0"/>
          <w:caps w:val="0"/>
          <w:color w:val="auto"/>
          <w:spacing w:val="0"/>
          <w:sz w:val="24"/>
          <w:szCs w:val="24"/>
          <w:shd w:val="clear" w:fill="FFFFFF"/>
          <w:lang w:val="en-US" w:eastAsia="zh-CN"/>
        </w:rPr>
      </w:pPr>
      <w:r>
        <w:rPr>
          <w:rFonts w:hint="eastAsia" w:ascii="仿宋" w:hAnsi="仿宋" w:eastAsia="仿宋" w:cs="仿宋"/>
          <w:i w:val="0"/>
          <w:iCs w:val="0"/>
          <w:caps w:val="0"/>
          <w:color w:val="auto"/>
          <w:spacing w:val="0"/>
          <w:sz w:val="24"/>
          <w:szCs w:val="24"/>
          <w:shd w:val="clear" w:fill="FFFFFF"/>
          <w:lang w:val="en-US" w:eastAsia="zh-CN"/>
        </w:rPr>
        <w:t>******公司法定代表人 **** （身份证号： ****** ）、实际控制人**** （身份证号： ****** ）就本《工人工资发放承诺书》所列明的全部公司责任后果，分别同意以个人名义另向贵司承担连带清偿责任，连带清偿范围除以上第三条列明后果外，还及于贵司为维护自身合法权益而向*******公司主张的诉讼费、财产保全费、保全担保费、证据保全公证费、律师代理费、差旅费等费用。</w:t>
      </w:r>
    </w:p>
    <w:p w14:paraId="43419182">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420" w:leftChars="-200" w:right="238" w:rightChars="0" w:firstLine="448" w:firstLineChars="175"/>
        <w:jc w:val="both"/>
        <w:textAlignment w:val="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特此承诺！</w:t>
      </w:r>
    </w:p>
    <w:p w14:paraId="2333A0C8">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0" w:leftChars="0" w:right="238" w:rightChars="0" w:firstLine="0" w:firstLineChars="0"/>
        <w:jc w:val="both"/>
        <w:textAlignment w:val="auto"/>
        <w:rPr>
          <w:rFonts w:hint="eastAsia" w:ascii="仿宋" w:hAnsi="仿宋" w:eastAsia="仿宋" w:cs="仿宋"/>
          <w:color w:val="auto"/>
          <w:spacing w:val="8"/>
          <w:sz w:val="24"/>
          <w:szCs w:val="24"/>
          <w:highlight w:val="none"/>
          <w:lang w:val="en-US" w:eastAsia="zh-CN"/>
        </w:rPr>
      </w:pPr>
    </w:p>
    <w:p w14:paraId="55DD5DB9">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0" w:leftChars="0" w:right="238" w:rightChars="0" w:firstLine="0" w:firstLineChars="0"/>
        <w:jc w:val="both"/>
        <w:textAlignment w:val="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附件1：《建筑工人工资表》（样表）；</w:t>
      </w:r>
    </w:p>
    <w:p w14:paraId="7AAFB098">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0" w:leftChars="0" w:right="238" w:rightChars="0" w:firstLine="0" w:firstLineChars="0"/>
        <w:jc w:val="both"/>
        <w:textAlignment w:val="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附件2：各连带清偿人身份证正反面复印件。</w:t>
      </w:r>
    </w:p>
    <w:p w14:paraId="231672D0">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240" w:lineRule="auto"/>
        <w:ind w:left="0" w:leftChars="0" w:right="238" w:rightChars="0" w:firstLine="0" w:firstLineChars="0"/>
        <w:jc w:val="both"/>
        <w:textAlignment w:val="baseline"/>
        <w:rPr>
          <w:rFonts w:hint="default" w:ascii="仿宋" w:hAnsi="仿宋" w:eastAsia="仿宋" w:cs="仿宋"/>
          <w:color w:val="auto"/>
          <w:spacing w:val="-4"/>
          <w:sz w:val="24"/>
          <w:szCs w:val="24"/>
          <w:highlight w:val="none"/>
          <w:lang w:val="en-US" w:eastAsia="zh-CN"/>
        </w:rPr>
      </w:pPr>
    </w:p>
    <w:p w14:paraId="16F8635D">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240" w:lineRule="auto"/>
        <w:ind w:right="238" w:rightChars="0" w:firstLine="0" w:firstLineChars="0"/>
        <w:jc w:val="both"/>
        <w:textAlignment w:val="baseline"/>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承诺单位（盖章）：*******公司       连带清偿责任人（签名）：</w:t>
      </w:r>
    </w:p>
    <w:p w14:paraId="23E586F0">
      <w:pPr>
        <w:keepNext w:val="0"/>
        <w:keepLines w:val="0"/>
        <w:pageBreakBefore w:val="0"/>
        <w:numPr>
          <w:ilvl w:val="0"/>
          <w:numId w:val="0"/>
        </w:numPr>
        <w:wordWrap/>
        <w:overflowPunct/>
        <w:topLinePunct w:val="0"/>
        <w:bidi w:val="0"/>
        <w:adjustRightInd w:val="0"/>
        <w:snapToGrid w:val="0"/>
        <w:spacing w:before="120" w:line="240" w:lineRule="auto"/>
        <w:ind w:right="238" w:rightChars="0" w:firstLine="0" w:firstLineChars="0"/>
        <w:jc w:val="right"/>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 xml:space="preserve">                                       </w:t>
      </w:r>
    </w:p>
    <w:p w14:paraId="44C64F9B">
      <w:pPr>
        <w:keepNext w:val="0"/>
        <w:keepLines w:val="0"/>
        <w:pageBreakBefore w:val="0"/>
        <w:numPr>
          <w:ilvl w:val="0"/>
          <w:numId w:val="0"/>
        </w:numPr>
        <w:wordWrap/>
        <w:overflowPunct/>
        <w:topLinePunct w:val="0"/>
        <w:bidi w:val="0"/>
        <w:adjustRightInd w:val="0"/>
        <w:snapToGrid w:val="0"/>
        <w:spacing w:before="120" w:line="240" w:lineRule="auto"/>
        <w:ind w:right="238" w:rightChars="0" w:firstLine="0" w:firstLineChars="0"/>
        <w:jc w:val="center"/>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 xml:space="preserve">                           日   期：****年**月**日</w:t>
      </w:r>
    </w:p>
    <w:p w14:paraId="3D7E5918">
      <w:pPr>
        <w:pStyle w:val="14"/>
        <w:rPr>
          <w:rFonts w:hint="eastAsia" w:ascii="仿宋" w:hAnsi="仿宋" w:eastAsia="仿宋" w:cs="仿宋"/>
          <w:color w:val="auto"/>
          <w:spacing w:val="8"/>
          <w:sz w:val="24"/>
          <w:szCs w:val="24"/>
          <w:highlight w:val="none"/>
          <w:lang w:val="en-US" w:eastAsia="zh-CN"/>
        </w:rPr>
      </w:pPr>
    </w:p>
    <w:p w14:paraId="3DAFD900">
      <w:pPr>
        <w:pStyle w:val="14"/>
        <w:rPr>
          <w:rFonts w:hint="eastAsia" w:ascii="仿宋" w:hAnsi="仿宋" w:eastAsia="仿宋" w:cs="仿宋"/>
          <w:color w:val="auto"/>
          <w:spacing w:val="8"/>
          <w:sz w:val="24"/>
          <w:szCs w:val="24"/>
          <w:highlight w:val="none"/>
          <w:lang w:val="en-US" w:eastAsia="zh-CN"/>
        </w:rPr>
      </w:pPr>
    </w:p>
    <w:p w14:paraId="527BAEB9">
      <w:pPr>
        <w:pStyle w:val="14"/>
        <w:rPr>
          <w:rFonts w:hint="eastAsia" w:ascii="仿宋" w:hAnsi="仿宋" w:eastAsia="仿宋" w:cs="仿宋"/>
          <w:color w:val="auto"/>
          <w:spacing w:val="8"/>
          <w:sz w:val="24"/>
          <w:szCs w:val="24"/>
          <w:highlight w:val="none"/>
          <w:lang w:val="en-US" w:eastAsia="zh-CN"/>
        </w:rPr>
      </w:pPr>
    </w:p>
    <w:tbl>
      <w:tblPr>
        <w:tblStyle w:val="15"/>
        <w:tblW w:w="9460" w:type="dxa"/>
        <w:tblInd w:w="-68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3"/>
        <w:gridCol w:w="629"/>
        <w:gridCol w:w="1134"/>
        <w:gridCol w:w="1082"/>
        <w:gridCol w:w="551"/>
        <w:gridCol w:w="816"/>
        <w:gridCol w:w="740"/>
        <w:gridCol w:w="750"/>
        <w:gridCol w:w="609"/>
        <w:gridCol w:w="503"/>
        <w:gridCol w:w="793"/>
        <w:gridCol w:w="764"/>
        <w:gridCol w:w="636"/>
      </w:tblGrid>
      <w:tr w14:paraId="37201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4" w:hRule="atLeast"/>
        </w:trPr>
        <w:tc>
          <w:tcPr>
            <w:tcW w:w="9460" w:type="dxa"/>
            <w:gridSpan w:val="13"/>
            <w:tcBorders>
              <w:top w:val="nil"/>
              <w:left w:val="nil"/>
              <w:bottom w:val="nil"/>
              <w:right w:val="nil"/>
            </w:tcBorders>
            <w:noWrap/>
            <w:vAlign w:val="center"/>
          </w:tcPr>
          <w:p w14:paraId="6134349D">
            <w:pPr>
              <w:keepNext w:val="0"/>
              <w:keepLines w:val="0"/>
              <w:widowControl/>
              <w:suppressLineNumbers w:val="0"/>
              <w:jc w:val="right"/>
              <w:textAlignment w:val="center"/>
              <w:rPr>
                <w:rFonts w:hint="eastAsia" w:ascii="宋体" w:hAnsi="宋体" w:eastAsia="宋体" w:cs="宋体"/>
                <w:i w:val="0"/>
                <w:iCs w:val="0"/>
                <w:color w:val="auto"/>
                <w:kern w:val="0"/>
                <w:sz w:val="32"/>
                <w:szCs w:val="32"/>
                <w:highlight w:val="none"/>
                <w:u w:val="none"/>
                <w:lang w:val="en-US" w:eastAsia="zh-CN" w:bidi="ar"/>
              </w:rPr>
            </w:pPr>
            <w:r>
              <w:rPr>
                <w:rFonts w:hint="eastAsia" w:ascii="宋体" w:hAnsi="宋体" w:cs="宋体"/>
                <w:i w:val="0"/>
                <w:iCs w:val="0"/>
                <w:color w:val="auto"/>
                <w:kern w:val="0"/>
                <w:sz w:val="32"/>
                <w:szCs w:val="32"/>
                <w:highlight w:val="none"/>
                <w:u w:val="none"/>
                <w:lang w:val="en-US" w:eastAsia="zh-CN" w:bidi="ar"/>
              </w:rPr>
              <w:t>（样表）</w:t>
            </w:r>
          </w:p>
          <w:p w14:paraId="488BB16E">
            <w:pPr>
              <w:keepNext w:val="0"/>
              <w:keepLines w:val="0"/>
              <w:widowControl/>
              <w:suppressLineNumbers w:val="0"/>
              <w:jc w:val="center"/>
              <w:textAlignment w:val="center"/>
              <w:rPr>
                <w:rFonts w:hint="eastAsia" w:ascii="宋体" w:hAnsi="宋体" w:eastAsia="宋体" w:cs="宋体"/>
                <w:i w:val="0"/>
                <w:iCs w:val="0"/>
                <w:color w:val="auto"/>
                <w:sz w:val="36"/>
                <w:szCs w:val="36"/>
                <w:highlight w:val="none"/>
                <w:u w:val="none"/>
              </w:rPr>
            </w:pPr>
            <w:r>
              <w:rPr>
                <w:rFonts w:hint="eastAsia" w:ascii="宋体" w:hAnsi="宋体" w:eastAsia="宋体" w:cs="宋体"/>
                <w:i w:val="0"/>
                <w:iCs w:val="0"/>
                <w:color w:val="auto"/>
                <w:kern w:val="0"/>
                <w:sz w:val="36"/>
                <w:szCs w:val="36"/>
                <w:highlight w:val="none"/>
                <w:u w:val="none"/>
                <w:lang w:val="en-US" w:eastAsia="zh-CN" w:bidi="ar"/>
              </w:rPr>
              <w:t>建筑工人工资表（    年  月份）</w:t>
            </w:r>
          </w:p>
        </w:tc>
      </w:tr>
      <w:tr w14:paraId="25CAB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665" w:type="dxa"/>
            <w:gridSpan w:val="6"/>
            <w:tcBorders>
              <w:top w:val="nil"/>
              <w:left w:val="nil"/>
              <w:bottom w:val="nil"/>
              <w:right w:val="nil"/>
            </w:tcBorders>
            <w:noWrap/>
            <w:vAlign w:val="center"/>
          </w:tcPr>
          <w:p w14:paraId="3B19FCD2">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项目名称：</w:t>
            </w:r>
          </w:p>
        </w:tc>
        <w:tc>
          <w:tcPr>
            <w:tcW w:w="4795" w:type="dxa"/>
            <w:gridSpan w:val="7"/>
            <w:tcBorders>
              <w:top w:val="nil"/>
              <w:left w:val="nil"/>
              <w:bottom w:val="nil"/>
              <w:right w:val="nil"/>
            </w:tcBorders>
            <w:noWrap/>
            <w:vAlign w:val="center"/>
          </w:tcPr>
          <w:p w14:paraId="459BE3B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班组：</w:t>
            </w:r>
          </w:p>
        </w:tc>
      </w:tr>
      <w:tr w14:paraId="7E40E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8F1AA5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序号</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1B63B32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姓名</w:t>
            </w: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041D88A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身份证号码</w:t>
            </w: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2F7F60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银行卡账号</w:t>
            </w:r>
          </w:p>
        </w:tc>
        <w:tc>
          <w:tcPr>
            <w:tcW w:w="551" w:type="dxa"/>
            <w:tcBorders>
              <w:top w:val="single" w:color="000000" w:sz="4" w:space="0"/>
              <w:left w:val="single" w:color="000000" w:sz="4" w:space="0"/>
              <w:bottom w:val="single" w:color="000000" w:sz="4" w:space="0"/>
              <w:right w:val="single" w:color="000000" w:sz="4" w:space="0"/>
            </w:tcBorders>
            <w:noWrap w:val="0"/>
            <w:vAlign w:val="center"/>
          </w:tcPr>
          <w:p w14:paraId="10B0C54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本月工资</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6282DC4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上月结余工资（元）</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375F3A0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加班工资（元）</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25F3F99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本月借支工资（元）</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38297E5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扣除项目名称</w:t>
            </w:r>
          </w:p>
        </w:tc>
        <w:tc>
          <w:tcPr>
            <w:tcW w:w="503" w:type="dxa"/>
            <w:tcBorders>
              <w:top w:val="single" w:color="000000" w:sz="4" w:space="0"/>
              <w:left w:val="single" w:color="000000" w:sz="4" w:space="0"/>
              <w:bottom w:val="single" w:color="000000" w:sz="4" w:space="0"/>
              <w:right w:val="single" w:color="000000" w:sz="4" w:space="0"/>
            </w:tcBorders>
            <w:noWrap w:val="0"/>
            <w:vAlign w:val="center"/>
          </w:tcPr>
          <w:p w14:paraId="08BDD86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金额（元）</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14:paraId="6172605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累计应付工资（元）</w:t>
            </w:r>
          </w:p>
        </w:tc>
        <w:tc>
          <w:tcPr>
            <w:tcW w:w="764" w:type="dxa"/>
            <w:tcBorders>
              <w:top w:val="single" w:color="000000" w:sz="4" w:space="0"/>
              <w:left w:val="single" w:color="000000" w:sz="4" w:space="0"/>
              <w:bottom w:val="single" w:color="000000" w:sz="4" w:space="0"/>
              <w:right w:val="single" w:color="000000" w:sz="4" w:space="0"/>
            </w:tcBorders>
            <w:noWrap w:val="0"/>
            <w:vAlign w:val="center"/>
          </w:tcPr>
          <w:p w14:paraId="14DCF96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本月实发工资（元）</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14:paraId="3239215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签名</w:t>
            </w:r>
          </w:p>
        </w:tc>
      </w:tr>
      <w:tr w14:paraId="76E89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0838AC7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31FADC1">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4ED79F7C">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EB31D2C">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390F99BB">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F07577E">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224CEACB">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41ADB8CF">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75E7687">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FE70259">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7EC5E49B">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2904A668">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6DEAC7FB">
            <w:pPr>
              <w:jc w:val="center"/>
              <w:rPr>
                <w:rFonts w:hint="eastAsia" w:ascii="宋体" w:hAnsi="宋体" w:eastAsia="宋体" w:cs="宋体"/>
                <w:i w:val="0"/>
                <w:iCs w:val="0"/>
                <w:color w:val="auto"/>
                <w:sz w:val="20"/>
                <w:szCs w:val="20"/>
                <w:highlight w:val="none"/>
                <w:u w:val="none"/>
              </w:rPr>
            </w:pPr>
          </w:p>
        </w:tc>
      </w:tr>
      <w:tr w14:paraId="660BFD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8D3279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44370442">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604D39F">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436FFE3A">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5EC4FF2">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5EEDB2F">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2F2A6B65">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456AFF6E">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50BBF376">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17636014">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53B84A6">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9245D81">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21A6234F">
            <w:pPr>
              <w:jc w:val="center"/>
              <w:rPr>
                <w:rFonts w:hint="eastAsia" w:ascii="宋体" w:hAnsi="宋体" w:eastAsia="宋体" w:cs="宋体"/>
                <w:i w:val="0"/>
                <w:iCs w:val="0"/>
                <w:color w:val="auto"/>
                <w:sz w:val="20"/>
                <w:szCs w:val="20"/>
                <w:highlight w:val="none"/>
                <w:u w:val="none"/>
              </w:rPr>
            </w:pPr>
          </w:p>
        </w:tc>
      </w:tr>
      <w:tr w14:paraId="7123CD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F19561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3982BAB">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097107B">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0572973">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6AEDE8F5">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6B766CB0">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21B41E0">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50514B3">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79C93571">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274EFA27">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E63BD6F">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538B4E2F">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1CEA985">
            <w:pPr>
              <w:jc w:val="center"/>
              <w:rPr>
                <w:rFonts w:hint="eastAsia" w:ascii="宋体" w:hAnsi="宋体" w:eastAsia="宋体" w:cs="宋体"/>
                <w:i w:val="0"/>
                <w:iCs w:val="0"/>
                <w:color w:val="auto"/>
                <w:sz w:val="20"/>
                <w:szCs w:val="20"/>
                <w:highlight w:val="none"/>
                <w:u w:val="none"/>
              </w:rPr>
            </w:pPr>
          </w:p>
        </w:tc>
      </w:tr>
      <w:tr w14:paraId="2A7AF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4988F0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68FC325A">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9C08CC0">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0CC781D4">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57AC2DAF">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2301BBB7">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605A0ED0">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5672FE2">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01BC758E">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259F1509">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441CFDD3">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45E3778">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26D69FCD">
            <w:pPr>
              <w:jc w:val="center"/>
              <w:rPr>
                <w:rFonts w:hint="eastAsia" w:ascii="宋体" w:hAnsi="宋体" w:eastAsia="宋体" w:cs="宋体"/>
                <w:i w:val="0"/>
                <w:iCs w:val="0"/>
                <w:color w:val="auto"/>
                <w:sz w:val="20"/>
                <w:szCs w:val="20"/>
                <w:highlight w:val="none"/>
                <w:u w:val="none"/>
              </w:rPr>
            </w:pPr>
          </w:p>
        </w:tc>
      </w:tr>
      <w:tr w14:paraId="7D4B9C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99D1F8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10322143">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9961B88">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3AB89C17">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62ACD31">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90FB13A">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93718C8">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4144DB0">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E68337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B115FF7">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29B094BD">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2AC2D3A9">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7537332">
            <w:pPr>
              <w:jc w:val="center"/>
              <w:rPr>
                <w:rFonts w:hint="eastAsia" w:ascii="宋体" w:hAnsi="宋体" w:eastAsia="宋体" w:cs="宋体"/>
                <w:i w:val="0"/>
                <w:iCs w:val="0"/>
                <w:color w:val="auto"/>
                <w:sz w:val="20"/>
                <w:szCs w:val="20"/>
                <w:highlight w:val="none"/>
                <w:u w:val="none"/>
              </w:rPr>
            </w:pPr>
          </w:p>
        </w:tc>
      </w:tr>
      <w:tr w14:paraId="76AA21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19E3CF1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577B4D5D">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4C0BA037">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123AAD6B">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7F6FAA6">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54A4B98">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1473F4B9">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B18884A">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48365B0">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258DB7E5">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F410572">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346934B1">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B59CF62">
            <w:pPr>
              <w:jc w:val="center"/>
              <w:rPr>
                <w:rFonts w:hint="eastAsia" w:ascii="宋体" w:hAnsi="宋体" w:eastAsia="宋体" w:cs="宋体"/>
                <w:i w:val="0"/>
                <w:iCs w:val="0"/>
                <w:color w:val="auto"/>
                <w:sz w:val="20"/>
                <w:szCs w:val="20"/>
                <w:highlight w:val="none"/>
                <w:u w:val="none"/>
              </w:rPr>
            </w:pPr>
          </w:p>
        </w:tc>
      </w:tr>
      <w:tr w14:paraId="152D5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603CF1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40AA69CD">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4FCE2EA">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27A9B304">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EFA9E24">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7C9712F">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43A98ED0">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66C21A4">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6ABC88E">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565C1E5">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21404A20">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6A8399A8">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FAA8BC1">
            <w:pPr>
              <w:jc w:val="center"/>
              <w:rPr>
                <w:rFonts w:hint="eastAsia" w:ascii="宋体" w:hAnsi="宋体" w:eastAsia="宋体" w:cs="宋体"/>
                <w:i w:val="0"/>
                <w:iCs w:val="0"/>
                <w:color w:val="auto"/>
                <w:sz w:val="20"/>
                <w:szCs w:val="20"/>
                <w:highlight w:val="none"/>
                <w:u w:val="none"/>
              </w:rPr>
            </w:pPr>
          </w:p>
        </w:tc>
      </w:tr>
      <w:tr w14:paraId="1A677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078A22C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1688AB49">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6B99074">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228DA6DA">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58D3B9C">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B419F19">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0052EC7">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4AFE8F2C">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5712E58D">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78431CDE">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DE6AEC0">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71E3EED0">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27625192">
            <w:pPr>
              <w:jc w:val="center"/>
              <w:rPr>
                <w:rFonts w:hint="eastAsia" w:ascii="宋体" w:hAnsi="宋体" w:eastAsia="宋体" w:cs="宋体"/>
                <w:i w:val="0"/>
                <w:iCs w:val="0"/>
                <w:color w:val="auto"/>
                <w:sz w:val="20"/>
                <w:szCs w:val="20"/>
                <w:highlight w:val="none"/>
                <w:u w:val="none"/>
              </w:rPr>
            </w:pPr>
          </w:p>
        </w:tc>
      </w:tr>
      <w:tr w14:paraId="0970D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A49358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688DB216">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CB5F5EE">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1296C9A2">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5D6A128C">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4177CBB7">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53B658BF">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B449D81">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4A86EDD">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3D6CB6A">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56DBD06">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2A3CF478">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9DB1E18">
            <w:pPr>
              <w:jc w:val="center"/>
              <w:rPr>
                <w:rFonts w:hint="eastAsia" w:ascii="宋体" w:hAnsi="宋体" w:eastAsia="宋体" w:cs="宋体"/>
                <w:i w:val="0"/>
                <w:iCs w:val="0"/>
                <w:color w:val="auto"/>
                <w:sz w:val="20"/>
                <w:szCs w:val="20"/>
                <w:highlight w:val="none"/>
                <w:u w:val="none"/>
              </w:rPr>
            </w:pPr>
          </w:p>
        </w:tc>
      </w:tr>
      <w:tr w14:paraId="2AEB6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8F445C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BBDE1D9">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5B59958">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356D9735">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52A80041">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093D0E65">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3E7B010A">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4C39C511">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5E1A51E3">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1D98807">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19F0A8C">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21068149">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C96B087">
            <w:pPr>
              <w:jc w:val="center"/>
              <w:rPr>
                <w:rFonts w:hint="eastAsia" w:ascii="宋体" w:hAnsi="宋体" w:eastAsia="宋体" w:cs="宋体"/>
                <w:i w:val="0"/>
                <w:iCs w:val="0"/>
                <w:color w:val="auto"/>
                <w:sz w:val="20"/>
                <w:szCs w:val="20"/>
                <w:highlight w:val="none"/>
                <w:u w:val="none"/>
              </w:rPr>
            </w:pPr>
          </w:p>
        </w:tc>
      </w:tr>
      <w:tr w14:paraId="0F99DD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2250E8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748C444E">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4B23667E">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744EF41">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30DD7AA9">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41D6ADC9">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0F2AFAB">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F173539">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11441F7">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12AA9942">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8E3F736">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6CA313AA">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1935D0D8">
            <w:pPr>
              <w:jc w:val="center"/>
              <w:rPr>
                <w:rFonts w:hint="eastAsia" w:ascii="宋体" w:hAnsi="宋体" w:eastAsia="宋体" w:cs="宋体"/>
                <w:i w:val="0"/>
                <w:iCs w:val="0"/>
                <w:color w:val="auto"/>
                <w:sz w:val="20"/>
                <w:szCs w:val="20"/>
                <w:highlight w:val="none"/>
                <w:u w:val="none"/>
              </w:rPr>
            </w:pPr>
          </w:p>
        </w:tc>
      </w:tr>
      <w:tr w14:paraId="514D6D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FFE724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E1C122A">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5BBDEC8">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13650F23">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6E21D05">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093D34F1">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3188C047">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9B12D27">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30AC71B5">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2F933A00">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4699733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0A62683D">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A8C8E5C">
            <w:pPr>
              <w:jc w:val="center"/>
              <w:rPr>
                <w:rFonts w:hint="eastAsia" w:ascii="宋体" w:hAnsi="宋体" w:eastAsia="宋体" w:cs="宋体"/>
                <w:i w:val="0"/>
                <w:iCs w:val="0"/>
                <w:color w:val="auto"/>
                <w:sz w:val="20"/>
                <w:szCs w:val="20"/>
                <w:highlight w:val="none"/>
                <w:u w:val="none"/>
              </w:rPr>
            </w:pPr>
          </w:p>
        </w:tc>
      </w:tr>
      <w:tr w14:paraId="1049A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187D7AB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FAFC063">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192A00D">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048B3AB5">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7F1361B3">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21F29254">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A289A79">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EAB98B4">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54D814F3">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79866892">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A45990F">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69B47928">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2504F039">
            <w:pPr>
              <w:jc w:val="center"/>
              <w:rPr>
                <w:rFonts w:hint="eastAsia" w:ascii="宋体" w:hAnsi="宋体" w:eastAsia="宋体" w:cs="宋体"/>
                <w:i w:val="0"/>
                <w:iCs w:val="0"/>
                <w:color w:val="auto"/>
                <w:sz w:val="20"/>
                <w:szCs w:val="20"/>
                <w:highlight w:val="none"/>
                <w:u w:val="none"/>
              </w:rPr>
            </w:pPr>
          </w:p>
        </w:tc>
      </w:tr>
      <w:tr w14:paraId="012DB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281464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14</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5BC22974">
            <w:pPr>
              <w:jc w:val="center"/>
              <w:rPr>
                <w:rFonts w:hint="eastAsia" w:ascii="宋体" w:hAnsi="宋体" w:eastAsia="宋体" w:cs="宋体"/>
                <w:i w:val="0"/>
                <w:iCs w:val="0"/>
                <w:color w:val="auto"/>
                <w:sz w:val="20"/>
                <w:szCs w:val="20"/>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513C1638">
            <w:pPr>
              <w:jc w:val="center"/>
              <w:rPr>
                <w:rFonts w:hint="eastAsia" w:ascii="宋体" w:hAnsi="宋体" w:eastAsia="宋体" w:cs="宋体"/>
                <w:i w:val="0"/>
                <w:iCs w:val="0"/>
                <w:color w:val="auto"/>
                <w:sz w:val="20"/>
                <w:szCs w:val="20"/>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49CAAC36">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3CBBDEFC">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4F8CB634">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48B175A7">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0F0B6B9">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6E18C18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BA1749E">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228FE448">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7305177A">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4A0FCC0">
            <w:pPr>
              <w:jc w:val="center"/>
              <w:rPr>
                <w:rFonts w:hint="eastAsia" w:ascii="宋体" w:hAnsi="宋体" w:eastAsia="宋体" w:cs="宋体"/>
                <w:i w:val="0"/>
                <w:iCs w:val="0"/>
                <w:color w:val="auto"/>
                <w:sz w:val="20"/>
                <w:szCs w:val="20"/>
                <w:highlight w:val="none"/>
                <w:u w:val="none"/>
              </w:rPr>
            </w:pPr>
          </w:p>
        </w:tc>
      </w:tr>
      <w:tr w14:paraId="77EAD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9460" w:type="dxa"/>
            <w:gridSpan w:val="13"/>
            <w:tcBorders>
              <w:top w:val="single" w:color="000000" w:sz="4" w:space="0"/>
              <w:left w:val="single" w:color="000000" w:sz="4" w:space="0"/>
              <w:bottom w:val="single" w:color="000000" w:sz="4" w:space="0"/>
              <w:right w:val="single" w:color="000000" w:sz="4" w:space="0"/>
            </w:tcBorders>
            <w:noWrap w:val="0"/>
            <w:vAlign w:val="center"/>
          </w:tcPr>
          <w:p w14:paraId="0B03F79B">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备注：本人对本次工资表所列工资的签名为确认本人当期在本项目的所有工资数额，工资经该项目总包工人工资专户转账支付至本人账户后，视同本人在本项目的当期工资已全部结清。</w:t>
            </w:r>
          </w:p>
        </w:tc>
      </w:tr>
      <w:tr w14:paraId="492BA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2216" w:type="dxa"/>
            <w:gridSpan w:val="3"/>
            <w:tcBorders>
              <w:top w:val="nil"/>
              <w:left w:val="nil"/>
              <w:bottom w:val="nil"/>
              <w:right w:val="nil"/>
            </w:tcBorders>
            <w:noWrap/>
            <w:vAlign w:val="center"/>
          </w:tcPr>
          <w:p w14:paraId="7FB7B22A">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制表：</w:t>
            </w:r>
          </w:p>
        </w:tc>
        <w:tc>
          <w:tcPr>
            <w:tcW w:w="1082" w:type="dxa"/>
            <w:tcBorders>
              <w:top w:val="nil"/>
              <w:left w:val="nil"/>
              <w:bottom w:val="nil"/>
              <w:right w:val="nil"/>
            </w:tcBorders>
            <w:noWrap/>
            <w:vAlign w:val="center"/>
          </w:tcPr>
          <w:p w14:paraId="43DB4A04">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班组长： </w:t>
            </w:r>
          </w:p>
        </w:tc>
        <w:tc>
          <w:tcPr>
            <w:tcW w:w="551" w:type="dxa"/>
            <w:tcBorders>
              <w:top w:val="nil"/>
              <w:left w:val="nil"/>
              <w:bottom w:val="nil"/>
              <w:right w:val="nil"/>
            </w:tcBorders>
            <w:noWrap/>
            <w:vAlign w:val="center"/>
          </w:tcPr>
          <w:p w14:paraId="70FB7E13">
            <w:pPr>
              <w:rPr>
                <w:rFonts w:hint="eastAsia" w:ascii="宋体" w:hAnsi="宋体" w:eastAsia="宋体" w:cs="宋体"/>
                <w:i w:val="0"/>
                <w:iCs w:val="0"/>
                <w:color w:val="auto"/>
                <w:sz w:val="22"/>
                <w:szCs w:val="22"/>
                <w:highlight w:val="none"/>
                <w:u w:val="none"/>
              </w:rPr>
            </w:pPr>
          </w:p>
        </w:tc>
        <w:tc>
          <w:tcPr>
            <w:tcW w:w="816" w:type="dxa"/>
            <w:tcBorders>
              <w:top w:val="nil"/>
              <w:left w:val="nil"/>
              <w:bottom w:val="nil"/>
              <w:right w:val="nil"/>
            </w:tcBorders>
            <w:noWrap/>
            <w:vAlign w:val="center"/>
          </w:tcPr>
          <w:p w14:paraId="0F7D9419">
            <w:pPr>
              <w:rPr>
                <w:rFonts w:hint="eastAsia" w:ascii="宋体" w:hAnsi="宋体" w:eastAsia="宋体" w:cs="宋体"/>
                <w:i w:val="0"/>
                <w:iCs w:val="0"/>
                <w:color w:val="auto"/>
                <w:sz w:val="22"/>
                <w:szCs w:val="22"/>
                <w:highlight w:val="none"/>
                <w:u w:val="none"/>
              </w:rPr>
            </w:pPr>
          </w:p>
        </w:tc>
        <w:tc>
          <w:tcPr>
            <w:tcW w:w="2099" w:type="dxa"/>
            <w:gridSpan w:val="3"/>
            <w:tcBorders>
              <w:top w:val="nil"/>
              <w:left w:val="nil"/>
              <w:bottom w:val="nil"/>
              <w:right w:val="nil"/>
            </w:tcBorders>
            <w:noWrap/>
            <w:vAlign w:val="center"/>
          </w:tcPr>
          <w:p w14:paraId="36FCDF07">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项目负责人：</w:t>
            </w:r>
          </w:p>
        </w:tc>
        <w:tc>
          <w:tcPr>
            <w:tcW w:w="503" w:type="dxa"/>
            <w:tcBorders>
              <w:top w:val="nil"/>
              <w:left w:val="nil"/>
              <w:bottom w:val="nil"/>
              <w:right w:val="nil"/>
            </w:tcBorders>
            <w:noWrap/>
            <w:vAlign w:val="center"/>
          </w:tcPr>
          <w:p w14:paraId="1DDA2C7A">
            <w:pPr>
              <w:rPr>
                <w:rFonts w:hint="eastAsia" w:ascii="宋体" w:hAnsi="宋体" w:eastAsia="宋体" w:cs="宋体"/>
                <w:i w:val="0"/>
                <w:iCs w:val="0"/>
                <w:color w:val="auto"/>
                <w:sz w:val="22"/>
                <w:szCs w:val="22"/>
                <w:highlight w:val="none"/>
                <w:u w:val="none"/>
              </w:rPr>
            </w:pPr>
          </w:p>
        </w:tc>
        <w:tc>
          <w:tcPr>
            <w:tcW w:w="1557" w:type="dxa"/>
            <w:gridSpan w:val="2"/>
            <w:tcBorders>
              <w:top w:val="nil"/>
              <w:left w:val="nil"/>
              <w:bottom w:val="nil"/>
              <w:right w:val="nil"/>
            </w:tcBorders>
            <w:noWrap/>
            <w:vAlign w:val="center"/>
          </w:tcPr>
          <w:p w14:paraId="620792BE">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公司领导审核：</w:t>
            </w:r>
          </w:p>
        </w:tc>
        <w:tc>
          <w:tcPr>
            <w:tcW w:w="636" w:type="dxa"/>
            <w:tcBorders>
              <w:top w:val="nil"/>
              <w:left w:val="nil"/>
              <w:bottom w:val="nil"/>
              <w:right w:val="nil"/>
            </w:tcBorders>
            <w:noWrap/>
            <w:vAlign w:val="center"/>
          </w:tcPr>
          <w:p w14:paraId="6317C988">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r w14:paraId="70517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2216" w:type="dxa"/>
            <w:gridSpan w:val="3"/>
            <w:tcBorders>
              <w:top w:val="nil"/>
              <w:left w:val="nil"/>
              <w:bottom w:val="nil"/>
              <w:right w:val="nil"/>
            </w:tcBorders>
            <w:noWrap/>
            <w:vAlign w:val="center"/>
          </w:tcPr>
          <w:p w14:paraId="7406A6ED">
            <w:pPr>
              <w:jc w:val="left"/>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总包公司见证人： </w:t>
            </w:r>
          </w:p>
        </w:tc>
        <w:tc>
          <w:tcPr>
            <w:tcW w:w="1633" w:type="dxa"/>
            <w:gridSpan w:val="2"/>
            <w:tcBorders>
              <w:top w:val="nil"/>
              <w:left w:val="nil"/>
              <w:bottom w:val="nil"/>
              <w:right w:val="nil"/>
            </w:tcBorders>
            <w:noWrap/>
            <w:vAlign w:val="center"/>
          </w:tcPr>
          <w:p w14:paraId="23AE3777">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监理公司见证人： </w:t>
            </w:r>
          </w:p>
        </w:tc>
        <w:tc>
          <w:tcPr>
            <w:tcW w:w="816" w:type="dxa"/>
            <w:tcBorders>
              <w:top w:val="nil"/>
              <w:left w:val="nil"/>
              <w:bottom w:val="nil"/>
              <w:right w:val="nil"/>
            </w:tcBorders>
            <w:noWrap/>
            <w:vAlign w:val="center"/>
          </w:tcPr>
          <w:p w14:paraId="1ACE6674">
            <w:pPr>
              <w:rPr>
                <w:rFonts w:hint="eastAsia" w:ascii="宋体" w:hAnsi="宋体" w:eastAsia="宋体" w:cs="宋体"/>
                <w:i w:val="0"/>
                <w:iCs w:val="0"/>
                <w:color w:val="auto"/>
                <w:sz w:val="22"/>
                <w:szCs w:val="22"/>
                <w:highlight w:val="none"/>
                <w:u w:val="none"/>
              </w:rPr>
            </w:pPr>
          </w:p>
        </w:tc>
        <w:tc>
          <w:tcPr>
            <w:tcW w:w="740" w:type="dxa"/>
            <w:tcBorders>
              <w:top w:val="nil"/>
              <w:left w:val="nil"/>
              <w:bottom w:val="nil"/>
              <w:right w:val="nil"/>
            </w:tcBorders>
            <w:noWrap/>
            <w:vAlign w:val="center"/>
          </w:tcPr>
          <w:p w14:paraId="1994AB13">
            <w:pPr>
              <w:rPr>
                <w:rFonts w:hint="eastAsia" w:ascii="宋体" w:hAnsi="宋体" w:eastAsia="宋体" w:cs="宋体"/>
                <w:i w:val="0"/>
                <w:iCs w:val="0"/>
                <w:color w:val="auto"/>
                <w:sz w:val="22"/>
                <w:szCs w:val="22"/>
                <w:highlight w:val="none"/>
                <w:u w:val="none"/>
              </w:rPr>
            </w:pPr>
          </w:p>
        </w:tc>
        <w:tc>
          <w:tcPr>
            <w:tcW w:w="750" w:type="dxa"/>
            <w:tcBorders>
              <w:top w:val="nil"/>
              <w:left w:val="nil"/>
              <w:bottom w:val="nil"/>
              <w:right w:val="nil"/>
            </w:tcBorders>
            <w:noWrap/>
            <w:vAlign w:val="center"/>
          </w:tcPr>
          <w:p w14:paraId="5BCCC09F">
            <w:pPr>
              <w:rPr>
                <w:rFonts w:hint="eastAsia" w:ascii="宋体" w:hAnsi="宋体" w:eastAsia="宋体" w:cs="宋体"/>
                <w:i w:val="0"/>
                <w:iCs w:val="0"/>
                <w:color w:val="auto"/>
                <w:sz w:val="22"/>
                <w:szCs w:val="22"/>
                <w:highlight w:val="none"/>
                <w:u w:val="none"/>
              </w:rPr>
            </w:pPr>
          </w:p>
        </w:tc>
        <w:tc>
          <w:tcPr>
            <w:tcW w:w="609" w:type="dxa"/>
            <w:tcBorders>
              <w:top w:val="nil"/>
              <w:left w:val="nil"/>
              <w:bottom w:val="nil"/>
              <w:right w:val="nil"/>
            </w:tcBorders>
            <w:noWrap/>
            <w:vAlign w:val="center"/>
          </w:tcPr>
          <w:p w14:paraId="0D838E3C">
            <w:pPr>
              <w:rPr>
                <w:rFonts w:hint="eastAsia" w:ascii="宋体" w:hAnsi="宋体" w:eastAsia="宋体" w:cs="宋体"/>
                <w:i w:val="0"/>
                <w:iCs w:val="0"/>
                <w:color w:val="auto"/>
                <w:sz w:val="22"/>
                <w:szCs w:val="22"/>
                <w:highlight w:val="none"/>
                <w:u w:val="none"/>
              </w:rPr>
            </w:pPr>
          </w:p>
        </w:tc>
        <w:tc>
          <w:tcPr>
            <w:tcW w:w="503" w:type="dxa"/>
            <w:tcBorders>
              <w:top w:val="nil"/>
              <w:left w:val="nil"/>
              <w:bottom w:val="nil"/>
              <w:right w:val="nil"/>
            </w:tcBorders>
            <w:noWrap/>
            <w:vAlign w:val="center"/>
          </w:tcPr>
          <w:p w14:paraId="04242B19">
            <w:pPr>
              <w:rPr>
                <w:rFonts w:hint="eastAsia" w:ascii="宋体" w:hAnsi="宋体" w:eastAsia="宋体" w:cs="宋体"/>
                <w:i w:val="0"/>
                <w:iCs w:val="0"/>
                <w:color w:val="auto"/>
                <w:sz w:val="22"/>
                <w:szCs w:val="22"/>
                <w:highlight w:val="none"/>
                <w:u w:val="none"/>
              </w:rPr>
            </w:pPr>
          </w:p>
        </w:tc>
        <w:tc>
          <w:tcPr>
            <w:tcW w:w="793" w:type="dxa"/>
            <w:tcBorders>
              <w:top w:val="nil"/>
              <w:left w:val="nil"/>
              <w:bottom w:val="nil"/>
              <w:right w:val="nil"/>
            </w:tcBorders>
            <w:noWrap/>
            <w:vAlign w:val="center"/>
          </w:tcPr>
          <w:p w14:paraId="1AE83598">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投诉电话：</w:t>
            </w:r>
          </w:p>
        </w:tc>
        <w:tc>
          <w:tcPr>
            <w:tcW w:w="1400" w:type="dxa"/>
            <w:gridSpan w:val="2"/>
            <w:tcBorders>
              <w:top w:val="nil"/>
              <w:left w:val="nil"/>
              <w:bottom w:val="nil"/>
              <w:right w:val="nil"/>
            </w:tcBorders>
            <w:noWrap/>
            <w:vAlign w:val="center"/>
          </w:tcPr>
          <w:p w14:paraId="48D4C229">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bl>
    <w:p w14:paraId="0DF2C85D">
      <w:pPr>
        <w:pStyle w:val="4"/>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sz w:val="22"/>
          <w:szCs w:val="22"/>
          <w:highlight w:val="none"/>
        </w:rPr>
      </w:pPr>
    </w:p>
    <w:p w14:paraId="5A333935">
      <w:pPr>
        <w:pStyle w:val="4"/>
        <w:keepNext w:val="0"/>
        <w:keepLines w:val="0"/>
        <w:pageBreakBefore w:val="0"/>
        <w:widowControl/>
        <w:kinsoku w:val="0"/>
        <w:wordWrap/>
        <w:overflowPunct/>
        <w:topLinePunct w:val="0"/>
        <w:autoSpaceDE w:val="0"/>
        <w:autoSpaceDN w:val="0"/>
        <w:bidi w:val="0"/>
        <w:adjustRightInd w:val="0"/>
        <w:snapToGrid w:val="0"/>
        <w:spacing w:before="92" w:line="240" w:lineRule="auto"/>
        <w:ind w:firstLine="0" w:firstLineChars="0"/>
        <w:jc w:val="left"/>
        <w:textAlignment w:val="baseline"/>
        <w:rPr>
          <w:rFonts w:hint="eastAsia" w:ascii="宋体" w:hAnsi="宋体" w:eastAsia="宋体" w:cs="宋体"/>
          <w:color w:val="auto"/>
          <w:spacing w:val="-2"/>
          <w:sz w:val="22"/>
          <w:szCs w:val="22"/>
          <w:highlight w:val="none"/>
        </w:rPr>
        <w:sectPr>
          <w:footerReference r:id="rId6" w:type="default"/>
          <w:pgSz w:w="11906" w:h="16839"/>
          <w:pgMar w:top="1134" w:right="1286" w:bottom="850" w:left="1800" w:header="0" w:footer="0" w:gutter="0"/>
          <w:pgNumType w:fmt="decimal" w:start="1"/>
          <w:cols w:space="720" w:num="1"/>
        </w:sectPr>
      </w:pPr>
    </w:p>
    <w:p w14:paraId="50AEEEFF">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251" w:name="_Toc21618"/>
      <w:bookmarkStart w:id="252" w:name="_Toc1383"/>
      <w:bookmarkStart w:id="253" w:name="_Toc2543"/>
      <w:bookmarkStart w:id="254" w:name="_Toc3010"/>
      <w:bookmarkStart w:id="255" w:name="_Toc21517"/>
      <w:bookmarkStart w:id="256" w:name="_Toc22581"/>
      <w:bookmarkStart w:id="257" w:name="_Toc23949"/>
      <w:bookmarkStart w:id="258" w:name="_Toc4938"/>
      <w:r>
        <w:rPr>
          <w:rFonts w:hint="eastAsia" w:ascii="仿宋" w:hAnsi="仿宋" w:eastAsia="仿宋" w:cs="仿宋"/>
          <w:b/>
          <w:bCs w:val="0"/>
          <w:color w:val="auto"/>
          <w:sz w:val="40"/>
          <w:szCs w:val="40"/>
          <w:highlight w:val="none"/>
          <w:shd w:val="clear" w:color="auto" w:fill="auto"/>
          <w:lang w:val="en-US" w:eastAsia="zh-CN"/>
        </w:rPr>
        <w:t>附件</w:t>
      </w:r>
      <w:bookmarkEnd w:id="251"/>
      <w:bookmarkEnd w:id="252"/>
      <w:bookmarkEnd w:id="253"/>
      <w:bookmarkEnd w:id="254"/>
      <w:bookmarkEnd w:id="255"/>
      <w:bookmarkEnd w:id="256"/>
      <w:r>
        <w:rPr>
          <w:rFonts w:hint="eastAsia" w:ascii="仿宋" w:hAnsi="仿宋" w:eastAsia="仿宋" w:cs="仿宋"/>
          <w:b/>
          <w:bCs w:val="0"/>
          <w:color w:val="auto"/>
          <w:sz w:val="40"/>
          <w:szCs w:val="40"/>
          <w:highlight w:val="none"/>
          <w:shd w:val="clear" w:color="auto" w:fill="auto"/>
          <w:lang w:val="en-US" w:eastAsia="zh-CN"/>
        </w:rPr>
        <w:t>九</w:t>
      </w:r>
      <w:bookmarkEnd w:id="257"/>
      <w:bookmarkEnd w:id="258"/>
    </w:p>
    <w:p w14:paraId="56054C7D">
      <w:pPr>
        <w:spacing w:line="360" w:lineRule="auto"/>
        <w:jc w:val="center"/>
        <w:rPr>
          <w:rFonts w:hint="eastAsia" w:ascii="仿宋" w:hAnsi="仿宋" w:eastAsia="仿宋" w:cs="仿宋"/>
          <w:b/>
          <w:bCs/>
          <w:color w:val="auto"/>
          <w:sz w:val="32"/>
          <w:szCs w:val="32"/>
          <w:highlight w:val="none"/>
        </w:rPr>
      </w:pPr>
    </w:p>
    <w:p w14:paraId="62AD2A05">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承诺书</w:t>
      </w:r>
    </w:p>
    <w:p w14:paraId="534FFB41">
      <w:pPr>
        <w:pStyle w:val="14"/>
        <w:tabs>
          <w:tab w:val="clear" w:pos="840"/>
        </w:tabs>
        <w:rPr>
          <w:rFonts w:hint="eastAsia"/>
          <w:color w:val="auto"/>
        </w:rPr>
      </w:pPr>
    </w:p>
    <w:p w14:paraId="5A6B2D3F">
      <w:pPr>
        <w:spacing w:line="360" w:lineRule="auto"/>
        <w:ind w:firstLine="0" w:firstLineChars="0"/>
        <w:jc w:val="left"/>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致：</w:t>
      </w:r>
      <w:r>
        <w:rPr>
          <w:rFonts w:hint="eastAsia" w:ascii="仿宋" w:hAnsi="仿宋" w:eastAsia="仿宋" w:cs="仿宋"/>
          <w:color w:val="auto"/>
          <w:sz w:val="24"/>
          <w:szCs w:val="24"/>
          <w:u w:val="single"/>
          <w:lang w:val="en-US" w:eastAsia="zh-CN"/>
        </w:rPr>
        <w:t>XXXXXXXXXXXX</w:t>
      </w:r>
      <w:r>
        <w:rPr>
          <w:rFonts w:hint="eastAsia" w:ascii="仿宋" w:hAnsi="仿宋" w:eastAsia="仿宋" w:cs="仿宋"/>
          <w:b w:val="0"/>
          <w:bCs w:val="0"/>
          <w:color w:val="auto"/>
          <w:sz w:val="24"/>
          <w:szCs w:val="24"/>
          <w:lang w:val="en-US" w:eastAsia="zh-CN"/>
        </w:rPr>
        <w:t>公司（分包单位）</w:t>
      </w:r>
    </w:p>
    <w:p w14:paraId="4EC21BF8">
      <w:pPr>
        <w:spacing w:line="360" w:lineRule="auto"/>
        <w:ind w:firstLine="480" w:firstLineChars="200"/>
        <w:jc w:val="left"/>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东莞市中泰建安工程有限公司</w:t>
      </w:r>
    </w:p>
    <w:p w14:paraId="3DF2033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rPr>
        <w:t>本人</w:t>
      </w:r>
      <w:r>
        <w:rPr>
          <w:rFonts w:hint="eastAsia" w:ascii="仿宋" w:hAnsi="仿宋" w:eastAsia="仿宋" w:cs="仿宋"/>
          <w:color w:val="auto"/>
          <w:sz w:val="24"/>
          <w:szCs w:val="24"/>
          <w:u w:val="single"/>
          <w:lang w:val="en-US" w:eastAsia="zh-CN"/>
        </w:rPr>
        <w:t>XXX</w:t>
      </w:r>
      <w:r>
        <w:rPr>
          <w:rFonts w:hint="eastAsia" w:ascii="仿宋" w:hAnsi="仿宋" w:eastAsia="仿宋" w:cs="仿宋"/>
          <w:color w:val="auto"/>
          <w:sz w:val="24"/>
          <w:szCs w:val="24"/>
        </w:rPr>
        <w:t>(姓名)</w:t>
      </w:r>
      <w:r>
        <w:rPr>
          <w:rFonts w:hint="eastAsia" w:ascii="仿宋" w:hAnsi="仿宋" w:eastAsia="仿宋" w:cs="仿宋"/>
          <w:color w:val="auto"/>
          <w:sz w:val="24"/>
          <w:szCs w:val="24"/>
          <w:lang w:val="en-US" w:eastAsia="zh-CN"/>
        </w:rPr>
        <w:t>,身份证号：</w:t>
      </w:r>
      <w:r>
        <w:rPr>
          <w:rFonts w:hint="eastAsia" w:ascii="仿宋" w:hAnsi="仿宋" w:eastAsia="仿宋" w:cs="仿宋"/>
          <w:color w:val="auto"/>
          <w:sz w:val="24"/>
          <w:szCs w:val="24"/>
          <w:u w:val="single"/>
          <w:lang w:val="en-US" w:eastAsia="zh-CN"/>
        </w:rPr>
        <w:t>XXXXXXXXXXXXXXXXXX</w:t>
      </w:r>
      <w:r>
        <w:rPr>
          <w:rFonts w:hint="eastAsia" w:ascii="仿宋" w:hAnsi="仿宋" w:eastAsia="仿宋" w:cs="仿宋"/>
          <w:color w:val="auto"/>
          <w:sz w:val="24"/>
          <w:szCs w:val="24"/>
        </w:rPr>
        <w:t>，</w:t>
      </w:r>
      <w:r>
        <w:rPr>
          <w:rFonts w:hint="eastAsia" w:ascii="仿宋" w:hAnsi="仿宋" w:eastAsia="仿宋" w:cs="仿宋"/>
          <w:color w:val="auto"/>
          <w:sz w:val="24"/>
          <w:szCs w:val="24"/>
          <w:highlight w:val="none"/>
          <w:lang w:val="en-US" w:eastAsia="zh-CN"/>
        </w:rPr>
        <w:t>本人是</w:t>
      </w:r>
      <w:r>
        <w:rPr>
          <w:rFonts w:hint="eastAsia" w:ascii="仿宋" w:hAnsi="仿宋" w:eastAsia="仿宋" w:cs="仿宋"/>
          <w:color w:val="auto"/>
          <w:sz w:val="24"/>
          <w:szCs w:val="24"/>
          <w:u w:val="single"/>
          <w:lang w:val="en-US" w:eastAsia="zh-CN"/>
        </w:rPr>
        <w:t>XXXXXXXXXXXX</w:t>
      </w:r>
      <w:r>
        <w:rPr>
          <w:rFonts w:hint="eastAsia" w:ascii="仿宋" w:hAnsi="仿宋" w:eastAsia="仿宋" w:cs="仿宋"/>
          <w:b w:val="0"/>
          <w:bCs w:val="0"/>
          <w:color w:val="auto"/>
          <w:sz w:val="24"/>
          <w:szCs w:val="24"/>
          <w:lang w:val="en-US" w:eastAsia="zh-CN"/>
        </w:rPr>
        <w:t>公司的员工，</w:t>
      </w:r>
      <w:r>
        <w:rPr>
          <w:rFonts w:hint="eastAsia" w:ascii="仿宋" w:hAnsi="仿宋" w:eastAsia="仿宋" w:cs="仿宋"/>
          <w:color w:val="auto"/>
          <w:sz w:val="24"/>
          <w:szCs w:val="24"/>
        </w:rPr>
        <w:t>于</w:t>
      </w:r>
      <w:r>
        <w:rPr>
          <w:rFonts w:hint="eastAsia" w:ascii="仿宋" w:hAnsi="仿宋" w:eastAsia="仿宋" w:cs="仿宋"/>
          <w:color w:val="auto"/>
          <w:sz w:val="24"/>
          <w:szCs w:val="24"/>
          <w:u w:val="none"/>
          <w:lang w:val="en-US" w:eastAsia="zh-CN"/>
        </w:rPr>
        <w:t>XXXX</w:t>
      </w:r>
      <w:r>
        <w:rPr>
          <w:rFonts w:hint="eastAsia" w:ascii="仿宋" w:hAnsi="仿宋" w:eastAsia="仿宋" w:cs="仿宋"/>
          <w:color w:val="auto"/>
          <w:sz w:val="24"/>
          <w:szCs w:val="24"/>
        </w:rPr>
        <w:t>年</w:t>
      </w:r>
      <w:r>
        <w:rPr>
          <w:rFonts w:hint="eastAsia" w:ascii="仿宋" w:hAnsi="仿宋" w:eastAsia="仿宋" w:cs="仿宋"/>
          <w:color w:val="auto"/>
          <w:sz w:val="24"/>
          <w:szCs w:val="24"/>
          <w:lang w:val="en-US" w:eastAsia="zh-CN"/>
        </w:rPr>
        <w:t>X</w:t>
      </w:r>
      <w:r>
        <w:rPr>
          <w:rFonts w:hint="eastAsia" w:ascii="仿宋" w:hAnsi="仿宋" w:eastAsia="仿宋" w:cs="仿宋"/>
          <w:color w:val="auto"/>
          <w:sz w:val="24"/>
          <w:szCs w:val="24"/>
        </w:rPr>
        <w:t>月</w:t>
      </w:r>
      <w:r>
        <w:rPr>
          <w:rFonts w:hint="eastAsia" w:ascii="仿宋" w:hAnsi="仿宋" w:eastAsia="仿宋" w:cs="仿宋"/>
          <w:color w:val="auto"/>
          <w:sz w:val="24"/>
          <w:szCs w:val="24"/>
          <w:lang w:val="en-US" w:eastAsia="zh-CN"/>
        </w:rPr>
        <w:t>X</w:t>
      </w:r>
      <w:r>
        <w:rPr>
          <w:rFonts w:hint="eastAsia" w:ascii="仿宋" w:hAnsi="仿宋" w:eastAsia="仿宋" w:cs="仿宋"/>
          <w:color w:val="auto"/>
          <w:sz w:val="24"/>
          <w:szCs w:val="24"/>
        </w:rPr>
        <w:t>日至</w:t>
      </w:r>
      <w:r>
        <w:rPr>
          <w:rFonts w:hint="eastAsia" w:ascii="仿宋" w:hAnsi="仿宋" w:eastAsia="仿宋" w:cs="仿宋"/>
          <w:color w:val="auto"/>
          <w:sz w:val="24"/>
          <w:szCs w:val="24"/>
          <w:lang w:val="en-US" w:eastAsia="zh-CN"/>
        </w:rPr>
        <w:t>XXXX</w:t>
      </w:r>
      <w:r>
        <w:rPr>
          <w:rFonts w:hint="eastAsia" w:ascii="仿宋" w:hAnsi="仿宋" w:eastAsia="仿宋" w:cs="仿宋"/>
          <w:color w:val="auto"/>
          <w:sz w:val="24"/>
          <w:szCs w:val="24"/>
        </w:rPr>
        <w:t>年</w:t>
      </w:r>
      <w:r>
        <w:rPr>
          <w:rFonts w:hint="eastAsia" w:ascii="仿宋" w:hAnsi="仿宋" w:eastAsia="仿宋" w:cs="仿宋"/>
          <w:color w:val="auto"/>
          <w:sz w:val="24"/>
          <w:szCs w:val="24"/>
          <w:lang w:val="en-US" w:eastAsia="zh-CN"/>
        </w:rPr>
        <w:t>X</w:t>
      </w:r>
      <w:r>
        <w:rPr>
          <w:rFonts w:hint="eastAsia" w:ascii="仿宋" w:hAnsi="仿宋" w:eastAsia="仿宋" w:cs="仿宋"/>
          <w:color w:val="auto"/>
          <w:sz w:val="24"/>
          <w:szCs w:val="24"/>
        </w:rPr>
        <w:t>月</w:t>
      </w:r>
      <w:r>
        <w:rPr>
          <w:rFonts w:hint="eastAsia" w:ascii="仿宋" w:hAnsi="仿宋" w:eastAsia="仿宋" w:cs="仿宋"/>
          <w:color w:val="auto"/>
          <w:sz w:val="24"/>
          <w:szCs w:val="24"/>
          <w:lang w:val="en-US" w:eastAsia="zh-CN"/>
        </w:rPr>
        <w:t>X</w:t>
      </w:r>
      <w:r>
        <w:rPr>
          <w:rFonts w:hint="eastAsia" w:ascii="仿宋" w:hAnsi="仿宋" w:eastAsia="仿宋" w:cs="仿宋"/>
          <w:color w:val="auto"/>
          <w:sz w:val="24"/>
          <w:szCs w:val="24"/>
        </w:rPr>
        <w:t>日期间</w:t>
      </w:r>
      <w:r>
        <w:rPr>
          <w:rFonts w:hint="eastAsia" w:ascii="仿宋" w:hAnsi="仿宋" w:eastAsia="仿宋" w:cs="仿宋"/>
          <w:color w:val="auto"/>
          <w:sz w:val="24"/>
          <w:szCs w:val="24"/>
          <w:lang w:val="en-US" w:eastAsia="zh-CN"/>
        </w:rPr>
        <w:t>被</w:t>
      </w:r>
      <w:r>
        <w:rPr>
          <w:rFonts w:hint="eastAsia" w:ascii="仿宋" w:hAnsi="仿宋" w:eastAsia="仿宋" w:cs="仿宋"/>
          <w:color w:val="auto"/>
          <w:sz w:val="24"/>
          <w:szCs w:val="24"/>
          <w:u w:val="single"/>
          <w:lang w:val="en-US" w:eastAsia="zh-CN"/>
        </w:rPr>
        <w:t>XXXXXXXXXXXX</w:t>
      </w:r>
      <w:r>
        <w:rPr>
          <w:rFonts w:hint="eastAsia" w:ascii="仿宋" w:hAnsi="仿宋" w:eastAsia="仿宋" w:cs="仿宋"/>
          <w:b w:val="0"/>
          <w:bCs w:val="0"/>
          <w:color w:val="auto"/>
          <w:sz w:val="24"/>
          <w:szCs w:val="24"/>
          <w:lang w:val="en-US" w:eastAsia="zh-CN"/>
        </w:rPr>
        <w:t>公司安排</w:t>
      </w:r>
      <w:r>
        <w:rPr>
          <w:rFonts w:hint="eastAsia" w:ascii="仿宋" w:hAnsi="仿宋" w:eastAsia="仿宋" w:cs="仿宋"/>
          <w:color w:val="auto"/>
          <w:sz w:val="24"/>
          <w:szCs w:val="24"/>
        </w:rPr>
        <w:t>在</w:t>
      </w:r>
      <w:r>
        <w:rPr>
          <w:rFonts w:hint="eastAsia" w:ascii="仿宋" w:hAnsi="仿宋" w:eastAsia="仿宋" w:cs="仿宋"/>
          <w:color w:val="auto"/>
          <w:sz w:val="24"/>
          <w:szCs w:val="24"/>
          <w:lang w:val="en-US" w:eastAsia="zh-CN"/>
        </w:rPr>
        <w:t>总包单位为</w:t>
      </w:r>
      <w:r>
        <w:rPr>
          <w:rFonts w:hint="eastAsia" w:ascii="仿宋" w:hAnsi="仿宋" w:eastAsia="仿宋" w:cs="仿宋"/>
          <w:b w:val="0"/>
          <w:bCs w:val="0"/>
          <w:color w:val="auto"/>
          <w:sz w:val="24"/>
          <w:szCs w:val="24"/>
          <w:lang w:val="en-US" w:eastAsia="zh-CN"/>
        </w:rPr>
        <w:t>东莞市中泰建安工程有限公司的</w:t>
      </w:r>
      <w:r>
        <w:rPr>
          <w:rFonts w:hint="eastAsia" w:ascii="仿宋" w:hAnsi="仿宋" w:eastAsia="仿宋" w:cs="仿宋"/>
          <w:color w:val="auto"/>
          <w:sz w:val="24"/>
          <w:szCs w:val="24"/>
          <w:highlight w:val="none"/>
          <w:u w:val="single"/>
          <w:lang w:val="en-US" w:eastAsia="zh-CN"/>
        </w:rPr>
        <w:t>XXXXXX</w:t>
      </w:r>
      <w:r>
        <w:rPr>
          <w:rFonts w:hint="eastAsia" w:ascii="仿宋" w:hAnsi="仿宋" w:eastAsia="仿宋" w:cs="仿宋"/>
          <w:color w:val="auto"/>
          <w:sz w:val="24"/>
          <w:szCs w:val="24"/>
          <w:highlight w:val="none"/>
        </w:rPr>
        <w:t>项目</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以下简称：本项目</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务工，</w:t>
      </w:r>
      <w:r>
        <w:rPr>
          <w:rFonts w:hint="eastAsia" w:ascii="仿宋" w:hAnsi="仿宋" w:eastAsia="仿宋" w:cs="仿宋"/>
          <w:color w:val="auto"/>
          <w:sz w:val="24"/>
          <w:szCs w:val="24"/>
          <w:highlight w:val="none"/>
          <w:lang w:val="en-US" w:eastAsia="zh-CN"/>
        </w:rPr>
        <w:t>从事XX工种作业，本人在本项目累计</w:t>
      </w:r>
      <w:r>
        <w:rPr>
          <w:rFonts w:hint="eastAsia" w:ascii="仿宋" w:hAnsi="仿宋" w:eastAsia="仿宋" w:cs="仿宋"/>
          <w:color w:val="auto"/>
          <w:sz w:val="24"/>
          <w:szCs w:val="24"/>
          <w:highlight w:val="none"/>
        </w:rPr>
        <w:t>工资共</w:t>
      </w:r>
      <w:r>
        <w:rPr>
          <w:rFonts w:hint="eastAsia" w:ascii="仿宋" w:hAnsi="仿宋" w:eastAsia="仿宋" w:cs="仿宋"/>
          <w:color w:val="auto"/>
          <w:sz w:val="24"/>
          <w:szCs w:val="24"/>
          <w:highlight w:val="none"/>
          <w:lang w:val="en-US" w:eastAsia="zh-CN"/>
        </w:rPr>
        <w:t>XXX</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lang w:val="en-US" w:eastAsia="zh-CN"/>
        </w:rPr>
        <w:t>人民币</w:t>
      </w:r>
      <w:r>
        <w:rPr>
          <w:rFonts w:hint="eastAsia" w:ascii="仿宋" w:hAnsi="仿宋" w:eastAsia="仿宋" w:cs="仿宋"/>
          <w:color w:val="auto"/>
          <w:sz w:val="24"/>
          <w:szCs w:val="24"/>
          <w:highlight w:val="none"/>
        </w:rPr>
        <w:t>，现已</w:t>
      </w:r>
      <w:r>
        <w:rPr>
          <w:rFonts w:hint="eastAsia" w:ascii="仿宋" w:hAnsi="仿宋" w:eastAsia="仿宋" w:cs="仿宋"/>
          <w:color w:val="auto"/>
          <w:sz w:val="24"/>
          <w:szCs w:val="24"/>
          <w:highlight w:val="none"/>
          <w:lang w:val="en-US" w:eastAsia="zh-CN"/>
        </w:rPr>
        <w:t>收到工资XXX</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lang w:val="en-US" w:eastAsia="zh-CN"/>
        </w:rPr>
        <w:t>人民币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剩余</w:t>
      </w:r>
      <w:r>
        <w:rPr>
          <w:rFonts w:hint="eastAsia" w:ascii="仿宋" w:hAnsi="仿宋" w:eastAsia="仿宋" w:cs="仿宋"/>
          <w:color w:val="auto"/>
          <w:sz w:val="24"/>
          <w:szCs w:val="24"/>
          <w:highlight w:val="none"/>
          <w:lang w:val="en-US" w:eastAsia="zh-CN"/>
        </w:rPr>
        <w:t>工资XXX</w:t>
      </w:r>
      <w:r>
        <w:rPr>
          <w:rFonts w:hint="eastAsia" w:ascii="仿宋" w:hAnsi="仿宋" w:eastAsia="仿宋" w:cs="仿宋"/>
          <w:color w:val="auto"/>
          <w:sz w:val="24"/>
          <w:szCs w:val="24"/>
          <w:highlight w:val="none"/>
        </w:rPr>
        <w:t>元未支付</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详见工资表等证据资料共X页</w:t>
      </w:r>
      <w:r>
        <w:rPr>
          <w:rFonts w:hint="eastAsia" w:ascii="仿宋" w:hAnsi="仿宋" w:eastAsia="仿宋" w:cs="仿宋"/>
          <w:color w:val="auto"/>
          <w:sz w:val="24"/>
          <w:szCs w:val="24"/>
          <w:highlight w:val="none"/>
          <w:lang w:eastAsia="zh-CN"/>
        </w:rPr>
        <w:t>。</w:t>
      </w:r>
    </w:p>
    <w:p w14:paraId="2D7FD50A">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现</w:t>
      </w:r>
      <w:r>
        <w:rPr>
          <w:rFonts w:hint="eastAsia" w:ascii="仿宋" w:hAnsi="仿宋" w:eastAsia="仿宋" w:cs="仿宋"/>
          <w:color w:val="auto"/>
          <w:sz w:val="24"/>
          <w:szCs w:val="24"/>
          <w:lang w:val="en-US" w:eastAsia="zh-CN"/>
        </w:rPr>
        <w:t>本人</w:t>
      </w:r>
      <w:r>
        <w:rPr>
          <w:rFonts w:hint="eastAsia" w:ascii="仿宋" w:hAnsi="仿宋" w:eastAsia="仿宋" w:cs="仿宋"/>
          <w:color w:val="auto"/>
          <w:sz w:val="24"/>
          <w:szCs w:val="24"/>
        </w:rPr>
        <w:t>承诺</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待</w:t>
      </w:r>
      <w:r>
        <w:rPr>
          <w:rFonts w:hint="eastAsia" w:ascii="仿宋" w:hAnsi="仿宋" w:eastAsia="仿宋" w:cs="仿宋"/>
          <w:color w:val="auto"/>
          <w:sz w:val="24"/>
          <w:szCs w:val="24"/>
          <w:u w:val="single"/>
          <w:lang w:val="en-US" w:eastAsia="zh-CN"/>
        </w:rPr>
        <w:t>XXXXXXXXXXXX</w:t>
      </w:r>
      <w:r>
        <w:rPr>
          <w:rFonts w:hint="eastAsia" w:ascii="仿宋" w:hAnsi="仿宋" w:eastAsia="仿宋" w:cs="仿宋"/>
          <w:b w:val="0"/>
          <w:bCs w:val="0"/>
          <w:color w:val="auto"/>
          <w:sz w:val="24"/>
          <w:szCs w:val="24"/>
          <w:lang w:val="en-US" w:eastAsia="zh-CN"/>
        </w:rPr>
        <w:t>公司（分包单位）</w:t>
      </w:r>
      <w:r>
        <w:rPr>
          <w:rFonts w:hint="eastAsia" w:ascii="仿宋" w:hAnsi="仿宋" w:eastAsia="仿宋" w:cs="仿宋"/>
          <w:color w:val="auto"/>
          <w:sz w:val="24"/>
          <w:szCs w:val="24"/>
          <w:lang w:val="en-US" w:eastAsia="zh-CN"/>
        </w:rPr>
        <w:t>或</w:t>
      </w:r>
      <w:r>
        <w:rPr>
          <w:rFonts w:hint="eastAsia" w:ascii="仿宋" w:hAnsi="仿宋" w:eastAsia="仿宋" w:cs="仿宋"/>
          <w:b w:val="0"/>
          <w:bCs w:val="0"/>
          <w:color w:val="auto"/>
          <w:sz w:val="24"/>
          <w:szCs w:val="24"/>
          <w:lang w:val="en-US" w:eastAsia="zh-CN"/>
        </w:rPr>
        <w:t>东莞市中泰建安工程有限公司</w:t>
      </w:r>
      <w:r>
        <w:rPr>
          <w:rFonts w:hint="eastAsia" w:ascii="仿宋" w:hAnsi="仿宋" w:eastAsia="仿宋" w:cs="仿宋"/>
          <w:color w:val="auto"/>
          <w:sz w:val="24"/>
          <w:szCs w:val="24"/>
          <w:lang w:val="en-US" w:eastAsia="zh-CN"/>
        </w:rPr>
        <w:t>将本人在本项目</w:t>
      </w:r>
      <w:r>
        <w:rPr>
          <w:rFonts w:hint="eastAsia" w:ascii="仿宋" w:hAnsi="仿宋" w:eastAsia="仿宋" w:cs="仿宋"/>
          <w:color w:val="auto"/>
          <w:sz w:val="24"/>
          <w:szCs w:val="24"/>
        </w:rPr>
        <w:t>所有剩余工资</w:t>
      </w:r>
      <w:r>
        <w:rPr>
          <w:rFonts w:hint="eastAsia" w:ascii="仿宋" w:hAnsi="仿宋" w:eastAsia="仿宋" w:cs="仿宋"/>
          <w:color w:val="auto"/>
          <w:sz w:val="24"/>
          <w:szCs w:val="24"/>
          <w:lang w:val="en-US" w:eastAsia="zh-CN"/>
        </w:rPr>
        <w:t>汇</w:t>
      </w:r>
      <w:r>
        <w:rPr>
          <w:rFonts w:hint="eastAsia" w:ascii="仿宋" w:hAnsi="仿宋" w:eastAsia="仿宋" w:cs="仿宋"/>
          <w:color w:val="auto"/>
          <w:sz w:val="24"/>
          <w:szCs w:val="24"/>
        </w:rPr>
        <w:t>入</w:t>
      </w:r>
      <w:r>
        <w:rPr>
          <w:rFonts w:hint="eastAsia" w:ascii="仿宋" w:hAnsi="仿宋" w:eastAsia="仿宋" w:cs="仿宋"/>
          <w:color w:val="auto"/>
          <w:sz w:val="24"/>
          <w:szCs w:val="24"/>
          <w:lang w:val="en-US" w:eastAsia="zh-CN"/>
        </w:rPr>
        <w:t>本人指定收款账户</w:t>
      </w:r>
      <w:r>
        <w:rPr>
          <w:rFonts w:hint="eastAsia" w:ascii="仿宋" w:hAnsi="仿宋" w:eastAsia="仿宋" w:cs="仿宋"/>
          <w:color w:val="auto"/>
          <w:sz w:val="24"/>
          <w:szCs w:val="24"/>
        </w:rPr>
        <w:t>后，本人</w:t>
      </w:r>
      <w:r>
        <w:rPr>
          <w:rFonts w:hint="eastAsia" w:ascii="仿宋" w:hAnsi="仿宋" w:eastAsia="仿宋" w:cs="仿宋"/>
          <w:color w:val="auto"/>
          <w:sz w:val="24"/>
          <w:szCs w:val="24"/>
          <w:lang w:val="en-US" w:eastAsia="zh-CN"/>
        </w:rPr>
        <w:t>在本项目</w:t>
      </w:r>
      <w:r>
        <w:rPr>
          <w:rFonts w:hint="eastAsia" w:ascii="仿宋" w:hAnsi="仿宋" w:eastAsia="仿宋" w:cs="仿宋"/>
          <w:color w:val="auto"/>
          <w:sz w:val="24"/>
          <w:szCs w:val="24"/>
        </w:rPr>
        <w:t>工资</w:t>
      </w:r>
      <w:r>
        <w:rPr>
          <w:rFonts w:hint="eastAsia" w:ascii="仿宋" w:hAnsi="仿宋" w:eastAsia="仿宋" w:cs="仿宋"/>
          <w:color w:val="auto"/>
          <w:sz w:val="24"/>
          <w:szCs w:val="24"/>
          <w:lang w:val="en-US" w:eastAsia="zh-CN"/>
        </w:rPr>
        <w:t>即</w:t>
      </w:r>
      <w:r>
        <w:rPr>
          <w:rFonts w:hint="eastAsia" w:ascii="仿宋" w:hAnsi="仿宋" w:eastAsia="仿宋" w:cs="仿宋"/>
          <w:color w:val="auto"/>
          <w:sz w:val="24"/>
          <w:szCs w:val="24"/>
        </w:rPr>
        <w:t>全部结清。若后期再次</w:t>
      </w:r>
      <w:r>
        <w:rPr>
          <w:rFonts w:hint="eastAsia" w:ascii="仿宋" w:hAnsi="仿宋" w:eastAsia="仿宋" w:cs="仿宋"/>
          <w:color w:val="auto"/>
          <w:sz w:val="24"/>
          <w:szCs w:val="24"/>
          <w:lang w:val="en-US" w:eastAsia="zh-CN"/>
        </w:rPr>
        <w:t>以本项目为由</w:t>
      </w:r>
      <w:r>
        <w:rPr>
          <w:rFonts w:hint="eastAsia" w:ascii="仿宋" w:hAnsi="仿宋" w:eastAsia="仿宋" w:cs="仿宋"/>
          <w:color w:val="auto"/>
          <w:sz w:val="24"/>
          <w:szCs w:val="24"/>
        </w:rPr>
        <w:t>索要工资，均可视为恶意讨薪行为，我本人愿意为此承担一切法律责任和经济后果</w:t>
      </w:r>
      <w:r>
        <w:rPr>
          <w:rFonts w:hint="eastAsia" w:ascii="仿宋" w:hAnsi="仿宋" w:eastAsia="仿宋" w:cs="仿宋"/>
          <w:color w:val="auto"/>
          <w:sz w:val="24"/>
          <w:szCs w:val="24"/>
          <w:lang w:eastAsia="zh-CN"/>
        </w:rPr>
        <w:t>。</w:t>
      </w:r>
    </w:p>
    <w:p w14:paraId="667E23DF">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本人指定收款账户信息如下</w:t>
      </w:r>
      <w:r>
        <w:rPr>
          <w:rFonts w:hint="eastAsia" w:ascii="仿宋" w:hAnsi="仿宋" w:eastAsia="仿宋" w:cs="仿宋"/>
          <w:color w:val="auto"/>
          <w:sz w:val="24"/>
          <w:szCs w:val="24"/>
        </w:rPr>
        <w:t>:</w:t>
      </w:r>
    </w:p>
    <w:p w14:paraId="7E704144">
      <w:pPr>
        <w:spacing w:line="360" w:lineRule="auto"/>
        <w:ind w:firstLine="480" w:firstLineChars="200"/>
        <w:rPr>
          <w:rFonts w:hint="default" w:ascii="仿宋" w:hAnsi="仿宋" w:eastAsia="仿宋" w:cs="仿宋"/>
          <w:color w:val="auto"/>
          <w:sz w:val="24"/>
          <w:szCs w:val="24"/>
          <w:u w:val="none"/>
          <w:lang w:val="en-US" w:eastAsia="zh-CN"/>
        </w:rPr>
      </w:pPr>
      <w:r>
        <w:rPr>
          <w:rFonts w:hint="eastAsia" w:ascii="仿宋" w:hAnsi="仿宋" w:eastAsia="仿宋" w:cs="仿宋"/>
          <w:color w:val="auto"/>
          <w:sz w:val="24"/>
          <w:szCs w:val="24"/>
          <w:lang w:val="en-US" w:eastAsia="zh-CN"/>
        </w:rPr>
        <w:t>银行名称：</w:t>
      </w:r>
      <w:r>
        <w:rPr>
          <w:rFonts w:hint="eastAsia" w:ascii="仿宋" w:hAnsi="仿宋" w:eastAsia="仿宋" w:cs="仿宋"/>
          <w:color w:val="auto"/>
          <w:sz w:val="24"/>
          <w:szCs w:val="24"/>
          <w:u w:val="none"/>
          <w:lang w:val="en-US" w:eastAsia="zh-CN"/>
        </w:rPr>
        <w:t>XX银行XX支行</w:t>
      </w:r>
    </w:p>
    <w:p w14:paraId="17F97BE1">
      <w:pPr>
        <w:spacing w:line="360" w:lineRule="auto"/>
        <w:ind w:firstLine="480" w:firstLineChars="200"/>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账    号：XXXXXX</w:t>
      </w:r>
    </w:p>
    <w:p w14:paraId="010999C4">
      <w:pPr>
        <w:spacing w:line="360" w:lineRule="auto"/>
        <w:ind w:firstLine="480" w:firstLineChars="200"/>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户    名：XXX</w:t>
      </w:r>
    </w:p>
    <w:p w14:paraId="4CC3E8B6">
      <w:pPr>
        <w:spacing w:line="360" w:lineRule="auto"/>
        <w:ind w:firstLine="480" w:firstLineChars="200"/>
        <w:rPr>
          <w:rFonts w:hint="default"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特此承诺。</w:t>
      </w:r>
    </w:p>
    <w:p w14:paraId="7EB12F01">
      <w:pPr>
        <w:spacing w:line="360" w:lineRule="auto"/>
        <w:ind w:firstLine="5040" w:firstLineChars="2100"/>
        <w:rPr>
          <w:rFonts w:hint="eastAsia" w:ascii="仿宋" w:hAnsi="仿宋" w:eastAsia="仿宋" w:cs="仿宋"/>
          <w:color w:val="auto"/>
          <w:sz w:val="24"/>
          <w:szCs w:val="24"/>
        </w:rPr>
      </w:pPr>
    </w:p>
    <w:p w14:paraId="186FE54D">
      <w:pPr>
        <w:spacing w:line="360" w:lineRule="auto"/>
        <w:ind w:firstLine="4080" w:firstLineChars="1700"/>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rPr>
        <w:t>承诺人</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签名按指纹）</w:t>
      </w:r>
      <w:r>
        <w:rPr>
          <w:rFonts w:hint="eastAsia" w:ascii="仿宋" w:hAnsi="仿宋" w:eastAsia="仿宋" w:cs="仿宋"/>
          <w:color w:val="auto"/>
          <w:sz w:val="24"/>
          <w:szCs w:val="24"/>
        </w:rPr>
        <w:t>:</w:t>
      </w:r>
      <w:r>
        <w:rPr>
          <w:rFonts w:hint="eastAsia" w:ascii="仿宋" w:hAnsi="仿宋" w:eastAsia="仿宋" w:cs="仿宋"/>
          <w:color w:val="auto"/>
          <w:sz w:val="24"/>
          <w:szCs w:val="24"/>
          <w:u w:val="none"/>
          <w:lang w:val="en-US" w:eastAsia="zh-CN"/>
        </w:rPr>
        <w:t>XXX</w:t>
      </w:r>
    </w:p>
    <w:p w14:paraId="46BD3F8F">
      <w:pPr>
        <w:ind w:firstLine="4080" w:firstLineChars="1700"/>
        <w:rPr>
          <w:rFonts w:hint="eastAsia" w:ascii="仿宋" w:hAnsi="仿宋" w:eastAsia="仿宋" w:cs="仿宋"/>
          <w:color w:val="auto"/>
          <w:sz w:val="24"/>
          <w:szCs w:val="24"/>
        </w:rPr>
      </w:pPr>
      <w:r>
        <w:rPr>
          <w:rFonts w:hint="eastAsia" w:ascii="仿宋" w:hAnsi="仿宋" w:eastAsia="仿宋" w:cs="仿宋"/>
          <w:color w:val="auto"/>
          <w:sz w:val="24"/>
          <w:szCs w:val="24"/>
          <w:u w:val="none"/>
          <w:lang w:val="en-US" w:eastAsia="zh-CN"/>
        </w:rPr>
        <w:t>日 期：XXXX</w:t>
      </w:r>
      <w:r>
        <w:rPr>
          <w:rFonts w:hint="eastAsia" w:ascii="仿宋" w:hAnsi="仿宋" w:eastAsia="仿宋" w:cs="仿宋"/>
          <w:color w:val="auto"/>
          <w:sz w:val="24"/>
          <w:szCs w:val="24"/>
        </w:rPr>
        <w:t>年</w:t>
      </w:r>
      <w:r>
        <w:rPr>
          <w:rFonts w:hint="eastAsia" w:ascii="仿宋" w:hAnsi="仿宋" w:eastAsia="仿宋" w:cs="仿宋"/>
          <w:color w:val="auto"/>
          <w:sz w:val="24"/>
          <w:szCs w:val="24"/>
          <w:lang w:val="en-US" w:eastAsia="zh-CN"/>
        </w:rPr>
        <w:t>X月X</w:t>
      </w:r>
      <w:r>
        <w:rPr>
          <w:rFonts w:hint="eastAsia" w:ascii="仿宋" w:hAnsi="仿宋" w:eastAsia="仿宋" w:cs="仿宋"/>
          <w:color w:val="auto"/>
          <w:sz w:val="24"/>
          <w:szCs w:val="24"/>
        </w:rPr>
        <w:t>日</w:t>
      </w:r>
    </w:p>
    <w:p w14:paraId="329094B0">
      <w:pPr>
        <w:keepNext w:val="0"/>
        <w:keepLines w:val="0"/>
        <w:pageBreakBefore w:val="0"/>
        <w:shd w:val="clear" w:color="auto" w:fill="auto"/>
        <w:overflowPunct/>
        <w:topLinePunct w:val="0"/>
        <w:bidi w:val="0"/>
        <w:snapToGrid w:val="0"/>
        <w:spacing w:line="360" w:lineRule="auto"/>
        <w:ind w:firstLine="431" w:firstLineChars="179"/>
        <w:jc w:val="right"/>
        <w:outlineLvl w:val="9"/>
        <w:rPr>
          <w:rFonts w:hint="eastAsia" w:ascii="仿宋" w:hAnsi="仿宋" w:eastAsia="仿宋" w:cs="仿宋"/>
          <w:b/>
          <w:bCs w:val="0"/>
          <w:color w:val="auto"/>
          <w:sz w:val="24"/>
          <w:szCs w:val="24"/>
          <w:highlight w:val="none"/>
          <w:shd w:val="clear" w:color="auto" w:fill="auto"/>
          <w:lang w:val="en-US" w:eastAsia="zh-CN"/>
        </w:rPr>
        <w:sectPr>
          <w:footerReference r:id="rId7" w:type="default"/>
          <w:pgSz w:w="11906" w:h="16839"/>
          <w:pgMar w:top="1134" w:right="1417" w:bottom="1247" w:left="1417" w:header="0" w:footer="0" w:gutter="0"/>
          <w:pgNumType w:fmt="decimal"/>
          <w:cols w:space="720" w:num="1"/>
        </w:sectPr>
      </w:pPr>
    </w:p>
    <w:p w14:paraId="61DEDA20">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color w:val="auto"/>
          <w:sz w:val="44"/>
          <w:szCs w:val="44"/>
          <w:highlight w:val="none"/>
          <w:lang w:val="en-US" w:eastAsia="zh-CN"/>
        </w:rPr>
      </w:pPr>
      <w:bookmarkStart w:id="259" w:name="_Toc5935"/>
      <w:bookmarkStart w:id="260" w:name="_Toc3149"/>
      <w:bookmarkStart w:id="261" w:name="_Toc8914"/>
      <w:bookmarkStart w:id="262" w:name="_Toc29934"/>
      <w:bookmarkStart w:id="263" w:name="_Toc20407"/>
      <w:bookmarkStart w:id="264" w:name="_Toc30158"/>
      <w:r>
        <w:rPr>
          <w:rFonts w:hint="eastAsia" w:ascii="仿宋" w:hAnsi="仿宋" w:eastAsia="仿宋" w:cs="仿宋"/>
          <w:b/>
          <w:bCs w:val="0"/>
          <w:color w:val="auto"/>
          <w:sz w:val="40"/>
          <w:szCs w:val="40"/>
          <w:highlight w:val="none"/>
          <w:shd w:val="clear" w:color="auto" w:fill="auto"/>
          <w:lang w:val="en-US" w:eastAsia="zh-CN"/>
        </w:rPr>
        <w:t>附件</w:t>
      </w:r>
      <w:bookmarkEnd w:id="249"/>
      <w:bookmarkEnd w:id="250"/>
      <w:r>
        <w:rPr>
          <w:rFonts w:hint="eastAsia" w:ascii="仿宋" w:hAnsi="仿宋" w:eastAsia="仿宋" w:cs="仿宋"/>
          <w:b/>
          <w:bCs w:val="0"/>
          <w:color w:val="auto"/>
          <w:sz w:val="40"/>
          <w:szCs w:val="40"/>
          <w:highlight w:val="none"/>
          <w:shd w:val="clear" w:color="auto" w:fill="auto"/>
          <w:lang w:val="en-US" w:eastAsia="zh-CN"/>
        </w:rPr>
        <w:t>十</w:t>
      </w:r>
      <w:bookmarkEnd w:id="259"/>
      <w:bookmarkEnd w:id="260"/>
      <w:bookmarkEnd w:id="261"/>
      <w:bookmarkEnd w:id="262"/>
      <w:bookmarkEnd w:id="263"/>
      <w:bookmarkEnd w:id="264"/>
      <w:r>
        <w:rPr>
          <w:rFonts w:hint="eastAsia" w:ascii="仿宋" w:hAnsi="仿宋" w:eastAsia="仿宋" w:cs="仿宋"/>
          <w:b/>
          <w:bCs/>
          <w:color w:val="auto"/>
          <w:sz w:val="44"/>
          <w:szCs w:val="44"/>
          <w:highlight w:val="none"/>
          <w:lang w:val="en-US" w:eastAsia="zh-CN"/>
        </w:rPr>
        <w:t xml:space="preserve">  </w:t>
      </w:r>
    </w:p>
    <w:p w14:paraId="10EEF6DB">
      <w:pPr>
        <w:keepNext w:val="0"/>
        <w:keepLines w:val="0"/>
        <w:pageBreakBefore w:val="0"/>
        <w:widowControl/>
        <w:kinsoku w:val="0"/>
        <w:overflowPunct/>
        <w:topLinePunct w:val="0"/>
        <w:autoSpaceDE w:val="0"/>
        <w:autoSpaceDN w:val="0"/>
        <w:bidi w:val="0"/>
        <w:adjustRightInd w:val="0"/>
        <w:snapToGrid w:val="0"/>
        <w:spacing w:before="60" w:line="360" w:lineRule="auto"/>
        <w:ind w:left="3233" w:firstLine="594" w:firstLineChars="179"/>
        <w:jc w:val="left"/>
        <w:textAlignment w:val="baseline"/>
        <w:rPr>
          <w:rFonts w:ascii="仿宋" w:hAnsi="仿宋" w:eastAsia="仿宋" w:cs="仿宋"/>
          <w:snapToGrid w:val="0"/>
          <w:color w:val="auto"/>
          <w:kern w:val="0"/>
          <w:sz w:val="31"/>
          <w:szCs w:val="31"/>
          <w:highlight w:val="none"/>
        </w:rPr>
      </w:pPr>
      <w:r>
        <w:rPr>
          <w:rFonts w:ascii="仿宋" w:hAnsi="仿宋" w:eastAsia="仿宋" w:cs="仿宋"/>
          <w:snapToGrid w:val="0"/>
          <w:color w:val="auto"/>
          <w:spacing w:val="11"/>
          <w:kern w:val="0"/>
          <w:sz w:val="31"/>
          <w:szCs w:val="31"/>
          <w:highlight w:val="none"/>
        </w:rPr>
        <w:t>签</w:t>
      </w:r>
      <w:r>
        <w:rPr>
          <w:rFonts w:ascii="仿宋" w:hAnsi="仿宋" w:eastAsia="仿宋" w:cs="仿宋"/>
          <w:snapToGrid w:val="0"/>
          <w:color w:val="auto"/>
          <w:spacing w:val="6"/>
          <w:kern w:val="0"/>
          <w:sz w:val="31"/>
          <w:szCs w:val="31"/>
          <w:highlight w:val="none"/>
        </w:rPr>
        <w:t>证单分包说明</w:t>
      </w:r>
    </w:p>
    <w:p w14:paraId="5B697C49">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Cs w:val="21"/>
          <w:highlight w:val="none"/>
        </w:rPr>
      </w:pPr>
    </w:p>
    <w:tbl>
      <w:tblPr>
        <w:tblStyle w:val="28"/>
        <w:tblW w:w="8721"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57"/>
        <w:gridCol w:w="4044"/>
        <w:gridCol w:w="993"/>
        <w:gridCol w:w="2327"/>
      </w:tblGrid>
      <w:tr w14:paraId="663C4C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jc w:val="center"/>
        </w:trPr>
        <w:tc>
          <w:tcPr>
            <w:tcW w:w="1357" w:type="dxa"/>
            <w:noWrap w:val="0"/>
            <w:vAlign w:val="top"/>
          </w:tcPr>
          <w:p w14:paraId="79D2AA03">
            <w:pPr>
              <w:keepNext w:val="0"/>
              <w:keepLines w:val="0"/>
              <w:pageBreakBefore w:val="0"/>
              <w:widowControl/>
              <w:kinsoku w:val="0"/>
              <w:wordWrap/>
              <w:overflowPunct/>
              <w:topLinePunct w:val="0"/>
              <w:autoSpaceDE w:val="0"/>
              <w:autoSpaceDN w:val="0"/>
              <w:bidi w:val="0"/>
              <w:adjustRightInd w:val="0"/>
              <w:snapToGrid w:val="0"/>
              <w:spacing w:before="149"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工</w:t>
            </w:r>
            <w:r>
              <w:rPr>
                <w:rFonts w:ascii="仿宋" w:hAnsi="仿宋" w:eastAsia="仿宋" w:cs="仿宋"/>
                <w:snapToGrid w:val="0"/>
                <w:color w:val="auto"/>
                <w:spacing w:val="4"/>
                <w:kern w:val="0"/>
                <w:sz w:val="23"/>
                <w:szCs w:val="23"/>
                <w:highlight w:val="none"/>
              </w:rPr>
              <w:t>程名称</w:t>
            </w:r>
          </w:p>
        </w:tc>
        <w:tc>
          <w:tcPr>
            <w:tcW w:w="4044" w:type="dxa"/>
            <w:noWrap w:val="0"/>
            <w:vAlign w:val="top"/>
          </w:tcPr>
          <w:p w14:paraId="60849053">
            <w:pPr>
              <w:keepNext w:val="0"/>
              <w:keepLines w:val="0"/>
              <w:pageBreakBefore w:val="0"/>
              <w:widowControl/>
              <w:kinsoku w:val="0"/>
              <w:wordWrap/>
              <w:overflowPunct/>
              <w:topLinePunct w:val="0"/>
              <w:autoSpaceDE w:val="0"/>
              <w:autoSpaceDN w:val="0"/>
              <w:bidi w:val="0"/>
              <w:adjustRightInd w:val="0"/>
              <w:snapToGrid w:val="0"/>
              <w:spacing w:before="148"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XX</w:t>
            </w:r>
            <w:r>
              <w:rPr>
                <w:rFonts w:ascii="仿宋" w:hAnsi="仿宋" w:eastAsia="仿宋" w:cs="仿宋"/>
                <w:snapToGrid w:val="0"/>
                <w:color w:val="auto"/>
                <w:spacing w:val="-7"/>
                <w:kern w:val="0"/>
                <w:sz w:val="23"/>
                <w:szCs w:val="23"/>
                <w:highlight w:val="none"/>
              </w:rPr>
              <w:t xml:space="preserve"> </w:t>
            </w:r>
            <w:r>
              <w:rPr>
                <w:rFonts w:ascii="仿宋" w:hAnsi="仿宋" w:eastAsia="仿宋" w:cs="仿宋"/>
                <w:snapToGrid w:val="0"/>
                <w:color w:val="auto"/>
                <w:spacing w:val="-6"/>
                <w:kern w:val="0"/>
                <w:sz w:val="23"/>
                <w:szCs w:val="23"/>
                <w:highlight w:val="none"/>
              </w:rPr>
              <w:t>项目</w:t>
            </w:r>
          </w:p>
        </w:tc>
        <w:tc>
          <w:tcPr>
            <w:tcW w:w="993" w:type="dxa"/>
            <w:noWrap w:val="0"/>
            <w:vAlign w:val="top"/>
          </w:tcPr>
          <w:p w14:paraId="1FD6A2DE">
            <w:pPr>
              <w:keepNext w:val="0"/>
              <w:keepLines w:val="0"/>
              <w:pageBreakBefore w:val="0"/>
              <w:widowControl/>
              <w:kinsoku w:val="0"/>
              <w:wordWrap/>
              <w:overflowPunct/>
              <w:topLinePunct w:val="0"/>
              <w:autoSpaceDE w:val="0"/>
              <w:autoSpaceDN w:val="0"/>
              <w:bidi w:val="0"/>
              <w:adjustRightInd w:val="0"/>
              <w:snapToGrid w:val="0"/>
              <w:spacing w:before="149"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号</w:t>
            </w:r>
          </w:p>
        </w:tc>
        <w:tc>
          <w:tcPr>
            <w:tcW w:w="2327" w:type="dxa"/>
            <w:noWrap w:val="0"/>
            <w:vAlign w:val="top"/>
          </w:tcPr>
          <w:p w14:paraId="45F8C4B5">
            <w:pPr>
              <w:keepNext w:val="0"/>
              <w:keepLines w:val="0"/>
              <w:pageBreakBefore w:val="0"/>
              <w:widowControl/>
              <w:kinsoku w:val="0"/>
              <w:wordWrap/>
              <w:overflowPunct/>
              <w:topLinePunct w:val="0"/>
              <w:autoSpaceDE w:val="0"/>
              <w:autoSpaceDN w:val="0"/>
              <w:bidi w:val="0"/>
              <w:adjustRightInd w:val="0"/>
              <w:snapToGrid w:val="0"/>
              <w:spacing w:before="149"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XX 地块/01</w:t>
            </w:r>
          </w:p>
        </w:tc>
      </w:tr>
      <w:tr w14:paraId="59564B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9" w:hRule="atLeast"/>
          <w:jc w:val="center"/>
        </w:trPr>
        <w:tc>
          <w:tcPr>
            <w:tcW w:w="8721" w:type="dxa"/>
            <w:gridSpan w:val="4"/>
            <w:noWrap w:val="0"/>
            <w:vAlign w:val="top"/>
          </w:tcPr>
          <w:p w14:paraId="5B040858">
            <w:pPr>
              <w:keepNext w:val="0"/>
              <w:keepLines w:val="0"/>
              <w:pageBreakBefore w:val="0"/>
              <w:widowControl/>
              <w:kinsoku w:val="0"/>
              <w:wordWrap/>
              <w:overflowPunct/>
              <w:topLinePunct w:val="0"/>
              <w:autoSpaceDE w:val="0"/>
              <w:autoSpaceDN w:val="0"/>
              <w:bidi w:val="0"/>
              <w:adjustRightInd w:val="0"/>
              <w:snapToGrid w:val="0"/>
              <w:spacing w:before="35" w:line="240" w:lineRule="auto"/>
              <w:ind w:left="3859" w:firstLine="433" w:firstLineChars="17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说明内</w:t>
            </w:r>
            <w:r>
              <w:rPr>
                <w:rFonts w:ascii="仿宋" w:hAnsi="仿宋" w:eastAsia="仿宋" w:cs="仿宋"/>
                <w:snapToGrid w:val="0"/>
                <w:color w:val="auto"/>
                <w:spacing w:val="5"/>
                <w:kern w:val="0"/>
                <w:sz w:val="23"/>
                <w:szCs w:val="23"/>
                <w:highlight w:val="none"/>
              </w:rPr>
              <w:t>容</w:t>
            </w:r>
          </w:p>
          <w:p w14:paraId="3EC57075">
            <w:pPr>
              <w:keepNext w:val="0"/>
              <w:keepLines w:val="0"/>
              <w:pageBreakBefore w:val="0"/>
              <w:widowControl/>
              <w:kinsoku w:val="0"/>
              <w:wordWrap/>
              <w:overflowPunct/>
              <w:topLinePunct w:val="0"/>
              <w:autoSpaceDE w:val="0"/>
              <w:autoSpaceDN w:val="0"/>
              <w:bidi w:val="0"/>
              <w:adjustRightInd w:val="0"/>
              <w:snapToGrid w:val="0"/>
              <w:spacing w:before="178"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根据甲</w:t>
            </w:r>
            <w:r>
              <w:rPr>
                <w:rFonts w:ascii="仿宋" w:hAnsi="仿宋" w:eastAsia="仿宋" w:cs="仿宋"/>
                <w:snapToGrid w:val="0"/>
                <w:color w:val="auto"/>
                <w:spacing w:val="6"/>
                <w:kern w:val="0"/>
                <w:sz w:val="23"/>
                <w:szCs w:val="23"/>
                <w:highlight w:val="none"/>
              </w:rPr>
              <w:t>方</w:t>
            </w:r>
            <w:r>
              <w:rPr>
                <w:rFonts w:ascii="仿宋" w:hAnsi="仿宋" w:eastAsia="仿宋" w:cs="仿宋"/>
                <w:snapToGrid w:val="0"/>
                <w:color w:val="auto"/>
                <w:spacing w:val="4"/>
                <w:kern w:val="0"/>
                <w:sz w:val="23"/>
                <w:szCs w:val="23"/>
                <w:highlight w:val="none"/>
              </w:rPr>
              <w:t xml:space="preserve">签字确认的签证单 (编号 </w:t>
            </w:r>
            <w:r>
              <w:rPr>
                <w:rFonts w:ascii="仿宋" w:hAnsi="仿宋" w:eastAsia="仿宋" w:cs="仿宋"/>
                <w:snapToGrid w:val="0"/>
                <w:color w:val="auto"/>
                <w:kern w:val="0"/>
                <w:sz w:val="23"/>
                <w:szCs w:val="23"/>
                <w:highlight w:val="none"/>
              </w:rPr>
              <w:t>XX</w:t>
            </w:r>
            <w:r>
              <w:rPr>
                <w:rFonts w:ascii="仿宋" w:hAnsi="仿宋" w:eastAsia="仿宋" w:cs="仿宋"/>
                <w:snapToGrid w:val="0"/>
                <w:color w:val="auto"/>
                <w:spacing w:val="4"/>
                <w:kern w:val="0"/>
                <w:sz w:val="23"/>
                <w:szCs w:val="23"/>
                <w:highlight w:val="none"/>
              </w:rPr>
              <w:t xml:space="preserve"> 地块/01) 内容中，其中</w:t>
            </w:r>
          </w:p>
          <w:p w14:paraId="47B5F06E">
            <w:pPr>
              <w:keepNext w:val="0"/>
              <w:keepLines w:val="0"/>
              <w:pageBreakBefore w:val="0"/>
              <w:widowControl/>
              <w:kinsoku w:val="0"/>
              <w:wordWrap/>
              <w:overflowPunct/>
              <w:topLinePunct w:val="0"/>
              <w:autoSpaceDE w:val="0"/>
              <w:autoSpaceDN w:val="0"/>
              <w:bidi w:val="0"/>
              <w:adjustRightInd w:val="0"/>
              <w:snapToGrid w:val="0"/>
              <w:spacing w:before="180"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1、第</w:t>
            </w:r>
            <w:r>
              <w:rPr>
                <w:rFonts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u w:val="single" w:color="auto"/>
                <w:lang w:val="en-US" w:eastAsia="zh-CN"/>
              </w:rPr>
              <w:t xml:space="preserve">       </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w:t>
            </w:r>
            <w:r>
              <w:rPr>
                <w:rFonts w:ascii="仿宋" w:hAnsi="仿宋" w:eastAsia="仿宋" w:cs="仿宋"/>
                <w:snapToGrid w:val="0"/>
                <w:color w:val="auto"/>
                <w:spacing w:val="1"/>
                <w:kern w:val="0"/>
                <w:sz w:val="23"/>
                <w:szCs w:val="23"/>
                <w:highlight w:val="none"/>
              </w:rPr>
              <w:t>范围：</w:t>
            </w:r>
            <w:r>
              <w:rPr>
                <w:rFonts w:ascii="仿宋" w:hAnsi="仿宋" w:eastAsia="仿宋" w:cs="仿宋"/>
                <w:snapToGrid w:val="0"/>
                <w:color w:val="auto"/>
                <w:spacing w:val="1"/>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14:paraId="56475B33">
            <w:pPr>
              <w:keepNext w:val="0"/>
              <w:keepLines w:val="0"/>
              <w:pageBreakBefore w:val="0"/>
              <w:widowControl/>
              <w:kinsoku w:val="0"/>
              <w:wordWrap/>
              <w:overflowPunct/>
              <w:topLinePunct w:val="0"/>
              <w:autoSpaceDE w:val="0"/>
              <w:autoSpaceDN w:val="0"/>
              <w:bidi w:val="0"/>
              <w:adjustRightInd w:val="0"/>
              <w:snapToGrid w:val="0"/>
              <w:spacing w:before="182"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3"/>
                <w:kern w:val="0"/>
                <w:sz w:val="23"/>
                <w:szCs w:val="23"/>
                <w:highlight w:val="none"/>
              </w:rPr>
              <w:t>2</w:t>
            </w:r>
            <w:r>
              <w:rPr>
                <w:rFonts w:ascii="仿宋" w:hAnsi="仿宋" w:eastAsia="仿宋" w:cs="仿宋"/>
                <w:snapToGrid w:val="0"/>
                <w:color w:val="auto"/>
                <w:spacing w:val="2"/>
                <w:kern w:val="0"/>
                <w:sz w:val="23"/>
                <w:szCs w:val="23"/>
                <w:highlight w:val="none"/>
              </w:rPr>
              <w:t>、第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14:paraId="333A3AE2">
            <w:pPr>
              <w:keepNext w:val="0"/>
              <w:keepLines w:val="0"/>
              <w:pageBreakBefore w:val="0"/>
              <w:widowControl/>
              <w:kinsoku w:val="0"/>
              <w:wordWrap/>
              <w:overflowPunct/>
              <w:topLinePunct w:val="0"/>
              <w:autoSpaceDE w:val="0"/>
              <w:autoSpaceDN w:val="0"/>
              <w:bidi w:val="0"/>
              <w:adjustRightInd w:val="0"/>
              <w:snapToGrid w:val="0"/>
              <w:spacing w:before="183"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3、第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包工包机械包</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XX   </w:t>
            </w:r>
          </w:p>
          <w:p w14:paraId="513F9E1D">
            <w:pPr>
              <w:keepNext w:val="0"/>
              <w:keepLines w:val="0"/>
              <w:pageBreakBefore w:val="0"/>
              <w:widowControl/>
              <w:kinsoku w:val="0"/>
              <w:wordWrap/>
              <w:overflowPunct/>
              <w:topLinePunct w:val="0"/>
              <w:autoSpaceDE w:val="0"/>
              <w:autoSpaceDN w:val="0"/>
              <w:bidi w:val="0"/>
              <w:adjustRightInd w:val="0"/>
              <w:snapToGrid w:val="0"/>
              <w:spacing w:before="180"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4"/>
                <w:kern w:val="0"/>
                <w:sz w:val="23"/>
                <w:szCs w:val="23"/>
                <w:highlight w:val="none"/>
              </w:rPr>
              <w:t>4、</w:t>
            </w:r>
            <w:r>
              <w:rPr>
                <w:rFonts w:ascii="仿宋" w:hAnsi="仿宋" w:eastAsia="仿宋" w:cs="仿宋"/>
                <w:snapToGrid w:val="0"/>
                <w:color w:val="auto"/>
                <w:spacing w:val="3"/>
                <w:kern w:val="0"/>
                <w:sz w:val="23"/>
                <w:szCs w:val="23"/>
                <w:highlight w:val="none"/>
              </w:rPr>
              <w:t>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14:paraId="14D9F9DB">
            <w:pPr>
              <w:keepNext w:val="0"/>
              <w:keepLines w:val="0"/>
              <w:pageBreakBefore w:val="0"/>
              <w:widowControl/>
              <w:kinsoku w:val="0"/>
              <w:wordWrap/>
              <w:overflowPunct/>
              <w:topLinePunct w:val="0"/>
              <w:autoSpaceDE w:val="0"/>
              <w:autoSpaceDN w:val="0"/>
              <w:bidi w:val="0"/>
              <w:adjustRightInd w:val="0"/>
              <w:snapToGrid w:val="0"/>
              <w:spacing w:before="183"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5、第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包工包机械包</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XX   </w:t>
            </w:r>
          </w:p>
        </w:tc>
      </w:tr>
    </w:tbl>
    <w:p w14:paraId="70F52CD7">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4AF8F3F5">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0A538C76">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0E6068AD">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00BF935E">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7AF9E5A4">
      <w:pPr>
        <w:keepNext w:val="0"/>
        <w:keepLines w:val="0"/>
        <w:pageBreakBefore w:val="0"/>
        <w:widowControl/>
        <w:kinsoku w:val="0"/>
        <w:wordWrap/>
        <w:overflowPunct/>
        <w:topLinePunct w:val="0"/>
        <w:autoSpaceDE w:val="0"/>
        <w:autoSpaceDN w:val="0"/>
        <w:bidi w:val="0"/>
        <w:adjustRightInd w:val="0"/>
        <w:snapToGrid w:val="0"/>
        <w:spacing w:before="75"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施工员：</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                        </w:t>
      </w:r>
      <w:r>
        <w:rPr>
          <w:rFonts w:ascii="仿宋" w:hAnsi="仿宋" w:eastAsia="仿宋" w:cs="仿宋"/>
          <w:snapToGrid w:val="0"/>
          <w:color w:val="auto"/>
          <w:kern w:val="0"/>
          <w:sz w:val="23"/>
          <w:szCs w:val="23"/>
          <w:highlight w:val="none"/>
        </w:rPr>
        <w:t>项目副经理：</w:t>
      </w:r>
      <w:r>
        <w:rPr>
          <w:rFonts w:ascii="仿宋" w:hAnsi="仿宋" w:eastAsia="仿宋" w:cs="仿宋"/>
          <w:snapToGrid w:val="0"/>
          <w:color w:val="auto"/>
          <w:kern w:val="0"/>
          <w:sz w:val="23"/>
          <w:szCs w:val="23"/>
          <w:highlight w:val="none"/>
          <w:u w:val="single" w:color="auto"/>
        </w:rPr>
        <w:t xml:space="preserve">                     </w:t>
      </w:r>
    </w:p>
    <w:p w14:paraId="51F6F416">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55ECD634">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0E64081C">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40B7F6AB">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74CDF088">
      <w:pPr>
        <w:keepNext w:val="0"/>
        <w:keepLines w:val="0"/>
        <w:pageBreakBefore w:val="0"/>
        <w:widowControl/>
        <w:kinsoku w:val="0"/>
        <w:wordWrap/>
        <w:overflowPunct/>
        <w:topLinePunct w:val="0"/>
        <w:autoSpaceDE w:val="0"/>
        <w:autoSpaceDN w:val="0"/>
        <w:bidi w:val="0"/>
        <w:adjustRightInd w:val="0"/>
        <w:snapToGrid w:val="0"/>
        <w:spacing w:before="75"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项目成本管理员：</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                   </w:t>
      </w:r>
      <w:r>
        <w:rPr>
          <w:rFonts w:ascii="仿宋" w:hAnsi="仿宋" w:eastAsia="仿宋" w:cs="仿宋"/>
          <w:snapToGrid w:val="0"/>
          <w:color w:val="auto"/>
          <w:kern w:val="0"/>
          <w:sz w:val="23"/>
          <w:szCs w:val="23"/>
          <w:highlight w:val="none"/>
        </w:rPr>
        <w:t>项目经理：</w:t>
      </w:r>
      <w:r>
        <w:rPr>
          <w:rFonts w:ascii="仿宋" w:hAnsi="仿宋" w:eastAsia="仿宋" w:cs="仿宋"/>
          <w:snapToGrid w:val="0"/>
          <w:color w:val="auto"/>
          <w:kern w:val="0"/>
          <w:sz w:val="23"/>
          <w:szCs w:val="23"/>
          <w:highlight w:val="none"/>
          <w:u w:val="single" w:color="auto"/>
        </w:rPr>
        <w:t xml:space="preserve">                     </w:t>
      </w:r>
    </w:p>
    <w:p w14:paraId="13C23694">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1BA4EE09">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3DAD9328">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75F4124D">
      <w:pPr>
        <w:keepNext w:val="0"/>
        <w:keepLines w:val="0"/>
        <w:pageBreakBefore w:val="0"/>
        <w:widowControl/>
        <w:kinsoku w:val="0"/>
        <w:wordWrap/>
        <w:overflowPunct/>
        <w:topLinePunct w:val="0"/>
        <w:autoSpaceDE w:val="0"/>
        <w:autoSpaceDN w:val="0"/>
        <w:bidi w:val="0"/>
        <w:adjustRightInd w:val="0"/>
        <w:snapToGrid w:val="0"/>
        <w:spacing w:line="240" w:lineRule="auto"/>
        <w:ind w:firstLine="375" w:firstLineChars="179"/>
        <w:jc w:val="left"/>
        <w:textAlignment w:val="baseline"/>
        <w:rPr>
          <w:rFonts w:ascii="Arial" w:hAnsi="Arial" w:eastAsia="Arial" w:cs="Arial"/>
          <w:snapToGrid w:val="0"/>
          <w:color w:val="auto"/>
          <w:kern w:val="0"/>
          <w:sz w:val="21"/>
          <w:szCs w:val="21"/>
          <w:highlight w:val="none"/>
        </w:rPr>
      </w:pPr>
    </w:p>
    <w:p w14:paraId="3A06EE6B">
      <w:pPr>
        <w:keepNext w:val="0"/>
        <w:keepLines w:val="0"/>
        <w:pageBreakBefore w:val="0"/>
        <w:widowControl/>
        <w:kinsoku w:val="0"/>
        <w:wordWrap/>
        <w:overflowPunct/>
        <w:topLinePunct w:val="0"/>
        <w:autoSpaceDE w:val="0"/>
        <w:autoSpaceDN w:val="0"/>
        <w:bidi w:val="0"/>
        <w:adjustRightInd w:val="0"/>
        <w:snapToGrid w:val="0"/>
        <w:spacing w:before="76" w:line="240" w:lineRule="auto"/>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工</w:t>
      </w:r>
      <w:r>
        <w:rPr>
          <w:rFonts w:ascii="仿宋" w:hAnsi="仿宋" w:eastAsia="仿宋" w:cs="仿宋"/>
          <w:snapToGrid w:val="0"/>
          <w:color w:val="auto"/>
          <w:spacing w:val="5"/>
          <w:kern w:val="0"/>
          <w:sz w:val="23"/>
          <w:szCs w:val="23"/>
          <w:highlight w:val="none"/>
        </w:rPr>
        <w:t>程部负责人：</w:t>
      </w:r>
      <w:r>
        <w:rPr>
          <w:rFonts w:ascii="仿宋" w:hAnsi="仿宋" w:eastAsia="仿宋" w:cs="仿宋"/>
          <w:snapToGrid w:val="0"/>
          <w:color w:val="auto"/>
          <w:kern w:val="0"/>
          <w:sz w:val="23"/>
          <w:szCs w:val="23"/>
          <w:highlight w:val="none"/>
          <w:u w:val="single" w:color="auto"/>
        </w:rPr>
        <w:t xml:space="preserve">                  </w:t>
      </w:r>
    </w:p>
    <w:p w14:paraId="3E600518">
      <w:pPr>
        <w:pStyle w:val="14"/>
        <w:keepNext w:val="0"/>
        <w:keepLines w:val="0"/>
        <w:pageBreakBefore w:val="0"/>
        <w:tabs>
          <w:tab w:val="clear" w:pos="-116"/>
          <w:tab w:val="clear" w:pos="420"/>
        </w:tabs>
        <w:overflowPunct/>
        <w:topLinePunct w:val="0"/>
        <w:bidi w:val="0"/>
        <w:spacing w:line="360" w:lineRule="auto"/>
        <w:ind w:firstLine="375" w:firstLineChars="179"/>
        <w:rPr>
          <w:rFonts w:hint="default"/>
          <w:color w:val="auto"/>
          <w:highlight w:val="none"/>
          <w:lang w:val="en-US" w:eastAsia="zh-CN"/>
        </w:rPr>
      </w:pPr>
    </w:p>
    <w:p w14:paraId="482D017B">
      <w:pPr>
        <w:pStyle w:val="14"/>
        <w:keepNext w:val="0"/>
        <w:keepLines w:val="0"/>
        <w:pageBreakBefore w:val="0"/>
        <w:tabs>
          <w:tab w:val="clear" w:pos="-116"/>
          <w:tab w:val="clear" w:pos="420"/>
        </w:tabs>
        <w:overflowPunct/>
        <w:topLinePunct w:val="0"/>
        <w:bidi w:val="0"/>
        <w:spacing w:line="360" w:lineRule="auto"/>
        <w:ind w:firstLine="501" w:firstLineChars="179"/>
        <w:rPr>
          <w:rFonts w:hint="eastAsia" w:ascii="仿宋" w:hAnsi="仿宋" w:eastAsia="仿宋" w:cs="仿宋"/>
          <w:color w:val="auto"/>
          <w:sz w:val="28"/>
          <w:szCs w:val="28"/>
          <w:highlight w:val="none"/>
          <w:lang w:val="en-US" w:eastAsia="zh-CN"/>
        </w:rPr>
      </w:pPr>
    </w:p>
    <w:p w14:paraId="34E0F38C">
      <w:pPr>
        <w:pStyle w:val="14"/>
        <w:keepNext w:val="0"/>
        <w:keepLines w:val="0"/>
        <w:pageBreakBefore w:val="0"/>
        <w:tabs>
          <w:tab w:val="clear" w:pos="-116"/>
          <w:tab w:val="clear" w:pos="420"/>
        </w:tabs>
        <w:overflowPunct/>
        <w:topLinePunct w:val="0"/>
        <w:bidi w:val="0"/>
        <w:spacing w:line="360" w:lineRule="auto"/>
        <w:ind w:firstLine="501" w:firstLineChars="179"/>
        <w:rPr>
          <w:rFonts w:hint="eastAsia" w:ascii="仿宋" w:hAnsi="仿宋" w:eastAsia="仿宋" w:cs="仿宋"/>
          <w:color w:val="auto"/>
          <w:sz w:val="28"/>
          <w:szCs w:val="28"/>
          <w:highlight w:val="none"/>
          <w:lang w:val="en-US" w:eastAsia="zh-CN"/>
        </w:rPr>
      </w:pPr>
    </w:p>
    <w:p w14:paraId="5957E0F6">
      <w:pPr>
        <w:pStyle w:val="14"/>
        <w:keepNext w:val="0"/>
        <w:keepLines w:val="0"/>
        <w:pageBreakBefore w:val="0"/>
        <w:tabs>
          <w:tab w:val="clear" w:pos="-116"/>
          <w:tab w:val="clear" w:pos="420"/>
        </w:tabs>
        <w:overflowPunct/>
        <w:topLinePunct w:val="0"/>
        <w:bidi w:val="0"/>
        <w:spacing w:line="360" w:lineRule="auto"/>
        <w:ind w:firstLine="501" w:firstLineChars="179"/>
        <w:rPr>
          <w:rFonts w:hint="eastAsia" w:ascii="仿宋" w:hAnsi="仿宋" w:eastAsia="仿宋" w:cs="仿宋"/>
          <w:color w:val="auto"/>
          <w:sz w:val="28"/>
          <w:szCs w:val="28"/>
          <w:highlight w:val="none"/>
          <w:lang w:val="en-US" w:eastAsia="zh-CN"/>
        </w:rPr>
      </w:pPr>
    </w:p>
    <w:p w14:paraId="6BCFAEB5">
      <w:pPr>
        <w:pStyle w:val="14"/>
        <w:keepNext w:val="0"/>
        <w:keepLines w:val="0"/>
        <w:pageBreakBefore w:val="0"/>
        <w:tabs>
          <w:tab w:val="clear" w:pos="-116"/>
          <w:tab w:val="clear" w:pos="420"/>
        </w:tabs>
        <w:overflowPunct/>
        <w:topLinePunct w:val="0"/>
        <w:bidi w:val="0"/>
        <w:spacing w:line="360" w:lineRule="auto"/>
        <w:ind w:firstLine="501" w:firstLineChars="179"/>
        <w:rPr>
          <w:rFonts w:hint="eastAsia" w:ascii="仿宋" w:hAnsi="仿宋" w:eastAsia="仿宋" w:cs="仿宋"/>
          <w:color w:val="auto"/>
          <w:sz w:val="28"/>
          <w:szCs w:val="28"/>
          <w:highlight w:val="none"/>
          <w:lang w:val="en-US" w:eastAsia="zh-CN"/>
        </w:rPr>
      </w:pPr>
    </w:p>
    <w:p w14:paraId="4B3A192E">
      <w:pPr>
        <w:pStyle w:val="14"/>
        <w:keepNext w:val="0"/>
        <w:keepLines w:val="0"/>
        <w:pageBreakBefore w:val="0"/>
        <w:shd w:val="clear" w:color="auto" w:fill="auto"/>
        <w:tabs>
          <w:tab w:val="clear" w:pos="-116"/>
          <w:tab w:val="clear" w:pos="420"/>
        </w:tabs>
        <w:overflowPunct/>
        <w:topLinePunct w:val="0"/>
        <w:bidi w:val="0"/>
        <w:snapToGrid w:val="0"/>
        <w:spacing w:line="360" w:lineRule="auto"/>
        <w:ind w:firstLine="377" w:firstLineChars="179"/>
        <w:rPr>
          <w:rFonts w:hint="eastAsia" w:ascii="仿宋" w:hAnsi="仿宋" w:eastAsia="仿宋" w:cs="仿宋"/>
          <w:b/>
          <w:bCs/>
          <w:color w:val="auto"/>
          <w:highlight w:val="none"/>
          <w:lang w:eastAsia="zh-CN"/>
        </w:rPr>
      </w:pPr>
    </w:p>
    <w:p w14:paraId="23D04F2E">
      <w:pPr>
        <w:pStyle w:val="14"/>
        <w:keepNext w:val="0"/>
        <w:keepLines w:val="0"/>
        <w:pageBreakBefore w:val="0"/>
        <w:shd w:val="clear" w:color="auto" w:fill="auto"/>
        <w:tabs>
          <w:tab w:val="clear" w:pos="-116"/>
          <w:tab w:val="clear" w:pos="420"/>
        </w:tabs>
        <w:overflowPunct/>
        <w:topLinePunct w:val="0"/>
        <w:bidi w:val="0"/>
        <w:snapToGrid w:val="0"/>
        <w:spacing w:line="360" w:lineRule="auto"/>
        <w:ind w:firstLine="377" w:firstLineChars="179"/>
        <w:rPr>
          <w:rFonts w:hint="eastAsia" w:ascii="仿宋" w:hAnsi="仿宋" w:eastAsia="仿宋" w:cs="仿宋"/>
          <w:b/>
          <w:bCs/>
          <w:color w:val="auto"/>
          <w:highlight w:val="none"/>
          <w:lang w:eastAsia="zh-CN"/>
        </w:rPr>
      </w:pPr>
    </w:p>
    <w:p w14:paraId="1C2372E8">
      <w:pPr>
        <w:keepNext w:val="0"/>
        <w:keepLines w:val="0"/>
        <w:pageBreakBefore w:val="0"/>
        <w:shd w:val="clear" w:color="auto" w:fill="auto"/>
        <w:overflowPunct/>
        <w:topLinePunct w:val="0"/>
        <w:bidi w:val="0"/>
        <w:snapToGrid w:val="0"/>
        <w:spacing w:line="360" w:lineRule="auto"/>
        <w:jc w:val="both"/>
        <w:outlineLvl w:val="9"/>
        <w:rPr>
          <w:rFonts w:hint="eastAsia" w:ascii="仿宋" w:hAnsi="仿宋" w:eastAsia="仿宋" w:cs="仿宋"/>
          <w:b/>
          <w:bCs w:val="0"/>
          <w:color w:val="auto"/>
          <w:sz w:val="40"/>
          <w:szCs w:val="40"/>
          <w:highlight w:val="none"/>
          <w:shd w:val="clear" w:color="auto" w:fill="auto"/>
          <w:lang w:val="en-US" w:eastAsia="zh-CN"/>
        </w:rPr>
      </w:pPr>
      <w:bookmarkStart w:id="265" w:name="_Toc6751"/>
      <w:bookmarkStart w:id="266" w:name="_Toc28972"/>
    </w:p>
    <w:p w14:paraId="76280963">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default" w:ascii="仿宋" w:hAnsi="仿宋" w:eastAsia="仿宋" w:cs="仿宋"/>
          <w:b/>
          <w:bCs w:val="0"/>
          <w:color w:val="auto"/>
          <w:sz w:val="40"/>
          <w:szCs w:val="40"/>
          <w:highlight w:val="none"/>
          <w:shd w:val="clear" w:color="auto" w:fill="auto"/>
          <w:lang w:val="en-US" w:eastAsia="zh-CN"/>
        </w:rPr>
      </w:pPr>
      <w:bookmarkStart w:id="267" w:name="_Toc6992"/>
      <w:bookmarkStart w:id="268" w:name="_Toc22683"/>
      <w:bookmarkStart w:id="269" w:name="_Toc1770"/>
      <w:bookmarkStart w:id="270" w:name="_Toc4842"/>
      <w:bookmarkStart w:id="271" w:name="_Toc97"/>
      <w:bookmarkStart w:id="272" w:name="_Toc24388"/>
      <w:r>
        <w:rPr>
          <w:rFonts w:hint="eastAsia" w:ascii="仿宋" w:hAnsi="仿宋" w:eastAsia="仿宋" w:cs="仿宋"/>
          <w:b/>
          <w:bCs w:val="0"/>
          <w:color w:val="auto"/>
          <w:sz w:val="40"/>
          <w:szCs w:val="40"/>
          <w:highlight w:val="none"/>
          <w:shd w:val="clear" w:color="auto" w:fill="auto"/>
          <w:lang w:val="en-US" w:eastAsia="zh-CN"/>
        </w:rPr>
        <w:t>附件十</w:t>
      </w:r>
      <w:bookmarkEnd w:id="265"/>
      <w:bookmarkEnd w:id="266"/>
      <w:r>
        <w:rPr>
          <w:rFonts w:hint="eastAsia" w:ascii="仿宋" w:hAnsi="仿宋" w:eastAsia="仿宋" w:cs="仿宋"/>
          <w:b/>
          <w:bCs w:val="0"/>
          <w:color w:val="auto"/>
          <w:sz w:val="40"/>
          <w:szCs w:val="40"/>
          <w:highlight w:val="none"/>
          <w:shd w:val="clear" w:color="auto" w:fill="auto"/>
          <w:lang w:val="en-US" w:eastAsia="zh-CN"/>
        </w:rPr>
        <w:t>一</w:t>
      </w:r>
      <w:bookmarkEnd w:id="267"/>
      <w:bookmarkEnd w:id="268"/>
      <w:bookmarkEnd w:id="269"/>
      <w:bookmarkEnd w:id="270"/>
      <w:bookmarkEnd w:id="271"/>
      <w:bookmarkEnd w:id="272"/>
    </w:p>
    <w:p w14:paraId="3BC56313">
      <w:pPr>
        <w:keepNext w:val="0"/>
        <w:keepLines w:val="0"/>
        <w:pageBreakBefore w:val="0"/>
        <w:widowControl w:val="0"/>
        <w:kinsoku/>
        <w:wordWrap/>
        <w:overflowPunct/>
        <w:topLinePunct w:val="0"/>
        <w:autoSpaceDE/>
        <w:autoSpaceDN/>
        <w:bidi w:val="0"/>
        <w:adjustRightInd w:val="0"/>
        <w:snapToGrid w:val="0"/>
        <w:spacing w:before="241" w:line="240" w:lineRule="auto"/>
        <w:ind w:left="0" w:right="0" w:rightChars="0" w:firstLine="503" w:firstLineChars="179"/>
        <w:jc w:val="center"/>
        <w:textAlignment w:val="auto"/>
        <w:rPr>
          <w:rFonts w:hint="default" w:ascii="仿宋" w:hAnsi="仿宋" w:eastAsia="仿宋" w:cs="仿宋"/>
          <w:b/>
          <w:bCs/>
          <w:color w:val="auto"/>
          <w:spacing w:val="-4"/>
          <w:position w:val="21"/>
          <w:sz w:val="32"/>
          <w:szCs w:val="32"/>
          <w:highlight w:val="none"/>
          <w:lang w:val="en-US" w:eastAsia="zh-CN"/>
        </w:rPr>
      </w:pPr>
      <w:r>
        <w:rPr>
          <w:rFonts w:hint="eastAsia" w:ascii="宋体" w:hAnsi="宋体" w:cs="宋体"/>
          <w:b/>
          <w:bCs/>
          <w:color w:val="auto"/>
          <w:sz w:val="28"/>
          <w:szCs w:val="28"/>
          <w:highlight w:val="none"/>
          <w:u w:val="single"/>
          <w:lang w:val="en-US" w:eastAsia="zh-CN"/>
        </w:rPr>
        <w:t>XXXXXXXX工程</w:t>
      </w:r>
      <w:r>
        <w:rPr>
          <w:rFonts w:hint="eastAsia" w:ascii="宋体" w:hAnsi="宋体" w:eastAsia="宋体" w:cs="宋体"/>
          <w:b/>
          <w:bCs/>
          <w:color w:val="auto"/>
          <w:sz w:val="28"/>
          <w:szCs w:val="28"/>
          <w:highlight w:val="none"/>
        </w:rPr>
        <w:t>结算资料目录</w:t>
      </w:r>
      <w:r>
        <w:rPr>
          <w:rFonts w:hint="eastAsia" w:ascii="宋体" w:hAnsi="宋体" w:cs="宋体"/>
          <w:b/>
          <w:bCs/>
          <w:color w:val="auto"/>
          <w:sz w:val="36"/>
          <w:szCs w:val="36"/>
          <w:highlight w:val="none"/>
          <w:lang w:val="en-US" w:eastAsia="zh-CN"/>
        </w:rPr>
        <w:t xml:space="preserve">   </w:t>
      </w:r>
      <w:r>
        <w:rPr>
          <w:rFonts w:hint="eastAsia" w:ascii="宋体" w:hAnsi="宋体" w:cs="宋体"/>
          <w:color w:val="auto"/>
          <w:sz w:val="36"/>
          <w:szCs w:val="36"/>
          <w:highlight w:val="none"/>
          <w:lang w:val="en-US" w:eastAsia="zh-CN"/>
        </w:rPr>
        <w:t xml:space="preserve">   </w:t>
      </w:r>
    </w:p>
    <w:p w14:paraId="7101A1B7">
      <w:pPr>
        <w:keepNext w:val="0"/>
        <w:keepLines w:val="0"/>
        <w:pageBreakBefore w:val="0"/>
        <w:widowControl w:val="0"/>
        <w:kinsoku/>
        <w:wordWrap/>
        <w:overflowPunct/>
        <w:topLinePunct w:val="0"/>
        <w:autoSpaceDE/>
        <w:autoSpaceDN/>
        <w:bidi w:val="0"/>
        <w:spacing w:line="240" w:lineRule="auto"/>
        <w:ind w:firstLine="393" w:firstLineChars="179"/>
        <w:textAlignment w:val="auto"/>
        <w:rPr>
          <w:rFonts w:hint="eastAsia"/>
          <w:color w:val="auto"/>
          <w:sz w:val="24"/>
          <w:highlight w:val="none"/>
          <w:u w:val="single"/>
          <w:lang w:eastAsia="zh-CN"/>
        </w:rPr>
      </w:pPr>
      <w:r>
        <w:rPr>
          <w:rFonts w:hint="eastAsia"/>
          <w:color w:val="auto"/>
          <w:sz w:val="22"/>
          <w:szCs w:val="21"/>
          <w:highlight w:val="none"/>
        </w:rPr>
        <w:t>填表日期:</w:t>
      </w:r>
      <w:r>
        <w:rPr>
          <w:rFonts w:hint="eastAsia"/>
          <w:color w:val="auto"/>
          <w:sz w:val="22"/>
          <w:szCs w:val="21"/>
          <w:highlight w:val="none"/>
          <w:u w:val="single"/>
        </w:rPr>
        <w:t xml:space="preserve"> </w:t>
      </w:r>
      <w:r>
        <w:rPr>
          <w:rFonts w:hint="eastAsia"/>
          <w:color w:val="auto"/>
          <w:sz w:val="22"/>
          <w:szCs w:val="21"/>
          <w:highlight w:val="none"/>
          <w:u w:val="single"/>
          <w:lang w:val="en-US" w:eastAsia="zh-CN"/>
        </w:rPr>
        <w:t xml:space="preserve">     </w:t>
      </w:r>
      <w:r>
        <w:rPr>
          <w:rFonts w:hint="eastAsia"/>
          <w:color w:val="auto"/>
          <w:sz w:val="22"/>
          <w:szCs w:val="21"/>
          <w:highlight w:val="none"/>
          <w:u w:val="single"/>
          <w:lang w:eastAsia="zh-CN"/>
        </w:rPr>
        <w:t>年</w:t>
      </w:r>
      <w:r>
        <w:rPr>
          <w:rFonts w:hint="eastAsia"/>
          <w:color w:val="auto"/>
          <w:sz w:val="22"/>
          <w:szCs w:val="21"/>
          <w:highlight w:val="none"/>
          <w:u w:val="single"/>
          <w:lang w:val="en-US" w:eastAsia="zh-CN"/>
        </w:rPr>
        <w:t xml:space="preserve">    </w:t>
      </w:r>
      <w:r>
        <w:rPr>
          <w:rFonts w:hint="eastAsia"/>
          <w:color w:val="auto"/>
          <w:sz w:val="22"/>
          <w:szCs w:val="21"/>
          <w:highlight w:val="none"/>
          <w:u w:val="single"/>
          <w:lang w:eastAsia="zh-CN"/>
        </w:rPr>
        <w:t>月</w:t>
      </w:r>
      <w:r>
        <w:rPr>
          <w:rFonts w:hint="eastAsia"/>
          <w:color w:val="auto"/>
          <w:sz w:val="22"/>
          <w:szCs w:val="21"/>
          <w:highlight w:val="none"/>
          <w:u w:val="single"/>
          <w:lang w:val="en-US" w:eastAsia="zh-CN"/>
        </w:rPr>
        <w:t xml:space="preserve">    </w:t>
      </w:r>
      <w:r>
        <w:rPr>
          <w:rFonts w:hint="eastAsia"/>
          <w:color w:val="auto"/>
          <w:sz w:val="22"/>
          <w:szCs w:val="21"/>
          <w:highlight w:val="none"/>
          <w:u w:val="single"/>
          <w:lang w:eastAsia="zh-CN"/>
        </w:rPr>
        <w:t>日</w:t>
      </w:r>
      <w:r>
        <w:rPr>
          <w:rFonts w:hint="eastAsia"/>
          <w:color w:val="auto"/>
          <w:sz w:val="22"/>
          <w:szCs w:val="21"/>
          <w:highlight w:val="none"/>
        </w:rPr>
        <w:t xml:space="preserve">  </w:t>
      </w:r>
      <w:r>
        <w:rPr>
          <w:rFonts w:hint="eastAsia"/>
          <w:color w:val="auto"/>
          <w:sz w:val="24"/>
          <w:highlight w:val="none"/>
        </w:rPr>
        <w:t xml:space="preserve">           </w:t>
      </w:r>
    </w:p>
    <w:tbl>
      <w:tblPr>
        <w:tblStyle w:val="15"/>
        <w:tblW w:w="9015" w:type="dxa"/>
        <w:tblInd w:w="-18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20"/>
        <w:gridCol w:w="510"/>
        <w:gridCol w:w="1739"/>
        <w:gridCol w:w="2668"/>
        <w:gridCol w:w="760"/>
        <w:gridCol w:w="2318"/>
      </w:tblGrid>
      <w:tr w14:paraId="49E969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exact"/>
        </w:trPr>
        <w:tc>
          <w:tcPr>
            <w:tcW w:w="1530" w:type="dxa"/>
            <w:gridSpan w:val="2"/>
            <w:tcBorders>
              <w:top w:val="single" w:color="auto" w:sz="12" w:space="0"/>
              <w:bottom w:val="single" w:color="auto" w:sz="12" w:space="0"/>
            </w:tcBorders>
            <w:noWrap w:val="0"/>
            <w:vAlign w:val="center"/>
          </w:tcPr>
          <w:p w14:paraId="406F29F6">
            <w:pPr>
              <w:keepNext w:val="0"/>
              <w:keepLines w:val="0"/>
              <w:pageBreakBefore w:val="0"/>
              <w:widowControl w:val="0"/>
              <w:kinsoku/>
              <w:wordWrap/>
              <w:overflowPunct/>
              <w:topLinePunct w:val="0"/>
              <w:autoSpaceDE/>
              <w:autoSpaceDN/>
              <w:bidi w:val="0"/>
              <w:spacing w:line="240" w:lineRule="auto"/>
              <w:jc w:val="both"/>
              <w:textAlignment w:val="auto"/>
              <w:rPr>
                <w:rFonts w:hint="eastAsia"/>
                <w:b/>
                <w:color w:val="auto"/>
                <w:sz w:val="24"/>
                <w:highlight w:val="none"/>
              </w:rPr>
            </w:pPr>
            <w:r>
              <w:rPr>
                <w:rFonts w:hint="eastAsia"/>
                <w:b/>
                <w:color w:val="auto"/>
                <w:sz w:val="24"/>
                <w:highlight w:val="none"/>
              </w:rPr>
              <w:t>序号</w:t>
            </w:r>
          </w:p>
        </w:tc>
        <w:tc>
          <w:tcPr>
            <w:tcW w:w="4407" w:type="dxa"/>
            <w:gridSpan w:val="2"/>
            <w:tcBorders>
              <w:top w:val="single" w:color="auto" w:sz="12" w:space="0"/>
              <w:bottom w:val="single" w:color="auto" w:sz="12" w:space="0"/>
            </w:tcBorders>
            <w:noWrap w:val="0"/>
            <w:vAlign w:val="center"/>
          </w:tcPr>
          <w:p w14:paraId="152A53E4">
            <w:pPr>
              <w:keepNext w:val="0"/>
              <w:keepLines w:val="0"/>
              <w:pageBreakBefore w:val="0"/>
              <w:widowControl w:val="0"/>
              <w:kinsoku/>
              <w:wordWrap/>
              <w:overflowPunct/>
              <w:topLinePunct w:val="0"/>
              <w:autoSpaceDE/>
              <w:autoSpaceDN/>
              <w:bidi w:val="0"/>
              <w:spacing w:line="240" w:lineRule="auto"/>
              <w:ind w:firstLine="431" w:firstLineChars="179"/>
              <w:jc w:val="both"/>
              <w:textAlignment w:val="auto"/>
              <w:rPr>
                <w:rFonts w:hint="eastAsia"/>
                <w:b/>
                <w:color w:val="auto"/>
                <w:sz w:val="24"/>
                <w:highlight w:val="none"/>
              </w:rPr>
            </w:pPr>
            <w:r>
              <w:rPr>
                <w:rFonts w:hint="eastAsia"/>
                <w:b/>
                <w:color w:val="auto"/>
                <w:sz w:val="24"/>
                <w:highlight w:val="none"/>
              </w:rPr>
              <w:t>资料目录及内容</w:t>
            </w:r>
          </w:p>
        </w:tc>
        <w:tc>
          <w:tcPr>
            <w:tcW w:w="760" w:type="dxa"/>
            <w:tcBorders>
              <w:top w:val="single" w:color="auto" w:sz="12" w:space="0"/>
              <w:bottom w:val="single" w:color="auto" w:sz="12" w:space="0"/>
            </w:tcBorders>
            <w:noWrap w:val="0"/>
            <w:vAlign w:val="center"/>
          </w:tcPr>
          <w:p w14:paraId="0D8BF206">
            <w:pPr>
              <w:keepNext w:val="0"/>
              <w:keepLines w:val="0"/>
              <w:pageBreakBefore w:val="0"/>
              <w:widowControl w:val="0"/>
              <w:kinsoku/>
              <w:wordWrap/>
              <w:overflowPunct/>
              <w:topLinePunct w:val="0"/>
              <w:autoSpaceDE/>
              <w:autoSpaceDN/>
              <w:bidi w:val="0"/>
              <w:spacing w:line="240" w:lineRule="auto"/>
              <w:jc w:val="both"/>
              <w:textAlignment w:val="auto"/>
              <w:rPr>
                <w:rFonts w:hint="eastAsia"/>
                <w:b/>
                <w:color w:val="auto"/>
                <w:sz w:val="24"/>
                <w:highlight w:val="none"/>
              </w:rPr>
            </w:pPr>
            <w:r>
              <w:rPr>
                <w:rFonts w:hint="eastAsia"/>
                <w:b/>
                <w:color w:val="auto"/>
                <w:sz w:val="24"/>
                <w:highlight w:val="none"/>
                <w:lang w:eastAsia="zh-CN"/>
              </w:rPr>
              <w:t>份</w:t>
            </w:r>
            <w:r>
              <w:rPr>
                <w:rFonts w:hint="eastAsia"/>
                <w:b/>
                <w:color w:val="auto"/>
                <w:sz w:val="24"/>
                <w:highlight w:val="none"/>
              </w:rPr>
              <w:t>数</w:t>
            </w:r>
          </w:p>
        </w:tc>
        <w:tc>
          <w:tcPr>
            <w:tcW w:w="2318" w:type="dxa"/>
            <w:tcBorders>
              <w:top w:val="single" w:color="auto" w:sz="12" w:space="0"/>
              <w:bottom w:val="single" w:color="auto" w:sz="12" w:space="0"/>
            </w:tcBorders>
            <w:noWrap w:val="0"/>
            <w:vAlign w:val="center"/>
          </w:tcPr>
          <w:p w14:paraId="768C9864">
            <w:pPr>
              <w:keepNext w:val="0"/>
              <w:keepLines w:val="0"/>
              <w:pageBreakBefore w:val="0"/>
              <w:widowControl w:val="0"/>
              <w:kinsoku/>
              <w:wordWrap/>
              <w:overflowPunct/>
              <w:topLinePunct w:val="0"/>
              <w:autoSpaceDE/>
              <w:autoSpaceDN/>
              <w:bidi w:val="0"/>
              <w:spacing w:line="240" w:lineRule="auto"/>
              <w:jc w:val="both"/>
              <w:textAlignment w:val="auto"/>
              <w:rPr>
                <w:rFonts w:hint="eastAsia"/>
                <w:b/>
                <w:color w:val="auto"/>
                <w:sz w:val="24"/>
                <w:highlight w:val="none"/>
              </w:rPr>
            </w:pPr>
            <w:r>
              <w:rPr>
                <w:rFonts w:hint="eastAsia"/>
                <w:b/>
                <w:color w:val="auto"/>
                <w:sz w:val="24"/>
                <w:highlight w:val="none"/>
              </w:rPr>
              <w:t>备       注</w:t>
            </w:r>
          </w:p>
        </w:tc>
      </w:tr>
      <w:tr w14:paraId="52FA9C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9015" w:type="dxa"/>
            <w:gridSpan w:val="6"/>
            <w:tcBorders>
              <w:top w:val="single" w:color="auto" w:sz="12" w:space="0"/>
              <w:bottom w:val="single" w:color="auto" w:sz="8" w:space="0"/>
            </w:tcBorders>
            <w:noWrap w:val="0"/>
            <w:vAlign w:val="center"/>
          </w:tcPr>
          <w:p w14:paraId="3DAFE43F">
            <w:pPr>
              <w:keepNext w:val="0"/>
              <w:keepLines w:val="0"/>
              <w:pageBreakBefore w:val="0"/>
              <w:widowControl w:val="0"/>
              <w:kinsoku/>
              <w:wordWrap/>
              <w:overflowPunct/>
              <w:topLinePunct w:val="0"/>
              <w:autoSpaceDE/>
              <w:autoSpaceDN/>
              <w:bidi w:val="0"/>
              <w:spacing w:line="240" w:lineRule="auto"/>
              <w:jc w:val="left"/>
              <w:textAlignment w:val="auto"/>
              <w:rPr>
                <w:rFonts w:hint="default"/>
                <w:color w:val="auto"/>
                <w:sz w:val="24"/>
                <w:highlight w:val="none"/>
                <w:lang w:val="en-US" w:eastAsia="zh-CN"/>
              </w:rPr>
            </w:pPr>
            <w:r>
              <w:rPr>
                <w:rFonts w:hint="eastAsia"/>
                <w:b/>
                <w:bCs/>
                <w:color w:val="auto"/>
                <w:sz w:val="24"/>
                <w:highlight w:val="none"/>
                <w:lang w:val="en-US" w:eastAsia="zh-CN"/>
              </w:rPr>
              <w:t>成本中心提供（正副本各一份）</w:t>
            </w:r>
          </w:p>
        </w:tc>
      </w:tr>
      <w:tr w14:paraId="2BAFEF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5" w:hRule="exact"/>
        </w:trPr>
        <w:tc>
          <w:tcPr>
            <w:tcW w:w="1530" w:type="dxa"/>
            <w:gridSpan w:val="2"/>
            <w:tcBorders>
              <w:top w:val="single" w:color="auto" w:sz="8" w:space="0"/>
              <w:bottom w:val="single" w:color="auto" w:sz="8" w:space="0"/>
            </w:tcBorders>
            <w:noWrap w:val="0"/>
            <w:vAlign w:val="center"/>
          </w:tcPr>
          <w:p w14:paraId="53E5BD1F">
            <w:pPr>
              <w:keepNext w:val="0"/>
              <w:keepLines w:val="0"/>
              <w:pageBreakBefore w:val="0"/>
              <w:widowControl w:val="0"/>
              <w:kinsoku/>
              <w:wordWrap/>
              <w:overflowPunct/>
              <w:topLinePunct w:val="0"/>
              <w:autoSpaceDE/>
              <w:autoSpaceDN/>
              <w:bidi w:val="0"/>
              <w:spacing w:line="240" w:lineRule="auto"/>
              <w:jc w:val="center"/>
              <w:textAlignment w:val="auto"/>
              <w:rPr>
                <w:rFonts w:hint="eastAsia" w:eastAsia="宋体"/>
                <w:b/>
                <w:color w:val="auto"/>
                <w:sz w:val="24"/>
                <w:highlight w:val="none"/>
                <w:lang w:eastAsia="zh-CN"/>
              </w:rPr>
            </w:pPr>
            <w:r>
              <w:rPr>
                <w:rFonts w:hint="eastAsia"/>
                <w:b w:val="0"/>
                <w:bCs/>
                <w:color w:val="auto"/>
                <w:sz w:val="24"/>
                <w:highlight w:val="none"/>
                <w:lang w:eastAsia="zh-CN"/>
              </w:rPr>
              <w:t>1</w:t>
            </w:r>
          </w:p>
        </w:tc>
        <w:tc>
          <w:tcPr>
            <w:tcW w:w="4407" w:type="dxa"/>
            <w:gridSpan w:val="2"/>
            <w:tcBorders>
              <w:top w:val="single" w:color="auto" w:sz="8" w:space="0"/>
              <w:bottom w:val="single" w:color="auto" w:sz="8" w:space="0"/>
            </w:tcBorders>
            <w:noWrap w:val="0"/>
            <w:vAlign w:val="top"/>
          </w:tcPr>
          <w:p w14:paraId="39543939">
            <w:pPr>
              <w:keepNext w:val="0"/>
              <w:keepLines w:val="0"/>
              <w:pageBreakBefore w:val="0"/>
              <w:widowControl w:val="0"/>
              <w:kinsoku/>
              <w:wordWrap/>
              <w:overflowPunct/>
              <w:topLinePunct w:val="0"/>
              <w:autoSpaceDE/>
              <w:autoSpaceDN/>
              <w:bidi w:val="0"/>
              <w:spacing w:line="240" w:lineRule="auto"/>
              <w:jc w:val="both"/>
              <w:textAlignment w:val="auto"/>
              <w:rPr>
                <w:rFonts w:hint="eastAsia" w:eastAsia="宋体"/>
                <w:b/>
                <w:color w:val="auto"/>
                <w:sz w:val="24"/>
                <w:highlight w:val="none"/>
                <w:lang w:eastAsia="zh-CN"/>
              </w:rPr>
            </w:pPr>
            <w:r>
              <w:rPr>
                <w:rFonts w:hint="eastAsia" w:eastAsia="宋体"/>
                <w:color w:val="auto"/>
                <w:kern w:val="2"/>
                <w:sz w:val="24"/>
                <w:highlight w:val="none"/>
                <w:lang w:val="en-US" w:eastAsia="zh-CN"/>
              </w:rPr>
              <w:t>结算资料目录</w:t>
            </w:r>
          </w:p>
        </w:tc>
        <w:tc>
          <w:tcPr>
            <w:tcW w:w="760" w:type="dxa"/>
            <w:tcBorders>
              <w:top w:val="single" w:color="auto" w:sz="8" w:space="0"/>
              <w:bottom w:val="single" w:color="auto" w:sz="8" w:space="0"/>
            </w:tcBorders>
            <w:noWrap w:val="0"/>
            <w:vAlign w:val="center"/>
          </w:tcPr>
          <w:p w14:paraId="08F677DE">
            <w:pPr>
              <w:keepNext w:val="0"/>
              <w:keepLines w:val="0"/>
              <w:pageBreakBefore w:val="0"/>
              <w:widowControl w:val="0"/>
              <w:kinsoku/>
              <w:wordWrap/>
              <w:overflowPunct/>
              <w:topLinePunct w:val="0"/>
              <w:autoSpaceDE/>
              <w:autoSpaceDN/>
              <w:bidi w:val="0"/>
              <w:spacing w:line="240" w:lineRule="auto"/>
              <w:jc w:val="center"/>
              <w:textAlignment w:val="auto"/>
              <w:rPr>
                <w:rFonts w:hint="eastAsia" w:eastAsia="宋体"/>
                <w:b/>
                <w:color w:val="auto"/>
                <w:sz w:val="24"/>
                <w:highlight w:val="none"/>
                <w:lang w:eastAsia="zh-CN"/>
              </w:rPr>
            </w:pPr>
            <w:r>
              <w:rPr>
                <w:rFonts w:hint="eastAsia"/>
                <w:b w:val="0"/>
                <w:bCs/>
                <w:color w:val="auto"/>
                <w:sz w:val="24"/>
                <w:highlight w:val="none"/>
                <w:lang w:eastAsia="zh-CN"/>
              </w:rPr>
              <w:t>1</w:t>
            </w:r>
          </w:p>
        </w:tc>
        <w:tc>
          <w:tcPr>
            <w:tcW w:w="2318" w:type="dxa"/>
            <w:tcBorders>
              <w:top w:val="single" w:color="auto" w:sz="8" w:space="0"/>
              <w:bottom w:val="single" w:color="auto" w:sz="8" w:space="0"/>
            </w:tcBorders>
            <w:noWrap w:val="0"/>
            <w:vAlign w:val="center"/>
          </w:tcPr>
          <w:p w14:paraId="2482E09D">
            <w:pPr>
              <w:keepNext w:val="0"/>
              <w:keepLines w:val="0"/>
              <w:pageBreakBefore w:val="0"/>
              <w:widowControl w:val="0"/>
              <w:kinsoku/>
              <w:wordWrap/>
              <w:overflowPunct/>
              <w:topLinePunct w:val="0"/>
              <w:autoSpaceDE/>
              <w:autoSpaceDN/>
              <w:bidi w:val="0"/>
              <w:spacing w:line="240" w:lineRule="auto"/>
              <w:ind w:firstLine="431" w:firstLineChars="179"/>
              <w:jc w:val="center"/>
              <w:textAlignment w:val="auto"/>
              <w:rPr>
                <w:rFonts w:hint="eastAsia" w:eastAsia="宋体"/>
                <w:b/>
                <w:color w:val="auto"/>
                <w:sz w:val="24"/>
                <w:highlight w:val="none"/>
                <w:lang w:val="en-US" w:eastAsia="zh-CN"/>
              </w:rPr>
            </w:pPr>
          </w:p>
        </w:tc>
      </w:tr>
      <w:tr w14:paraId="048E6C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trPr>
        <w:tc>
          <w:tcPr>
            <w:tcW w:w="1530" w:type="dxa"/>
            <w:gridSpan w:val="2"/>
            <w:tcBorders>
              <w:top w:val="single" w:color="auto" w:sz="8" w:space="0"/>
            </w:tcBorders>
            <w:noWrap w:val="0"/>
            <w:vAlign w:val="center"/>
          </w:tcPr>
          <w:p w14:paraId="47478A71">
            <w:pPr>
              <w:keepNext w:val="0"/>
              <w:keepLines w:val="0"/>
              <w:pageBreakBefore w:val="0"/>
              <w:widowControl w:val="0"/>
              <w:kinsoku/>
              <w:wordWrap/>
              <w:overflowPunct/>
              <w:topLinePunct w:val="0"/>
              <w:autoSpaceDE/>
              <w:autoSpaceDN/>
              <w:bidi w:val="0"/>
              <w:spacing w:line="240" w:lineRule="auto"/>
              <w:jc w:val="center"/>
              <w:textAlignment w:val="auto"/>
              <w:rPr>
                <w:rFonts w:hint="eastAsia" w:eastAsia="宋体"/>
                <w:color w:val="auto"/>
                <w:sz w:val="24"/>
                <w:highlight w:val="none"/>
                <w:lang w:eastAsia="zh-CN"/>
              </w:rPr>
            </w:pPr>
            <w:r>
              <w:rPr>
                <w:rFonts w:hint="eastAsia"/>
                <w:color w:val="auto"/>
                <w:sz w:val="24"/>
                <w:highlight w:val="none"/>
                <w:lang w:eastAsia="zh-CN"/>
              </w:rPr>
              <w:t>2</w:t>
            </w:r>
          </w:p>
        </w:tc>
        <w:tc>
          <w:tcPr>
            <w:tcW w:w="4407" w:type="dxa"/>
            <w:gridSpan w:val="2"/>
            <w:tcBorders>
              <w:top w:val="single" w:color="auto" w:sz="8" w:space="0"/>
            </w:tcBorders>
            <w:noWrap w:val="0"/>
            <w:vAlign w:val="top"/>
          </w:tcPr>
          <w:p w14:paraId="12099E66">
            <w:pPr>
              <w:keepNext w:val="0"/>
              <w:keepLines w:val="0"/>
              <w:pageBreakBefore w:val="0"/>
              <w:widowControl w:val="0"/>
              <w:kinsoku/>
              <w:wordWrap/>
              <w:overflowPunct/>
              <w:topLinePunct w:val="0"/>
              <w:autoSpaceDE/>
              <w:autoSpaceDN/>
              <w:bidi w:val="0"/>
              <w:spacing w:line="240" w:lineRule="auto"/>
              <w:jc w:val="both"/>
              <w:textAlignment w:val="auto"/>
              <w:rPr>
                <w:rFonts w:hint="eastAsia" w:eastAsia="宋体"/>
                <w:color w:val="auto"/>
                <w:kern w:val="2"/>
                <w:sz w:val="24"/>
                <w:highlight w:val="none"/>
                <w:lang w:val="en-US" w:eastAsia="zh-CN"/>
              </w:rPr>
            </w:pPr>
            <w:r>
              <w:rPr>
                <w:rFonts w:hint="eastAsia"/>
                <w:color w:val="auto"/>
                <w:sz w:val="24"/>
                <w:highlight w:val="none"/>
                <w:lang w:eastAsia="zh-CN"/>
              </w:rPr>
              <w:t>结算确认书</w:t>
            </w:r>
          </w:p>
        </w:tc>
        <w:tc>
          <w:tcPr>
            <w:tcW w:w="760" w:type="dxa"/>
            <w:tcBorders>
              <w:top w:val="single" w:color="auto" w:sz="8" w:space="0"/>
            </w:tcBorders>
            <w:noWrap w:val="0"/>
            <w:vAlign w:val="center"/>
          </w:tcPr>
          <w:p w14:paraId="51349487">
            <w:pPr>
              <w:keepNext w:val="0"/>
              <w:keepLines w:val="0"/>
              <w:pageBreakBefore w:val="0"/>
              <w:widowControl w:val="0"/>
              <w:kinsoku/>
              <w:wordWrap/>
              <w:overflowPunct/>
              <w:topLinePunct w:val="0"/>
              <w:autoSpaceDE/>
              <w:autoSpaceDN/>
              <w:bidi w:val="0"/>
              <w:spacing w:line="240" w:lineRule="auto"/>
              <w:jc w:val="center"/>
              <w:textAlignment w:val="auto"/>
              <w:rPr>
                <w:rFonts w:hint="eastAsia"/>
                <w:color w:val="auto"/>
                <w:sz w:val="24"/>
                <w:highlight w:val="none"/>
                <w:lang w:eastAsia="zh-CN"/>
              </w:rPr>
            </w:pPr>
            <w:r>
              <w:rPr>
                <w:rFonts w:hint="eastAsia"/>
                <w:color w:val="auto"/>
                <w:sz w:val="24"/>
                <w:highlight w:val="none"/>
                <w:lang w:eastAsia="zh-CN"/>
              </w:rPr>
              <w:t>1</w:t>
            </w:r>
          </w:p>
        </w:tc>
        <w:tc>
          <w:tcPr>
            <w:tcW w:w="2318" w:type="dxa"/>
            <w:tcBorders>
              <w:top w:val="single" w:color="auto" w:sz="8" w:space="0"/>
            </w:tcBorders>
            <w:noWrap w:val="0"/>
            <w:vAlign w:val="center"/>
          </w:tcPr>
          <w:p w14:paraId="1A823F6C">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lang w:eastAsia="zh-CN"/>
              </w:rPr>
            </w:pPr>
          </w:p>
        </w:tc>
      </w:tr>
      <w:tr w14:paraId="18F71D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trPr>
        <w:tc>
          <w:tcPr>
            <w:tcW w:w="1530" w:type="dxa"/>
            <w:gridSpan w:val="2"/>
            <w:tcBorders>
              <w:top w:val="nil"/>
            </w:tcBorders>
            <w:noWrap w:val="0"/>
            <w:vAlign w:val="center"/>
          </w:tcPr>
          <w:p w14:paraId="3D10C0CE">
            <w:pPr>
              <w:keepNext w:val="0"/>
              <w:keepLines w:val="0"/>
              <w:pageBreakBefore w:val="0"/>
              <w:widowControl w:val="0"/>
              <w:kinsoku/>
              <w:wordWrap/>
              <w:overflowPunct/>
              <w:topLinePunct w:val="0"/>
              <w:autoSpaceDE/>
              <w:autoSpaceDN/>
              <w:bidi w:val="0"/>
              <w:spacing w:line="240" w:lineRule="auto"/>
              <w:jc w:val="center"/>
              <w:textAlignment w:val="auto"/>
              <w:rPr>
                <w:rFonts w:hint="eastAsia" w:eastAsia="宋体"/>
                <w:color w:val="auto"/>
                <w:sz w:val="24"/>
                <w:highlight w:val="none"/>
                <w:lang w:eastAsia="zh-CN"/>
              </w:rPr>
            </w:pPr>
            <w:r>
              <w:rPr>
                <w:rFonts w:hint="eastAsia"/>
                <w:color w:val="auto"/>
                <w:sz w:val="24"/>
                <w:highlight w:val="none"/>
                <w:lang w:eastAsia="zh-CN"/>
              </w:rPr>
              <w:t>3</w:t>
            </w:r>
          </w:p>
        </w:tc>
        <w:tc>
          <w:tcPr>
            <w:tcW w:w="4407" w:type="dxa"/>
            <w:gridSpan w:val="2"/>
            <w:tcBorders>
              <w:top w:val="nil"/>
            </w:tcBorders>
            <w:noWrap w:val="0"/>
            <w:vAlign w:val="top"/>
          </w:tcPr>
          <w:p w14:paraId="747896A1">
            <w:pPr>
              <w:keepNext w:val="0"/>
              <w:keepLines w:val="0"/>
              <w:pageBreakBefore w:val="0"/>
              <w:widowControl w:val="0"/>
              <w:kinsoku/>
              <w:wordWrap/>
              <w:overflowPunct/>
              <w:topLinePunct w:val="0"/>
              <w:autoSpaceDE/>
              <w:autoSpaceDN/>
              <w:bidi w:val="0"/>
              <w:spacing w:line="240" w:lineRule="auto"/>
              <w:jc w:val="both"/>
              <w:textAlignment w:val="auto"/>
              <w:rPr>
                <w:rFonts w:hint="eastAsia" w:eastAsia="宋体"/>
                <w:color w:val="auto"/>
                <w:sz w:val="24"/>
                <w:highlight w:val="none"/>
                <w:lang w:val="en-US" w:eastAsia="zh-CN"/>
              </w:rPr>
            </w:pPr>
            <w:r>
              <w:rPr>
                <w:rFonts w:hint="eastAsia"/>
                <w:color w:val="auto"/>
                <w:sz w:val="24"/>
                <w:highlight w:val="none"/>
                <w:lang w:val="en-US" w:eastAsia="zh-CN"/>
              </w:rPr>
              <w:t>结算审核汇总表</w:t>
            </w:r>
          </w:p>
        </w:tc>
        <w:tc>
          <w:tcPr>
            <w:tcW w:w="760" w:type="dxa"/>
            <w:tcBorders>
              <w:top w:val="nil"/>
            </w:tcBorders>
            <w:noWrap w:val="0"/>
            <w:vAlign w:val="center"/>
          </w:tcPr>
          <w:p w14:paraId="7B8E2746">
            <w:pPr>
              <w:keepNext w:val="0"/>
              <w:keepLines w:val="0"/>
              <w:pageBreakBefore w:val="0"/>
              <w:widowControl w:val="0"/>
              <w:kinsoku/>
              <w:wordWrap/>
              <w:overflowPunct/>
              <w:topLinePunct w:val="0"/>
              <w:autoSpaceDE/>
              <w:autoSpaceDN/>
              <w:bidi w:val="0"/>
              <w:spacing w:line="240" w:lineRule="auto"/>
              <w:jc w:val="center"/>
              <w:textAlignment w:val="auto"/>
              <w:rPr>
                <w:rFonts w:hint="eastAsia"/>
                <w:color w:val="auto"/>
                <w:sz w:val="24"/>
                <w:highlight w:val="none"/>
                <w:lang w:eastAsia="zh-CN"/>
              </w:rPr>
            </w:pPr>
            <w:r>
              <w:rPr>
                <w:rFonts w:hint="eastAsia"/>
                <w:color w:val="auto"/>
                <w:sz w:val="24"/>
                <w:highlight w:val="none"/>
                <w:lang w:eastAsia="zh-CN"/>
              </w:rPr>
              <w:t>1</w:t>
            </w:r>
          </w:p>
        </w:tc>
        <w:tc>
          <w:tcPr>
            <w:tcW w:w="2318" w:type="dxa"/>
            <w:tcBorders>
              <w:top w:val="nil"/>
            </w:tcBorders>
            <w:noWrap w:val="0"/>
            <w:vAlign w:val="center"/>
          </w:tcPr>
          <w:p w14:paraId="3DEBA91A">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lang w:eastAsia="zh-CN"/>
              </w:rPr>
            </w:pPr>
          </w:p>
        </w:tc>
      </w:tr>
      <w:tr w14:paraId="02FFD8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exact"/>
        </w:trPr>
        <w:tc>
          <w:tcPr>
            <w:tcW w:w="1530" w:type="dxa"/>
            <w:gridSpan w:val="2"/>
            <w:tcBorders>
              <w:top w:val="nil"/>
            </w:tcBorders>
            <w:noWrap w:val="0"/>
            <w:vAlign w:val="center"/>
          </w:tcPr>
          <w:p w14:paraId="1219C26A">
            <w:pPr>
              <w:keepNext w:val="0"/>
              <w:keepLines w:val="0"/>
              <w:pageBreakBefore w:val="0"/>
              <w:widowControl w:val="0"/>
              <w:kinsoku/>
              <w:wordWrap/>
              <w:overflowPunct/>
              <w:topLinePunct w:val="0"/>
              <w:autoSpaceDE/>
              <w:autoSpaceDN/>
              <w:bidi w:val="0"/>
              <w:spacing w:line="240" w:lineRule="auto"/>
              <w:jc w:val="center"/>
              <w:textAlignment w:val="auto"/>
              <w:rPr>
                <w:rFonts w:hint="eastAsia"/>
                <w:color w:val="auto"/>
                <w:sz w:val="24"/>
                <w:highlight w:val="none"/>
                <w:lang w:val="en-US" w:eastAsia="zh-CN"/>
              </w:rPr>
            </w:pPr>
            <w:r>
              <w:rPr>
                <w:rFonts w:hint="eastAsia"/>
                <w:color w:val="auto"/>
                <w:sz w:val="24"/>
                <w:highlight w:val="none"/>
                <w:lang w:val="en-US" w:eastAsia="zh-CN"/>
              </w:rPr>
              <w:t>4</w:t>
            </w:r>
          </w:p>
          <w:p w14:paraId="7FA67C6D">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lang w:val="en-US" w:eastAsia="zh-CN"/>
              </w:rPr>
            </w:pPr>
          </w:p>
          <w:p w14:paraId="07569200">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c>
          <w:tcPr>
            <w:tcW w:w="4407" w:type="dxa"/>
            <w:gridSpan w:val="2"/>
            <w:tcBorders>
              <w:top w:val="nil"/>
            </w:tcBorders>
            <w:noWrap w:val="0"/>
            <w:vAlign w:val="top"/>
          </w:tcPr>
          <w:p w14:paraId="2AE471CE">
            <w:pPr>
              <w:keepNext w:val="0"/>
              <w:keepLines w:val="0"/>
              <w:pageBreakBefore w:val="0"/>
              <w:widowControl w:val="0"/>
              <w:kinsoku/>
              <w:wordWrap/>
              <w:overflowPunct/>
              <w:topLinePunct w:val="0"/>
              <w:autoSpaceDE/>
              <w:autoSpaceDN/>
              <w:bidi w:val="0"/>
              <w:spacing w:line="240" w:lineRule="auto"/>
              <w:jc w:val="both"/>
              <w:textAlignment w:val="auto"/>
              <w:rPr>
                <w:rFonts w:hint="eastAsia"/>
                <w:color w:val="auto"/>
                <w:sz w:val="24"/>
                <w:highlight w:val="none"/>
                <w:lang w:val="en-US" w:eastAsia="zh-CN"/>
              </w:rPr>
            </w:pPr>
            <w:r>
              <w:rPr>
                <w:rFonts w:hint="eastAsia"/>
                <w:color w:val="auto"/>
                <w:sz w:val="24"/>
                <w:highlight w:val="none"/>
                <w:lang w:val="en-US" w:eastAsia="zh-CN"/>
              </w:rPr>
              <w:t>审核结算书</w:t>
            </w:r>
          </w:p>
        </w:tc>
        <w:tc>
          <w:tcPr>
            <w:tcW w:w="760" w:type="dxa"/>
            <w:tcBorders>
              <w:top w:val="nil"/>
            </w:tcBorders>
            <w:noWrap w:val="0"/>
            <w:vAlign w:val="center"/>
          </w:tcPr>
          <w:p w14:paraId="041CFFBB">
            <w:pPr>
              <w:keepNext w:val="0"/>
              <w:keepLines w:val="0"/>
              <w:pageBreakBefore w:val="0"/>
              <w:widowControl w:val="0"/>
              <w:kinsoku/>
              <w:wordWrap/>
              <w:overflowPunct/>
              <w:topLinePunct w:val="0"/>
              <w:autoSpaceDE/>
              <w:autoSpaceDN/>
              <w:bidi w:val="0"/>
              <w:spacing w:line="240" w:lineRule="auto"/>
              <w:jc w:val="center"/>
              <w:textAlignment w:val="auto"/>
              <w:rPr>
                <w:rFonts w:hint="default"/>
                <w:color w:val="auto"/>
                <w:sz w:val="24"/>
                <w:highlight w:val="none"/>
                <w:lang w:val="en-US" w:eastAsia="zh-CN"/>
              </w:rPr>
            </w:pPr>
            <w:r>
              <w:rPr>
                <w:rFonts w:hint="eastAsia"/>
                <w:color w:val="auto"/>
                <w:sz w:val="24"/>
                <w:highlight w:val="none"/>
                <w:lang w:val="en-US" w:eastAsia="zh-CN"/>
              </w:rPr>
              <w:t>1</w:t>
            </w:r>
          </w:p>
        </w:tc>
        <w:tc>
          <w:tcPr>
            <w:tcW w:w="2318" w:type="dxa"/>
            <w:tcBorders>
              <w:top w:val="nil"/>
            </w:tcBorders>
            <w:noWrap w:val="0"/>
            <w:vAlign w:val="center"/>
          </w:tcPr>
          <w:p w14:paraId="5D070D08">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lang w:eastAsia="zh-CN"/>
              </w:rPr>
            </w:pPr>
          </w:p>
        </w:tc>
      </w:tr>
      <w:tr w14:paraId="062199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trPr>
        <w:tc>
          <w:tcPr>
            <w:tcW w:w="9015" w:type="dxa"/>
            <w:gridSpan w:val="6"/>
            <w:tcBorders>
              <w:top w:val="nil"/>
            </w:tcBorders>
            <w:noWrap w:val="0"/>
            <w:vAlign w:val="center"/>
          </w:tcPr>
          <w:p w14:paraId="3F41B5EF">
            <w:pPr>
              <w:keepNext w:val="0"/>
              <w:keepLines w:val="0"/>
              <w:pageBreakBefore w:val="0"/>
              <w:widowControl w:val="0"/>
              <w:kinsoku/>
              <w:wordWrap/>
              <w:overflowPunct/>
              <w:topLinePunct w:val="0"/>
              <w:autoSpaceDE/>
              <w:autoSpaceDN/>
              <w:bidi w:val="0"/>
              <w:spacing w:line="240" w:lineRule="auto"/>
              <w:jc w:val="left"/>
              <w:textAlignment w:val="auto"/>
              <w:rPr>
                <w:rFonts w:hint="default"/>
                <w:color w:val="auto"/>
                <w:sz w:val="24"/>
                <w:highlight w:val="none"/>
                <w:lang w:val="en-US" w:eastAsia="zh-CN"/>
              </w:rPr>
            </w:pPr>
            <w:r>
              <w:rPr>
                <w:rFonts w:hint="eastAsia"/>
                <w:b/>
                <w:bCs/>
                <w:color w:val="auto"/>
                <w:sz w:val="24"/>
                <w:highlight w:val="none"/>
                <w:lang w:val="en-US" w:eastAsia="zh-CN"/>
              </w:rPr>
              <w:t>分包单位提供（正副本各一份）</w:t>
            </w:r>
          </w:p>
        </w:tc>
      </w:tr>
      <w:tr w14:paraId="0372DA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trPr>
        <w:tc>
          <w:tcPr>
            <w:tcW w:w="1020" w:type="dxa"/>
            <w:vMerge w:val="restart"/>
            <w:tcBorders>
              <w:top w:val="nil"/>
            </w:tcBorders>
            <w:noWrap w:val="0"/>
            <w:vAlign w:val="center"/>
          </w:tcPr>
          <w:p w14:paraId="461B714E">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分包单位结算申请书</w:t>
            </w:r>
          </w:p>
        </w:tc>
        <w:tc>
          <w:tcPr>
            <w:tcW w:w="510" w:type="dxa"/>
            <w:tcBorders>
              <w:top w:val="nil"/>
            </w:tcBorders>
            <w:noWrap w:val="0"/>
            <w:vAlign w:val="center"/>
          </w:tcPr>
          <w:p w14:paraId="34629956">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1</w:t>
            </w:r>
          </w:p>
        </w:tc>
        <w:tc>
          <w:tcPr>
            <w:tcW w:w="4407" w:type="dxa"/>
            <w:gridSpan w:val="2"/>
            <w:tcBorders>
              <w:top w:val="nil"/>
            </w:tcBorders>
            <w:noWrap w:val="0"/>
            <w:vAlign w:val="center"/>
          </w:tcPr>
          <w:p w14:paraId="1FDEA73F">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封面</w:t>
            </w:r>
          </w:p>
        </w:tc>
        <w:tc>
          <w:tcPr>
            <w:tcW w:w="760" w:type="dxa"/>
            <w:tcBorders>
              <w:top w:val="nil"/>
            </w:tcBorders>
            <w:noWrap w:val="0"/>
            <w:vAlign w:val="center"/>
          </w:tcPr>
          <w:p w14:paraId="06BE8A0D">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665AEC3B">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r>
      <w:tr w14:paraId="686EC0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020" w:type="dxa"/>
            <w:vMerge w:val="continue"/>
            <w:noWrap w:val="0"/>
            <w:vAlign w:val="center"/>
          </w:tcPr>
          <w:p w14:paraId="0D497F87">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eastAsia="宋体"/>
                <w:color w:val="auto"/>
                <w:kern w:val="2"/>
                <w:sz w:val="24"/>
                <w:highlight w:val="none"/>
                <w:lang w:val="en-US" w:eastAsia="zh-CN"/>
              </w:rPr>
            </w:pPr>
          </w:p>
        </w:tc>
        <w:tc>
          <w:tcPr>
            <w:tcW w:w="510" w:type="dxa"/>
            <w:tcBorders>
              <w:top w:val="nil"/>
            </w:tcBorders>
            <w:noWrap w:val="0"/>
            <w:vAlign w:val="center"/>
          </w:tcPr>
          <w:p w14:paraId="54D2385F">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2</w:t>
            </w:r>
          </w:p>
        </w:tc>
        <w:tc>
          <w:tcPr>
            <w:tcW w:w="4407" w:type="dxa"/>
            <w:gridSpan w:val="2"/>
            <w:tcBorders>
              <w:top w:val="nil"/>
            </w:tcBorders>
            <w:noWrap w:val="0"/>
            <w:vAlign w:val="center"/>
          </w:tcPr>
          <w:p w14:paraId="5AE34A0B">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目录</w:t>
            </w:r>
          </w:p>
        </w:tc>
        <w:tc>
          <w:tcPr>
            <w:tcW w:w="760" w:type="dxa"/>
            <w:tcBorders>
              <w:top w:val="nil"/>
            </w:tcBorders>
            <w:noWrap w:val="0"/>
            <w:vAlign w:val="center"/>
          </w:tcPr>
          <w:p w14:paraId="208BB8D4">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270A25BE">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lang w:val="en-US" w:eastAsia="zh-CN"/>
              </w:rPr>
            </w:pPr>
          </w:p>
        </w:tc>
      </w:tr>
      <w:tr w14:paraId="6218DE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020" w:type="dxa"/>
            <w:vMerge w:val="continue"/>
            <w:noWrap w:val="0"/>
            <w:vAlign w:val="center"/>
          </w:tcPr>
          <w:p w14:paraId="1C2A77AE">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eastAsia="宋体"/>
                <w:color w:val="auto"/>
                <w:kern w:val="2"/>
                <w:sz w:val="24"/>
                <w:highlight w:val="none"/>
                <w:lang w:val="en-US" w:eastAsia="zh-CN"/>
              </w:rPr>
            </w:pPr>
          </w:p>
        </w:tc>
        <w:tc>
          <w:tcPr>
            <w:tcW w:w="510" w:type="dxa"/>
            <w:tcBorders>
              <w:top w:val="nil"/>
            </w:tcBorders>
            <w:noWrap w:val="0"/>
            <w:vAlign w:val="center"/>
          </w:tcPr>
          <w:p w14:paraId="1A089EBD">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3</w:t>
            </w:r>
          </w:p>
        </w:tc>
        <w:tc>
          <w:tcPr>
            <w:tcW w:w="4407" w:type="dxa"/>
            <w:gridSpan w:val="2"/>
            <w:tcBorders>
              <w:top w:val="nil"/>
            </w:tcBorders>
            <w:noWrap w:val="0"/>
            <w:vAlign w:val="center"/>
          </w:tcPr>
          <w:p w14:paraId="4619F2D5">
            <w:pPr>
              <w:keepNext w:val="0"/>
              <w:keepLines w:val="0"/>
              <w:pageBreakBefore w:val="0"/>
              <w:widowControl w:val="0"/>
              <w:kinsoku/>
              <w:wordWrap/>
              <w:overflowPunct/>
              <w:topLinePunct w:val="0"/>
              <w:autoSpaceDE/>
              <w:autoSpaceDN/>
              <w:bidi w:val="0"/>
              <w:spacing w:line="240" w:lineRule="auto"/>
              <w:jc w:val="both"/>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结算申请表</w:t>
            </w:r>
          </w:p>
        </w:tc>
        <w:tc>
          <w:tcPr>
            <w:tcW w:w="760" w:type="dxa"/>
            <w:tcBorders>
              <w:top w:val="nil"/>
            </w:tcBorders>
            <w:noWrap w:val="0"/>
            <w:vAlign w:val="center"/>
          </w:tcPr>
          <w:p w14:paraId="6DD9D574">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6CBCCABF">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eastAsia="宋体"/>
                <w:color w:val="auto"/>
                <w:kern w:val="2"/>
                <w:sz w:val="24"/>
                <w:highlight w:val="none"/>
                <w:lang w:val="en-US" w:eastAsia="zh-CN"/>
              </w:rPr>
            </w:pPr>
          </w:p>
        </w:tc>
      </w:tr>
      <w:tr w14:paraId="6CB168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020" w:type="dxa"/>
            <w:vMerge w:val="continue"/>
            <w:noWrap w:val="0"/>
            <w:vAlign w:val="center"/>
          </w:tcPr>
          <w:p w14:paraId="77811568">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c>
          <w:tcPr>
            <w:tcW w:w="510" w:type="dxa"/>
            <w:tcBorders>
              <w:top w:val="nil"/>
            </w:tcBorders>
            <w:noWrap w:val="0"/>
            <w:vAlign w:val="center"/>
          </w:tcPr>
          <w:p w14:paraId="2228A695">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4</w:t>
            </w:r>
          </w:p>
        </w:tc>
        <w:tc>
          <w:tcPr>
            <w:tcW w:w="4407" w:type="dxa"/>
            <w:gridSpan w:val="2"/>
            <w:tcBorders>
              <w:top w:val="nil"/>
            </w:tcBorders>
            <w:noWrap w:val="0"/>
            <w:vAlign w:val="center"/>
          </w:tcPr>
          <w:p w14:paraId="5E86F147">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工程结算资料审查表</w:t>
            </w:r>
          </w:p>
        </w:tc>
        <w:tc>
          <w:tcPr>
            <w:tcW w:w="760" w:type="dxa"/>
            <w:tcBorders>
              <w:top w:val="nil"/>
            </w:tcBorders>
            <w:noWrap w:val="0"/>
            <w:vAlign w:val="center"/>
          </w:tcPr>
          <w:p w14:paraId="05D5707D">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097B273D">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lang w:val="en-US" w:eastAsia="zh-CN"/>
              </w:rPr>
            </w:pPr>
          </w:p>
        </w:tc>
      </w:tr>
      <w:tr w14:paraId="554E77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020" w:type="dxa"/>
            <w:vMerge w:val="continue"/>
            <w:noWrap w:val="0"/>
            <w:vAlign w:val="center"/>
          </w:tcPr>
          <w:p w14:paraId="1A54DEE3">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c>
          <w:tcPr>
            <w:tcW w:w="510" w:type="dxa"/>
            <w:tcBorders>
              <w:top w:val="nil"/>
            </w:tcBorders>
            <w:noWrap w:val="0"/>
            <w:vAlign w:val="center"/>
          </w:tcPr>
          <w:p w14:paraId="3FD0E454">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5</w:t>
            </w:r>
          </w:p>
        </w:tc>
        <w:tc>
          <w:tcPr>
            <w:tcW w:w="4407" w:type="dxa"/>
            <w:gridSpan w:val="2"/>
            <w:tcBorders>
              <w:top w:val="nil"/>
            </w:tcBorders>
            <w:noWrap w:val="0"/>
            <w:vAlign w:val="center"/>
          </w:tcPr>
          <w:p w14:paraId="73B1E406">
            <w:pPr>
              <w:keepNext w:val="0"/>
              <w:keepLines w:val="0"/>
              <w:pageBreakBefore w:val="0"/>
              <w:widowControl w:val="0"/>
              <w:kinsoku/>
              <w:wordWrap/>
              <w:overflowPunct/>
              <w:topLinePunct w:val="0"/>
              <w:autoSpaceDE/>
              <w:autoSpaceDN/>
              <w:bidi w:val="0"/>
              <w:spacing w:line="240" w:lineRule="auto"/>
              <w:jc w:val="both"/>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送审承诺书</w:t>
            </w:r>
          </w:p>
        </w:tc>
        <w:tc>
          <w:tcPr>
            <w:tcW w:w="760" w:type="dxa"/>
            <w:tcBorders>
              <w:top w:val="nil"/>
            </w:tcBorders>
            <w:noWrap w:val="0"/>
            <w:vAlign w:val="center"/>
          </w:tcPr>
          <w:p w14:paraId="50DF529F">
            <w:pPr>
              <w:keepNext w:val="0"/>
              <w:keepLines w:val="0"/>
              <w:pageBreakBefore w:val="0"/>
              <w:widowControl w:val="0"/>
              <w:kinsoku/>
              <w:wordWrap/>
              <w:overflowPunct/>
              <w:topLinePunct w:val="0"/>
              <w:autoSpaceDE/>
              <w:autoSpaceDN/>
              <w:bidi w:val="0"/>
              <w:spacing w:line="240" w:lineRule="auto"/>
              <w:jc w:val="center"/>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7EC27DC7">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eastAsia="宋体"/>
                <w:color w:val="auto"/>
                <w:kern w:val="2"/>
                <w:sz w:val="24"/>
                <w:highlight w:val="none"/>
                <w:lang w:val="en-US" w:eastAsia="zh-CN"/>
              </w:rPr>
            </w:pPr>
          </w:p>
        </w:tc>
      </w:tr>
      <w:tr w14:paraId="6A1600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020" w:type="dxa"/>
            <w:vMerge w:val="continue"/>
            <w:noWrap w:val="0"/>
            <w:vAlign w:val="center"/>
          </w:tcPr>
          <w:p w14:paraId="0B7882AF">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c>
          <w:tcPr>
            <w:tcW w:w="510" w:type="dxa"/>
            <w:tcBorders>
              <w:top w:val="nil"/>
            </w:tcBorders>
            <w:noWrap w:val="0"/>
            <w:vAlign w:val="center"/>
          </w:tcPr>
          <w:p w14:paraId="18F2BABD">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6</w:t>
            </w:r>
          </w:p>
        </w:tc>
        <w:tc>
          <w:tcPr>
            <w:tcW w:w="4407" w:type="dxa"/>
            <w:gridSpan w:val="2"/>
            <w:tcBorders>
              <w:top w:val="nil"/>
            </w:tcBorders>
            <w:noWrap w:val="0"/>
            <w:vAlign w:val="center"/>
          </w:tcPr>
          <w:p w14:paraId="539FF626">
            <w:pPr>
              <w:keepNext w:val="0"/>
              <w:keepLines w:val="0"/>
              <w:pageBreakBefore w:val="0"/>
              <w:widowControl w:val="0"/>
              <w:kinsoku/>
              <w:wordWrap/>
              <w:overflowPunct/>
              <w:topLinePunct w:val="0"/>
              <w:autoSpaceDE/>
              <w:autoSpaceDN/>
              <w:bidi w:val="0"/>
              <w:spacing w:line="240" w:lineRule="auto"/>
              <w:jc w:val="both"/>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结算承诺书</w:t>
            </w:r>
          </w:p>
        </w:tc>
        <w:tc>
          <w:tcPr>
            <w:tcW w:w="760" w:type="dxa"/>
            <w:tcBorders>
              <w:top w:val="nil"/>
            </w:tcBorders>
            <w:noWrap w:val="0"/>
            <w:vAlign w:val="center"/>
          </w:tcPr>
          <w:p w14:paraId="066114E3">
            <w:pPr>
              <w:keepNext w:val="0"/>
              <w:keepLines w:val="0"/>
              <w:pageBreakBefore w:val="0"/>
              <w:widowControl w:val="0"/>
              <w:kinsoku/>
              <w:wordWrap/>
              <w:overflowPunct/>
              <w:topLinePunct w:val="0"/>
              <w:autoSpaceDE/>
              <w:autoSpaceDN/>
              <w:bidi w:val="0"/>
              <w:spacing w:line="240" w:lineRule="auto"/>
              <w:jc w:val="center"/>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4AA01D7F">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eastAsia="宋体"/>
                <w:color w:val="auto"/>
                <w:kern w:val="2"/>
                <w:sz w:val="24"/>
                <w:highlight w:val="none"/>
                <w:lang w:val="en-US" w:eastAsia="zh-CN"/>
              </w:rPr>
            </w:pPr>
          </w:p>
        </w:tc>
      </w:tr>
      <w:tr w14:paraId="7E3460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exact"/>
        </w:trPr>
        <w:tc>
          <w:tcPr>
            <w:tcW w:w="1020" w:type="dxa"/>
            <w:vMerge w:val="continue"/>
            <w:noWrap w:val="0"/>
            <w:vAlign w:val="center"/>
          </w:tcPr>
          <w:p w14:paraId="1FCA82C5">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c>
          <w:tcPr>
            <w:tcW w:w="510" w:type="dxa"/>
            <w:tcBorders>
              <w:top w:val="nil"/>
            </w:tcBorders>
            <w:noWrap w:val="0"/>
            <w:vAlign w:val="center"/>
          </w:tcPr>
          <w:p w14:paraId="3E9FF7BA">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7</w:t>
            </w:r>
          </w:p>
        </w:tc>
        <w:tc>
          <w:tcPr>
            <w:tcW w:w="4407" w:type="dxa"/>
            <w:gridSpan w:val="2"/>
            <w:tcBorders>
              <w:top w:val="nil"/>
            </w:tcBorders>
            <w:noWrap w:val="0"/>
            <w:vAlign w:val="center"/>
          </w:tcPr>
          <w:p w14:paraId="5EBCE0FB">
            <w:pPr>
              <w:keepNext w:val="0"/>
              <w:keepLines w:val="0"/>
              <w:pageBreakBefore w:val="0"/>
              <w:widowControl w:val="0"/>
              <w:kinsoku/>
              <w:wordWrap/>
              <w:overflowPunct/>
              <w:topLinePunct w:val="0"/>
              <w:autoSpaceDE/>
              <w:autoSpaceDN/>
              <w:bidi w:val="0"/>
              <w:spacing w:line="240" w:lineRule="auto"/>
              <w:jc w:val="both"/>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工程结算支付证明单</w:t>
            </w:r>
          </w:p>
          <w:p w14:paraId="1BB3BC07">
            <w:pPr>
              <w:keepNext w:val="0"/>
              <w:keepLines w:val="0"/>
              <w:pageBreakBefore w:val="0"/>
              <w:widowControl w:val="0"/>
              <w:kinsoku/>
              <w:wordWrap/>
              <w:overflowPunct/>
              <w:topLinePunct w:val="0"/>
              <w:autoSpaceDE/>
              <w:autoSpaceDN/>
              <w:bidi w:val="0"/>
              <w:spacing w:line="240" w:lineRule="auto"/>
              <w:jc w:val="both"/>
              <w:textAlignment w:val="auto"/>
              <w:rPr>
                <w:rFonts w:hint="eastAsia" w:ascii="Times New Roman" w:hAnsi="Times New Roman" w:cs="Times New Roman"/>
                <w:color w:val="auto"/>
                <w:sz w:val="24"/>
                <w:highlight w:val="none"/>
                <w:lang w:val="en-US" w:eastAsia="zh-CN"/>
              </w:rPr>
            </w:pPr>
          </w:p>
        </w:tc>
        <w:tc>
          <w:tcPr>
            <w:tcW w:w="760" w:type="dxa"/>
            <w:tcBorders>
              <w:top w:val="nil"/>
            </w:tcBorders>
            <w:noWrap w:val="0"/>
            <w:vAlign w:val="center"/>
          </w:tcPr>
          <w:p w14:paraId="757A1E83">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15780F22">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lang w:val="en-US" w:eastAsia="zh-CN"/>
              </w:rPr>
            </w:pPr>
          </w:p>
        </w:tc>
      </w:tr>
      <w:tr w14:paraId="22CFEC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020" w:type="dxa"/>
            <w:vMerge w:val="continue"/>
            <w:noWrap w:val="0"/>
            <w:vAlign w:val="center"/>
          </w:tcPr>
          <w:p w14:paraId="491CF344">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c>
          <w:tcPr>
            <w:tcW w:w="510" w:type="dxa"/>
            <w:tcBorders>
              <w:top w:val="nil"/>
            </w:tcBorders>
            <w:noWrap w:val="0"/>
            <w:vAlign w:val="center"/>
          </w:tcPr>
          <w:p w14:paraId="21496A97">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8</w:t>
            </w:r>
          </w:p>
        </w:tc>
        <w:tc>
          <w:tcPr>
            <w:tcW w:w="4407" w:type="dxa"/>
            <w:gridSpan w:val="2"/>
            <w:tcBorders>
              <w:top w:val="nil"/>
            </w:tcBorders>
            <w:noWrap w:val="0"/>
            <w:vAlign w:val="center"/>
          </w:tcPr>
          <w:p w14:paraId="2496D694">
            <w:pPr>
              <w:keepNext w:val="0"/>
              <w:keepLines w:val="0"/>
              <w:pageBreakBefore w:val="0"/>
              <w:widowControl w:val="0"/>
              <w:kinsoku/>
              <w:wordWrap/>
              <w:overflowPunct/>
              <w:topLinePunct w:val="0"/>
              <w:autoSpaceDE/>
              <w:autoSpaceDN/>
              <w:bidi w:val="0"/>
              <w:spacing w:line="240" w:lineRule="auto"/>
              <w:jc w:val="both"/>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分包情况说明</w:t>
            </w:r>
          </w:p>
        </w:tc>
        <w:tc>
          <w:tcPr>
            <w:tcW w:w="760" w:type="dxa"/>
            <w:tcBorders>
              <w:top w:val="nil"/>
            </w:tcBorders>
            <w:noWrap w:val="0"/>
            <w:vAlign w:val="center"/>
          </w:tcPr>
          <w:p w14:paraId="597F6DFB">
            <w:pPr>
              <w:keepNext w:val="0"/>
              <w:keepLines w:val="0"/>
              <w:pageBreakBefore w:val="0"/>
              <w:widowControl w:val="0"/>
              <w:kinsoku/>
              <w:wordWrap/>
              <w:overflowPunct/>
              <w:topLinePunct w:val="0"/>
              <w:autoSpaceDE/>
              <w:autoSpaceDN/>
              <w:bidi w:val="0"/>
              <w:spacing w:line="240" w:lineRule="auto"/>
              <w:jc w:val="center"/>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4381B2F5">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eastAsia="宋体"/>
                <w:color w:val="auto"/>
                <w:kern w:val="2"/>
                <w:sz w:val="24"/>
                <w:highlight w:val="none"/>
                <w:lang w:val="en-US" w:eastAsia="zh-CN"/>
              </w:rPr>
            </w:pPr>
          </w:p>
        </w:tc>
      </w:tr>
      <w:tr w14:paraId="2819F8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020" w:type="dxa"/>
            <w:vMerge w:val="continue"/>
            <w:noWrap w:val="0"/>
            <w:vAlign w:val="center"/>
          </w:tcPr>
          <w:p w14:paraId="59E09729">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eastAsia="宋体"/>
                <w:color w:val="auto"/>
                <w:kern w:val="2"/>
                <w:sz w:val="24"/>
                <w:highlight w:val="none"/>
                <w:lang w:val="en-US" w:eastAsia="zh-CN"/>
              </w:rPr>
            </w:pPr>
          </w:p>
        </w:tc>
        <w:tc>
          <w:tcPr>
            <w:tcW w:w="510" w:type="dxa"/>
            <w:tcBorders>
              <w:top w:val="nil"/>
            </w:tcBorders>
            <w:noWrap w:val="0"/>
            <w:vAlign w:val="center"/>
          </w:tcPr>
          <w:p w14:paraId="5373F186">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9</w:t>
            </w:r>
          </w:p>
        </w:tc>
        <w:tc>
          <w:tcPr>
            <w:tcW w:w="4407" w:type="dxa"/>
            <w:gridSpan w:val="2"/>
            <w:tcBorders>
              <w:top w:val="nil"/>
            </w:tcBorders>
            <w:noWrap w:val="0"/>
            <w:vAlign w:val="center"/>
          </w:tcPr>
          <w:p w14:paraId="5D2080E9">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竣工验收移交证明</w:t>
            </w:r>
          </w:p>
        </w:tc>
        <w:tc>
          <w:tcPr>
            <w:tcW w:w="760" w:type="dxa"/>
            <w:tcBorders>
              <w:top w:val="nil"/>
            </w:tcBorders>
            <w:noWrap w:val="0"/>
            <w:vAlign w:val="center"/>
          </w:tcPr>
          <w:p w14:paraId="48A0A6C2">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7D2003EB">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eastAsia="宋体"/>
                <w:color w:val="auto"/>
                <w:kern w:val="2"/>
                <w:sz w:val="24"/>
                <w:highlight w:val="none"/>
                <w:lang w:val="en-US" w:eastAsia="zh-CN"/>
              </w:rPr>
            </w:pPr>
          </w:p>
        </w:tc>
      </w:tr>
      <w:tr w14:paraId="2B46FB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020" w:type="dxa"/>
            <w:vMerge w:val="continue"/>
            <w:noWrap w:val="0"/>
            <w:vAlign w:val="center"/>
          </w:tcPr>
          <w:p w14:paraId="57351AD1">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c>
          <w:tcPr>
            <w:tcW w:w="510" w:type="dxa"/>
            <w:tcBorders>
              <w:top w:val="nil"/>
            </w:tcBorders>
            <w:noWrap w:val="0"/>
            <w:vAlign w:val="center"/>
          </w:tcPr>
          <w:p w14:paraId="21CF20BD">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10</w:t>
            </w:r>
          </w:p>
        </w:tc>
        <w:tc>
          <w:tcPr>
            <w:tcW w:w="4407" w:type="dxa"/>
            <w:gridSpan w:val="2"/>
            <w:tcBorders>
              <w:top w:val="nil"/>
            </w:tcBorders>
            <w:noWrap w:val="0"/>
            <w:vAlign w:val="center"/>
          </w:tcPr>
          <w:p w14:paraId="0623719E">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施工合同</w:t>
            </w:r>
          </w:p>
        </w:tc>
        <w:tc>
          <w:tcPr>
            <w:tcW w:w="760" w:type="dxa"/>
            <w:tcBorders>
              <w:top w:val="nil"/>
            </w:tcBorders>
            <w:noWrap w:val="0"/>
            <w:vAlign w:val="center"/>
          </w:tcPr>
          <w:p w14:paraId="558FC239">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7FFF597B">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lang w:eastAsia="zh-CN"/>
              </w:rPr>
            </w:pPr>
          </w:p>
        </w:tc>
      </w:tr>
      <w:tr w14:paraId="7C72C5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exact"/>
        </w:trPr>
        <w:tc>
          <w:tcPr>
            <w:tcW w:w="1020" w:type="dxa"/>
            <w:vMerge w:val="continue"/>
            <w:noWrap w:val="0"/>
            <w:vAlign w:val="center"/>
          </w:tcPr>
          <w:p w14:paraId="0A078D8A">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c>
          <w:tcPr>
            <w:tcW w:w="510" w:type="dxa"/>
            <w:tcBorders>
              <w:top w:val="nil"/>
            </w:tcBorders>
            <w:noWrap w:val="0"/>
            <w:vAlign w:val="center"/>
          </w:tcPr>
          <w:p w14:paraId="4589B73A">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11</w:t>
            </w:r>
          </w:p>
        </w:tc>
        <w:tc>
          <w:tcPr>
            <w:tcW w:w="4407" w:type="dxa"/>
            <w:gridSpan w:val="2"/>
            <w:tcBorders>
              <w:top w:val="nil"/>
            </w:tcBorders>
            <w:noWrap w:val="0"/>
            <w:vAlign w:val="center"/>
          </w:tcPr>
          <w:p w14:paraId="7ED1F2E5">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送审结算书</w:t>
            </w:r>
          </w:p>
        </w:tc>
        <w:tc>
          <w:tcPr>
            <w:tcW w:w="760" w:type="dxa"/>
            <w:tcBorders>
              <w:top w:val="nil"/>
            </w:tcBorders>
            <w:noWrap w:val="0"/>
            <w:vAlign w:val="center"/>
          </w:tcPr>
          <w:p w14:paraId="55B525D5">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tcBorders>
              <w:top w:val="nil"/>
            </w:tcBorders>
            <w:noWrap w:val="0"/>
            <w:vAlign w:val="center"/>
          </w:tcPr>
          <w:p w14:paraId="037AE373">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eastAsia="宋体"/>
                <w:color w:val="auto"/>
                <w:kern w:val="2"/>
                <w:sz w:val="24"/>
                <w:highlight w:val="none"/>
                <w:lang w:val="en-US" w:eastAsia="zh-CN"/>
              </w:rPr>
            </w:pPr>
          </w:p>
        </w:tc>
      </w:tr>
      <w:tr w14:paraId="4B8DC6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trPr>
        <w:tc>
          <w:tcPr>
            <w:tcW w:w="1020" w:type="dxa"/>
            <w:vMerge w:val="continue"/>
            <w:noWrap w:val="0"/>
            <w:vAlign w:val="center"/>
          </w:tcPr>
          <w:p w14:paraId="788876A7">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c>
          <w:tcPr>
            <w:tcW w:w="510" w:type="dxa"/>
            <w:noWrap w:val="0"/>
            <w:vAlign w:val="center"/>
          </w:tcPr>
          <w:p w14:paraId="02852F54">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12</w:t>
            </w:r>
          </w:p>
        </w:tc>
        <w:tc>
          <w:tcPr>
            <w:tcW w:w="4407" w:type="dxa"/>
            <w:gridSpan w:val="2"/>
            <w:noWrap w:val="0"/>
            <w:vAlign w:val="center"/>
          </w:tcPr>
          <w:p w14:paraId="69626DE6">
            <w:pPr>
              <w:keepNext w:val="0"/>
              <w:keepLines w:val="0"/>
              <w:pageBreakBefore w:val="0"/>
              <w:widowControl w:val="0"/>
              <w:kinsoku/>
              <w:wordWrap/>
              <w:overflowPunct/>
              <w:topLinePunct w:val="0"/>
              <w:autoSpaceDE/>
              <w:autoSpaceDN/>
              <w:bidi w:val="0"/>
              <w:spacing w:line="240" w:lineRule="auto"/>
              <w:jc w:val="both"/>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结算资料</w:t>
            </w:r>
          </w:p>
        </w:tc>
        <w:tc>
          <w:tcPr>
            <w:tcW w:w="760" w:type="dxa"/>
            <w:noWrap w:val="0"/>
            <w:vAlign w:val="center"/>
          </w:tcPr>
          <w:p w14:paraId="0B89C1C4">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w:t>
            </w:r>
          </w:p>
        </w:tc>
        <w:tc>
          <w:tcPr>
            <w:tcW w:w="2318" w:type="dxa"/>
            <w:noWrap w:val="0"/>
            <w:vAlign w:val="center"/>
          </w:tcPr>
          <w:p w14:paraId="6BB5CB84">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eastAsia="宋体"/>
                <w:color w:val="auto"/>
                <w:kern w:val="2"/>
                <w:sz w:val="24"/>
                <w:highlight w:val="none"/>
                <w:lang w:val="en-US" w:eastAsia="zh-CN"/>
              </w:rPr>
            </w:pPr>
          </w:p>
        </w:tc>
      </w:tr>
      <w:tr w14:paraId="55957B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trPr>
        <w:tc>
          <w:tcPr>
            <w:tcW w:w="1020" w:type="dxa"/>
            <w:vMerge w:val="continue"/>
            <w:noWrap w:val="0"/>
            <w:vAlign w:val="center"/>
          </w:tcPr>
          <w:p w14:paraId="4B53D03B">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p>
        </w:tc>
        <w:tc>
          <w:tcPr>
            <w:tcW w:w="510" w:type="dxa"/>
            <w:noWrap w:val="0"/>
            <w:vAlign w:val="center"/>
          </w:tcPr>
          <w:p w14:paraId="4FA85BCE">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13</w:t>
            </w:r>
          </w:p>
        </w:tc>
        <w:tc>
          <w:tcPr>
            <w:tcW w:w="4407" w:type="dxa"/>
            <w:gridSpan w:val="2"/>
            <w:noWrap w:val="0"/>
            <w:vAlign w:val="center"/>
          </w:tcPr>
          <w:p w14:paraId="449BB06C">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其他相关资料</w:t>
            </w:r>
          </w:p>
        </w:tc>
        <w:tc>
          <w:tcPr>
            <w:tcW w:w="760" w:type="dxa"/>
            <w:noWrap w:val="0"/>
            <w:vAlign w:val="center"/>
          </w:tcPr>
          <w:p w14:paraId="5AAEF027">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eastAsia="宋体"/>
                <w:color w:val="auto"/>
                <w:kern w:val="2"/>
                <w:sz w:val="24"/>
                <w:highlight w:val="none"/>
                <w:lang w:val="en-US" w:eastAsia="zh-CN"/>
              </w:rPr>
            </w:pPr>
          </w:p>
        </w:tc>
        <w:tc>
          <w:tcPr>
            <w:tcW w:w="2318" w:type="dxa"/>
            <w:noWrap w:val="0"/>
            <w:vAlign w:val="center"/>
          </w:tcPr>
          <w:p w14:paraId="054BD2D9">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eastAsia="宋体"/>
                <w:color w:val="auto"/>
                <w:kern w:val="2"/>
                <w:sz w:val="24"/>
                <w:highlight w:val="none"/>
                <w:lang w:val="en-US" w:eastAsia="zh-CN"/>
              </w:rPr>
            </w:pPr>
          </w:p>
        </w:tc>
      </w:tr>
      <w:tr w14:paraId="705729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6" w:hRule="exact"/>
        </w:trPr>
        <w:tc>
          <w:tcPr>
            <w:tcW w:w="1530" w:type="dxa"/>
            <w:gridSpan w:val="2"/>
            <w:vMerge w:val="restart"/>
            <w:noWrap w:val="0"/>
            <w:vAlign w:val="center"/>
          </w:tcPr>
          <w:p w14:paraId="0CE1D94E">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default"/>
                <w:color w:val="auto"/>
                <w:sz w:val="24"/>
                <w:highlight w:val="none"/>
                <w:lang w:val="en-US" w:eastAsia="zh-CN"/>
              </w:rPr>
            </w:pPr>
            <w:r>
              <w:rPr>
                <w:rFonts w:hint="eastAsia"/>
                <w:color w:val="auto"/>
                <w:sz w:val="24"/>
                <w:highlight w:val="none"/>
                <w:lang w:val="en-US" w:eastAsia="zh-CN"/>
              </w:rPr>
              <w:t>14</w:t>
            </w:r>
          </w:p>
        </w:tc>
        <w:tc>
          <w:tcPr>
            <w:tcW w:w="1739" w:type="dxa"/>
            <w:vMerge w:val="restart"/>
            <w:noWrap w:val="0"/>
            <w:vAlign w:val="center"/>
          </w:tcPr>
          <w:p w14:paraId="1EC8151F">
            <w:pPr>
              <w:keepNext w:val="0"/>
              <w:keepLines w:val="0"/>
              <w:pageBreakBefore w:val="0"/>
              <w:widowControl w:val="0"/>
              <w:kinsoku/>
              <w:wordWrap/>
              <w:overflowPunct/>
              <w:topLinePunct w:val="0"/>
              <w:autoSpaceDE/>
              <w:autoSpaceDN/>
              <w:bidi w:val="0"/>
              <w:spacing w:line="240" w:lineRule="auto"/>
              <w:jc w:val="both"/>
              <w:textAlignment w:val="auto"/>
              <w:rPr>
                <w:rFonts w:hint="eastAsia"/>
                <w:color w:val="auto"/>
                <w:sz w:val="24"/>
                <w:highlight w:val="none"/>
              </w:rPr>
            </w:pPr>
            <w:r>
              <w:rPr>
                <w:rFonts w:hint="eastAsia"/>
                <w:color w:val="auto"/>
                <w:sz w:val="24"/>
                <w:highlight w:val="none"/>
              </w:rPr>
              <w:t>总结意见</w:t>
            </w:r>
          </w:p>
        </w:tc>
        <w:tc>
          <w:tcPr>
            <w:tcW w:w="2668" w:type="dxa"/>
            <w:noWrap w:val="0"/>
            <w:vAlign w:val="center"/>
          </w:tcPr>
          <w:p w14:paraId="459898AC">
            <w:pPr>
              <w:keepNext w:val="0"/>
              <w:keepLines w:val="0"/>
              <w:pageBreakBefore w:val="0"/>
              <w:widowControl w:val="0"/>
              <w:kinsoku/>
              <w:wordWrap/>
              <w:overflowPunct/>
              <w:topLinePunct w:val="0"/>
              <w:autoSpaceDE/>
              <w:autoSpaceDN/>
              <w:bidi w:val="0"/>
              <w:spacing w:line="240" w:lineRule="auto"/>
              <w:jc w:val="center"/>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个人</w:t>
            </w:r>
          </w:p>
        </w:tc>
        <w:tc>
          <w:tcPr>
            <w:tcW w:w="760" w:type="dxa"/>
            <w:noWrap w:val="0"/>
            <w:vAlign w:val="center"/>
          </w:tcPr>
          <w:p w14:paraId="3A98CE74">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rPr>
            </w:pPr>
          </w:p>
        </w:tc>
        <w:tc>
          <w:tcPr>
            <w:tcW w:w="2318" w:type="dxa"/>
            <w:noWrap w:val="0"/>
            <w:vAlign w:val="center"/>
          </w:tcPr>
          <w:p w14:paraId="4841085C">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rPr>
            </w:pPr>
          </w:p>
        </w:tc>
      </w:tr>
      <w:tr w14:paraId="624271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exact"/>
        </w:trPr>
        <w:tc>
          <w:tcPr>
            <w:tcW w:w="1530" w:type="dxa"/>
            <w:gridSpan w:val="2"/>
            <w:vMerge w:val="continue"/>
            <w:noWrap w:val="0"/>
            <w:vAlign w:val="center"/>
          </w:tcPr>
          <w:p w14:paraId="65B8B19F">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rPr>
            </w:pPr>
          </w:p>
        </w:tc>
        <w:tc>
          <w:tcPr>
            <w:tcW w:w="1739" w:type="dxa"/>
            <w:vMerge w:val="continue"/>
            <w:noWrap w:val="0"/>
            <w:vAlign w:val="center"/>
          </w:tcPr>
          <w:p w14:paraId="1869EE68">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rPr>
            </w:pPr>
          </w:p>
        </w:tc>
        <w:tc>
          <w:tcPr>
            <w:tcW w:w="2668" w:type="dxa"/>
            <w:noWrap w:val="0"/>
            <w:vAlign w:val="center"/>
          </w:tcPr>
          <w:p w14:paraId="505E8F2B">
            <w:pPr>
              <w:keepNext w:val="0"/>
              <w:keepLines w:val="0"/>
              <w:pageBreakBefore w:val="0"/>
              <w:widowControl w:val="0"/>
              <w:kinsoku/>
              <w:wordWrap/>
              <w:overflowPunct/>
              <w:topLinePunct w:val="0"/>
              <w:autoSpaceDE/>
              <w:autoSpaceDN/>
              <w:bidi w:val="0"/>
              <w:spacing w:line="240" w:lineRule="auto"/>
              <w:jc w:val="center"/>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部门</w:t>
            </w:r>
          </w:p>
        </w:tc>
        <w:tc>
          <w:tcPr>
            <w:tcW w:w="760" w:type="dxa"/>
            <w:noWrap w:val="0"/>
            <w:vAlign w:val="center"/>
          </w:tcPr>
          <w:p w14:paraId="11508B14">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rPr>
            </w:pPr>
          </w:p>
        </w:tc>
        <w:tc>
          <w:tcPr>
            <w:tcW w:w="2318" w:type="dxa"/>
            <w:noWrap w:val="0"/>
            <w:vAlign w:val="center"/>
          </w:tcPr>
          <w:p w14:paraId="6A5D27D2">
            <w:pPr>
              <w:keepNext w:val="0"/>
              <w:keepLines w:val="0"/>
              <w:pageBreakBefore w:val="0"/>
              <w:widowControl w:val="0"/>
              <w:kinsoku/>
              <w:wordWrap/>
              <w:overflowPunct/>
              <w:topLinePunct w:val="0"/>
              <w:autoSpaceDE/>
              <w:autoSpaceDN/>
              <w:bidi w:val="0"/>
              <w:spacing w:line="240" w:lineRule="auto"/>
              <w:ind w:firstLine="429" w:firstLineChars="179"/>
              <w:jc w:val="center"/>
              <w:textAlignment w:val="auto"/>
              <w:rPr>
                <w:rFonts w:hint="eastAsia"/>
                <w:color w:val="auto"/>
                <w:sz w:val="24"/>
                <w:highlight w:val="none"/>
              </w:rPr>
            </w:pPr>
          </w:p>
        </w:tc>
      </w:tr>
    </w:tbl>
    <w:p w14:paraId="175991B5">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73" w:name="_Toc21249"/>
      <w:bookmarkStart w:id="274" w:name="_Toc7945"/>
      <w:bookmarkStart w:id="275" w:name="_Toc3279"/>
      <w:bookmarkStart w:id="276" w:name="_Toc17749"/>
      <w:bookmarkStart w:id="277" w:name="_Toc23087"/>
      <w:bookmarkStart w:id="278" w:name="_Toc28775"/>
    </w:p>
    <w:p w14:paraId="121E8B31">
      <w:pPr>
        <w:keepNext w:val="0"/>
        <w:keepLines w:val="0"/>
        <w:pageBreakBefore w:val="0"/>
        <w:shd w:val="clear" w:color="auto" w:fill="auto"/>
        <w:overflowPunct/>
        <w:topLinePunct w:val="0"/>
        <w:bidi w:val="0"/>
        <w:snapToGrid w:val="0"/>
        <w:spacing w:line="360" w:lineRule="auto"/>
        <w:ind w:firstLine="719" w:firstLineChars="179"/>
        <w:jc w:val="right"/>
        <w:outlineLvl w:val="0"/>
        <w:rPr>
          <w:rFonts w:hint="default" w:ascii="仿宋" w:hAnsi="仿宋" w:eastAsia="仿宋" w:cs="仿宋"/>
          <w:b/>
          <w:bCs w:val="0"/>
          <w:color w:val="auto"/>
          <w:sz w:val="40"/>
          <w:szCs w:val="40"/>
          <w:highlight w:val="none"/>
          <w:shd w:val="clear" w:color="auto" w:fill="auto"/>
          <w:lang w:val="en-US" w:eastAsia="zh-CN"/>
        </w:rPr>
      </w:pPr>
      <w:bookmarkStart w:id="279" w:name="_Toc30876"/>
      <w:bookmarkStart w:id="280" w:name="_Toc4461"/>
      <w:r>
        <w:rPr>
          <w:rFonts w:hint="eastAsia" w:ascii="仿宋" w:hAnsi="仿宋" w:eastAsia="仿宋" w:cs="仿宋"/>
          <w:b/>
          <w:bCs w:val="0"/>
          <w:color w:val="auto"/>
          <w:sz w:val="40"/>
          <w:szCs w:val="40"/>
          <w:highlight w:val="none"/>
          <w:shd w:val="clear" w:color="auto" w:fill="auto"/>
          <w:lang w:val="en-US" w:eastAsia="zh-CN"/>
        </w:rPr>
        <w:t>附件十</w:t>
      </w:r>
      <w:bookmarkEnd w:id="273"/>
      <w:bookmarkEnd w:id="274"/>
      <w:bookmarkEnd w:id="275"/>
      <w:bookmarkEnd w:id="276"/>
      <w:bookmarkEnd w:id="277"/>
      <w:bookmarkEnd w:id="278"/>
      <w:bookmarkEnd w:id="279"/>
      <w:bookmarkEnd w:id="280"/>
      <w:r>
        <w:rPr>
          <w:rFonts w:hint="eastAsia" w:ascii="仿宋" w:hAnsi="仿宋" w:eastAsia="仿宋" w:cs="仿宋"/>
          <w:b/>
          <w:bCs w:val="0"/>
          <w:color w:val="auto"/>
          <w:sz w:val="40"/>
          <w:szCs w:val="40"/>
          <w:highlight w:val="none"/>
          <w:shd w:val="clear" w:color="auto" w:fill="auto"/>
          <w:lang w:val="en-US" w:eastAsia="zh-CN"/>
        </w:rPr>
        <w:t>二</w:t>
      </w:r>
    </w:p>
    <w:p w14:paraId="5FE06C1E">
      <w:pPr>
        <w:keepNext w:val="0"/>
        <w:keepLines w:val="0"/>
        <w:pageBreakBefore w:val="0"/>
        <w:overflowPunct/>
        <w:topLinePunct w:val="0"/>
        <w:bidi w:val="0"/>
        <w:spacing w:after="156" w:afterLines="50" w:line="360" w:lineRule="auto"/>
        <w:ind w:right="0" w:rightChars="0" w:firstLine="719" w:firstLineChars="179"/>
        <w:jc w:val="center"/>
        <w:outlineLvl w:val="2"/>
        <w:rPr>
          <w:rFonts w:hint="eastAsia" w:ascii="黑体" w:hAnsi="黑体" w:eastAsia="黑体" w:cs="仿宋"/>
          <w:b/>
          <w:bCs/>
          <w:color w:val="auto"/>
          <w:sz w:val="40"/>
          <w:szCs w:val="40"/>
          <w:highlight w:val="none"/>
          <w:lang w:val="en-US" w:eastAsia="zh-CN"/>
        </w:rPr>
      </w:pPr>
    </w:p>
    <w:p w14:paraId="25ABABB8">
      <w:pPr>
        <w:keepNext w:val="0"/>
        <w:keepLines w:val="0"/>
        <w:pageBreakBefore w:val="0"/>
        <w:overflowPunct/>
        <w:topLinePunct w:val="0"/>
        <w:bidi w:val="0"/>
        <w:spacing w:after="156" w:afterLines="50" w:line="360" w:lineRule="auto"/>
        <w:ind w:right="0" w:rightChars="0" w:firstLine="719" w:firstLineChars="179"/>
        <w:jc w:val="center"/>
        <w:outlineLvl w:val="2"/>
        <w:rPr>
          <w:rFonts w:ascii="黑体" w:hAnsi="黑体" w:eastAsia="黑体"/>
          <w:color w:val="auto"/>
          <w:sz w:val="40"/>
          <w:szCs w:val="40"/>
          <w:highlight w:val="none"/>
        </w:rPr>
      </w:pPr>
      <w:r>
        <w:rPr>
          <w:rFonts w:hint="eastAsia" w:ascii="黑体" w:hAnsi="黑体" w:eastAsia="黑体" w:cs="仿宋"/>
          <w:b/>
          <w:bCs/>
          <w:color w:val="auto"/>
          <w:sz w:val="40"/>
          <w:szCs w:val="40"/>
          <w:highlight w:val="none"/>
          <w:lang w:val="en-US" w:eastAsia="zh-CN"/>
        </w:rPr>
        <w:t>分包单位</w:t>
      </w:r>
      <w:r>
        <w:rPr>
          <w:rFonts w:hint="eastAsia" w:ascii="黑体" w:hAnsi="黑体" w:eastAsia="黑体" w:cs="仿宋"/>
          <w:b/>
          <w:bCs/>
          <w:color w:val="auto"/>
          <w:sz w:val="40"/>
          <w:szCs w:val="40"/>
          <w:highlight w:val="none"/>
        </w:rPr>
        <w:t>开工令</w:t>
      </w:r>
    </w:p>
    <w:p w14:paraId="012E90BE">
      <w:pPr>
        <w:keepNext w:val="0"/>
        <w:keepLines w:val="0"/>
        <w:pageBreakBefore w:val="0"/>
        <w:overflowPunct/>
        <w:topLinePunct w:val="0"/>
        <w:bidi w:val="0"/>
        <w:spacing w:line="360" w:lineRule="auto"/>
        <w:ind w:right="0" w:rightChars="0" w:firstLine="375" w:firstLineChars="179"/>
        <w:rPr>
          <w:color w:val="auto"/>
          <w:highlight w:val="none"/>
        </w:rPr>
      </w:pPr>
      <w:r>
        <w:rPr>
          <w:rFonts w:hint="eastAsia"/>
          <w:color w:val="auto"/>
          <w:highlight w:val="none"/>
        </w:rPr>
        <w:t>合同名称：</w:t>
      </w:r>
      <w:r>
        <w:rPr>
          <w:color w:val="auto"/>
          <w:highlight w:val="none"/>
        </w:rPr>
        <w:t xml:space="preserve"> </w:t>
      </w:r>
    </w:p>
    <w:p w14:paraId="79686CBB">
      <w:pPr>
        <w:keepNext w:val="0"/>
        <w:keepLines w:val="0"/>
        <w:pageBreakBefore w:val="0"/>
        <w:overflowPunct/>
        <w:topLinePunct w:val="0"/>
        <w:bidi w:val="0"/>
        <w:spacing w:line="360" w:lineRule="auto"/>
        <w:ind w:right="0" w:rightChars="0" w:firstLine="375" w:firstLineChars="179"/>
        <w:rPr>
          <w:color w:val="auto"/>
          <w:highlight w:val="none"/>
        </w:rPr>
      </w:pPr>
      <w:r>
        <w:rPr>
          <w:rFonts w:hint="eastAsia"/>
          <w:color w:val="auto"/>
          <w:highlight w:val="none"/>
        </w:rPr>
        <w:t xml:space="preserve">合同编号：                           </w:t>
      </w:r>
    </w:p>
    <w:p w14:paraId="612F798C">
      <w:pPr>
        <w:keepNext w:val="0"/>
        <w:keepLines w:val="0"/>
        <w:pageBreakBefore w:val="0"/>
        <w:overflowPunct/>
        <w:topLinePunct w:val="0"/>
        <w:bidi w:val="0"/>
        <w:spacing w:line="360" w:lineRule="auto"/>
        <w:ind w:right="0" w:rightChars="0" w:firstLine="375" w:firstLineChars="179"/>
        <w:rPr>
          <w:color w:val="auto"/>
          <w:highlight w:val="none"/>
        </w:rPr>
      </w:pPr>
    </w:p>
    <w:tbl>
      <w:tblPr>
        <w:tblStyle w:val="15"/>
        <w:tblW w:w="5416" w:type="pct"/>
        <w:tblInd w:w="-309"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0" w:type="dxa"/>
          <w:bottom w:w="0" w:type="dxa"/>
          <w:right w:w="0" w:type="dxa"/>
        </w:tblCellMar>
      </w:tblPr>
      <w:tblGrid>
        <w:gridCol w:w="9981"/>
      </w:tblGrid>
      <w:tr w14:paraId="226D53A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trHeight w:val="270" w:hRule="atLeast"/>
        </w:trPr>
        <w:tc>
          <w:tcPr>
            <w:tcW w:w="5000" w:type="pct"/>
            <w:tcBorders>
              <w:tl2br w:val="nil"/>
              <w:tr2bl w:val="nil"/>
            </w:tcBorders>
            <w:noWrap/>
            <w:tcMar>
              <w:top w:w="15" w:type="dxa"/>
              <w:left w:w="15" w:type="dxa"/>
              <w:right w:w="15" w:type="dxa"/>
            </w:tcMar>
            <w:vAlign w:val="center"/>
          </w:tcPr>
          <w:p w14:paraId="512B1022">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p>
          <w:p w14:paraId="31112C43">
            <w:pPr>
              <w:keepNext w:val="0"/>
              <w:keepLines w:val="0"/>
              <w:pageBreakBefore w:val="0"/>
              <w:overflowPunct/>
              <w:topLinePunct w:val="0"/>
              <w:bidi w:val="0"/>
              <w:spacing w:line="360" w:lineRule="auto"/>
              <w:ind w:right="0" w:rightChars="0" w:firstLine="395" w:firstLineChars="179"/>
              <w:rPr>
                <w:rFonts w:ascii="宋体" w:hAnsi="宋体" w:eastAsia="宋体" w:cs="宋体"/>
                <w:color w:val="auto"/>
                <w:sz w:val="22"/>
                <w:szCs w:val="22"/>
                <w:highlight w:val="none"/>
              </w:rPr>
            </w:pPr>
            <w:r>
              <w:rPr>
                <w:rFonts w:hint="eastAsia" w:ascii="宋体" w:hAnsi="宋体" w:eastAsia="宋体" w:cs="宋体"/>
                <w:b/>
                <w:bCs/>
                <w:color w:val="auto"/>
                <w:sz w:val="22"/>
                <w:szCs w:val="22"/>
                <w:highlight w:val="none"/>
              </w:rPr>
              <w:t>致：（</w:t>
            </w:r>
            <w:r>
              <w:rPr>
                <w:rFonts w:hint="eastAsia" w:ascii="宋体" w:hAnsi="宋体" w:cs="宋体"/>
                <w:b/>
                <w:bCs/>
                <w:color w:val="auto"/>
                <w:sz w:val="22"/>
                <w:szCs w:val="22"/>
                <w:highlight w:val="none"/>
                <w:lang w:val="en-US" w:eastAsia="zh-CN"/>
              </w:rPr>
              <w:t>分包单位全称</w:t>
            </w:r>
            <w:r>
              <w:rPr>
                <w:rFonts w:hint="eastAsia" w:ascii="宋体" w:hAnsi="宋体" w:eastAsia="宋体" w:cs="宋体"/>
                <w:b/>
                <w:bCs/>
                <w:color w:val="auto"/>
                <w:sz w:val="22"/>
                <w:szCs w:val="22"/>
                <w:highlight w:val="none"/>
              </w:rPr>
              <w:t>）</w:t>
            </w:r>
            <w:r>
              <w:rPr>
                <w:rFonts w:hint="eastAsia" w:ascii="宋体" w:hAnsi="宋体" w:eastAsia="宋体" w:cs="宋体"/>
                <w:color w:val="auto"/>
                <w:sz w:val="22"/>
                <w:szCs w:val="22"/>
                <w:highlight w:val="none"/>
              </w:rPr>
              <w:t xml:space="preserve"> </w:t>
            </w:r>
          </w:p>
          <w:p w14:paraId="121A627E">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u w:val="single"/>
              </w:rPr>
            </w:pPr>
            <w:r>
              <w:rPr>
                <w:rFonts w:hint="eastAsia" w:ascii="宋体" w:hAnsi="宋体" w:eastAsia="宋体" w:cs="宋体"/>
                <w:color w:val="auto"/>
                <w:sz w:val="22"/>
                <w:szCs w:val="22"/>
                <w:highlight w:val="none"/>
              </w:rPr>
              <w:t>你方</w:t>
            </w:r>
            <w:r>
              <w:rPr>
                <w:rFonts w:hint="eastAsia" w:ascii="宋体" w:hAnsi="宋体" w:eastAsia="宋体" w:cs="宋体"/>
                <w:color w:val="auto"/>
                <w:sz w:val="22"/>
                <w:szCs w:val="22"/>
                <w:highlight w:val="none"/>
                <w:u w:val="none"/>
                <w:lang w:val="en-US" w:eastAsia="zh-CN"/>
              </w:rPr>
              <w:t>承接的</w:t>
            </w:r>
            <w:r>
              <w:rPr>
                <w:rFonts w:hint="eastAsia" w:ascii="宋体" w:hAnsi="宋体" w:eastAsia="宋体" w:cs="宋体"/>
                <w:color w:val="auto"/>
                <w:sz w:val="22"/>
                <w:szCs w:val="22"/>
                <w:highlight w:val="none"/>
                <w:u w:val="single"/>
                <w:lang w:val="en-US" w:eastAsia="zh-CN"/>
              </w:rPr>
              <w:t xml:space="preserve"> X X </w:t>
            </w:r>
            <w:r>
              <w:rPr>
                <w:rFonts w:hint="eastAsia" w:ascii="宋体" w:hAnsi="宋体" w:eastAsia="宋体" w:cs="宋体"/>
                <w:color w:val="auto"/>
                <w:sz w:val="22"/>
                <w:szCs w:val="22"/>
                <w:highlight w:val="none"/>
                <w:u w:val="none"/>
                <w:lang w:val="en-US" w:eastAsia="zh-CN"/>
              </w:rPr>
              <w:t>项目</w:t>
            </w:r>
            <w:r>
              <w:rPr>
                <w:rFonts w:hint="eastAsia" w:ascii="宋体" w:hAnsi="宋体" w:eastAsia="宋体" w:cs="宋体"/>
                <w:color w:val="auto"/>
                <w:sz w:val="22"/>
                <w:szCs w:val="22"/>
                <w:highlight w:val="none"/>
              </w:rPr>
              <w:t>工程</w:t>
            </w:r>
            <w:r>
              <w:rPr>
                <w:rFonts w:hint="eastAsia" w:ascii="宋体" w:hAnsi="宋体" w:eastAsia="宋体" w:cs="宋体"/>
                <w:color w:val="auto"/>
                <w:sz w:val="22"/>
                <w:szCs w:val="22"/>
                <w:highlight w:val="none"/>
                <w:u w:val="single"/>
                <w:lang w:val="en-US" w:eastAsia="zh-CN"/>
              </w:rPr>
              <w:t xml:space="preserve"> X X </w:t>
            </w:r>
            <w:r>
              <w:rPr>
                <w:rFonts w:hint="eastAsia" w:ascii="宋体" w:hAnsi="宋体" w:eastAsia="宋体" w:cs="宋体"/>
                <w:color w:val="auto"/>
                <w:sz w:val="22"/>
                <w:szCs w:val="22"/>
                <w:highlight w:val="none"/>
                <w:u w:val="none"/>
                <w:lang w:val="en-US" w:eastAsia="zh-CN"/>
              </w:rPr>
              <w:t>分部/项</w:t>
            </w:r>
            <w:r>
              <w:rPr>
                <w:rFonts w:hint="eastAsia" w:ascii="宋体" w:hAnsi="宋体" w:eastAsia="宋体" w:cs="宋体"/>
                <w:color w:val="auto"/>
                <w:sz w:val="22"/>
                <w:szCs w:val="22"/>
                <w:highlight w:val="none"/>
                <w:lang w:val="en-US" w:eastAsia="zh-CN"/>
              </w:rPr>
              <w:t>工程</w:t>
            </w:r>
            <w:r>
              <w:rPr>
                <w:rFonts w:hint="eastAsia" w:ascii="宋体" w:hAnsi="宋体" w:cs="宋体"/>
                <w:color w:val="auto"/>
                <w:sz w:val="22"/>
                <w:szCs w:val="22"/>
                <w:highlight w:val="none"/>
                <w:lang w:val="en-US" w:eastAsia="zh-CN"/>
              </w:rPr>
              <w:t>经审查，</w:t>
            </w:r>
            <w:r>
              <w:rPr>
                <w:rFonts w:hint="eastAsia" w:ascii="宋体" w:hAnsi="宋体" w:eastAsia="宋体" w:cs="宋体"/>
                <w:color w:val="auto"/>
                <w:sz w:val="22"/>
                <w:szCs w:val="22"/>
                <w:highlight w:val="none"/>
                <w:lang w:val="en-US" w:eastAsia="zh-CN"/>
              </w:rPr>
              <w:t>已具备</w:t>
            </w:r>
            <w:r>
              <w:rPr>
                <w:rFonts w:hint="eastAsia" w:ascii="宋体" w:hAnsi="宋体" w:eastAsia="宋体" w:cs="宋体"/>
                <w:color w:val="auto"/>
                <w:sz w:val="22"/>
                <w:szCs w:val="22"/>
                <w:highlight w:val="none"/>
              </w:rPr>
              <w:t>施工合同约定的开工条件，</w:t>
            </w:r>
            <w:r>
              <w:rPr>
                <w:rFonts w:hint="eastAsia" w:ascii="宋体" w:hAnsi="宋体" w:eastAsia="宋体" w:cs="宋体"/>
                <w:color w:val="auto"/>
                <w:sz w:val="22"/>
                <w:szCs w:val="22"/>
                <w:highlight w:val="none"/>
                <w:lang w:val="en-US" w:eastAsia="zh-CN"/>
              </w:rPr>
              <w:t>现通知你方正式开工</w:t>
            </w:r>
            <w:r>
              <w:rPr>
                <w:rFonts w:hint="eastAsia" w:ascii="宋体" w:hAnsi="宋体" w:eastAsia="宋体" w:cs="宋体"/>
                <w:color w:val="auto"/>
                <w:sz w:val="22"/>
                <w:szCs w:val="22"/>
                <w:highlight w:val="none"/>
              </w:rPr>
              <w:t>。</w:t>
            </w:r>
          </w:p>
          <w:p w14:paraId="4F6A35CC">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本开工令确定此合同的实际开工日期为</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月</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日。</w:t>
            </w:r>
          </w:p>
          <w:p w14:paraId="1D9C0DCC">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p>
          <w:p w14:paraId="0985CC23">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施工总包单位：</w:t>
            </w:r>
            <w:r>
              <w:rPr>
                <w:rFonts w:hint="eastAsia" w:ascii="宋体" w:hAnsi="宋体" w:eastAsia="宋体" w:cs="宋体"/>
                <w:color w:val="auto"/>
                <w:sz w:val="22"/>
                <w:szCs w:val="22"/>
                <w:highlight w:val="none"/>
                <w:lang w:val="en-US" w:eastAsia="zh-CN"/>
              </w:rPr>
              <w:t>项目</w:t>
            </w:r>
            <w:r>
              <w:rPr>
                <w:rFonts w:hint="eastAsia" w:ascii="宋体" w:hAnsi="宋体" w:eastAsia="宋体" w:cs="宋体"/>
                <w:color w:val="auto"/>
                <w:sz w:val="22"/>
                <w:szCs w:val="22"/>
                <w:highlight w:val="none"/>
              </w:rPr>
              <w:t>（全称及</w:t>
            </w:r>
            <w:r>
              <w:rPr>
                <w:rFonts w:hint="eastAsia" w:ascii="宋体" w:hAnsi="宋体" w:eastAsia="宋体" w:cs="宋体"/>
                <w:color w:val="auto"/>
                <w:sz w:val="22"/>
                <w:szCs w:val="22"/>
                <w:highlight w:val="none"/>
                <w:lang w:val="en-US" w:eastAsia="zh-CN"/>
              </w:rPr>
              <w:t>项目</w:t>
            </w:r>
            <w:r>
              <w:rPr>
                <w:rFonts w:hint="eastAsia" w:ascii="宋体" w:hAnsi="宋体" w:eastAsia="宋体" w:cs="宋体"/>
                <w:color w:val="auto"/>
                <w:sz w:val="22"/>
                <w:szCs w:val="22"/>
                <w:highlight w:val="none"/>
              </w:rPr>
              <w:t>盖章）</w:t>
            </w:r>
          </w:p>
          <w:p w14:paraId="13B4B8A5">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项目负责人：（签名）</w:t>
            </w:r>
          </w:p>
          <w:p w14:paraId="5B3E395C">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日      期：      年    月    日</w:t>
            </w:r>
          </w:p>
          <w:p w14:paraId="578BB957">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p>
        </w:tc>
      </w:tr>
      <w:tr w14:paraId="6339D9C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51" w:hRule="atLeast"/>
        </w:trPr>
        <w:tc>
          <w:tcPr>
            <w:tcW w:w="5000" w:type="pct"/>
            <w:tcBorders>
              <w:tl2br w:val="nil"/>
              <w:tr2bl w:val="nil"/>
            </w:tcBorders>
            <w:noWrap/>
            <w:tcMar>
              <w:top w:w="15" w:type="dxa"/>
              <w:left w:w="15" w:type="dxa"/>
              <w:right w:w="15" w:type="dxa"/>
            </w:tcMar>
            <w:vAlign w:val="center"/>
          </w:tcPr>
          <w:p w14:paraId="148AA9EF">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p>
          <w:p w14:paraId="4B76C5FF">
            <w:pPr>
              <w:pStyle w:val="14"/>
              <w:keepNext w:val="0"/>
              <w:keepLines w:val="0"/>
              <w:pageBreakBefore w:val="0"/>
              <w:tabs>
                <w:tab w:val="clear" w:pos="-116"/>
                <w:tab w:val="clear" w:pos="420"/>
              </w:tabs>
              <w:overflowPunct/>
              <w:topLinePunct w:val="0"/>
              <w:bidi w:val="0"/>
              <w:spacing w:line="360" w:lineRule="auto"/>
              <w:ind w:right="0" w:rightChars="0" w:firstLine="375" w:firstLineChars="179"/>
              <w:rPr>
                <w:color w:val="auto"/>
                <w:highlight w:val="none"/>
              </w:rPr>
            </w:pPr>
          </w:p>
          <w:p w14:paraId="139CB85A">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今已收到项目的开工令。</w:t>
            </w:r>
          </w:p>
          <w:p w14:paraId="4AC7B070">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p>
          <w:p w14:paraId="7B4D5FC8">
            <w:pPr>
              <w:pStyle w:val="14"/>
              <w:keepNext w:val="0"/>
              <w:keepLines w:val="0"/>
              <w:pageBreakBefore w:val="0"/>
              <w:tabs>
                <w:tab w:val="clear" w:pos="-116"/>
                <w:tab w:val="clear" w:pos="420"/>
              </w:tabs>
              <w:overflowPunct/>
              <w:topLinePunct w:val="0"/>
              <w:bidi w:val="0"/>
              <w:spacing w:line="360" w:lineRule="auto"/>
              <w:ind w:right="0" w:rightChars="0" w:firstLine="375" w:firstLineChars="179"/>
              <w:rPr>
                <w:color w:val="auto"/>
                <w:highlight w:val="none"/>
              </w:rPr>
            </w:pPr>
          </w:p>
          <w:p w14:paraId="64E2B5A5">
            <w:pPr>
              <w:keepNext w:val="0"/>
              <w:keepLines w:val="0"/>
              <w:pageBreakBefore w:val="0"/>
              <w:overflowPunct/>
              <w:topLinePunct w:val="0"/>
              <w:bidi w:val="0"/>
              <w:spacing w:line="360" w:lineRule="auto"/>
              <w:ind w:right="0" w:rightChars="0" w:firstLine="3907" w:firstLineChars="1776"/>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分包单位：（全称及盖章）</w:t>
            </w:r>
          </w:p>
          <w:p w14:paraId="229B6547">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r>
              <w:rPr>
                <w:rFonts w:hint="eastAsia" w:ascii="宋体" w:hAnsi="宋体" w:cs="宋体"/>
                <w:color w:val="auto"/>
                <w:sz w:val="22"/>
                <w:szCs w:val="22"/>
                <w:highlight w:val="none"/>
                <w:lang w:val="en-US" w:eastAsia="zh-CN"/>
              </w:rPr>
              <w:t>现场</w:t>
            </w:r>
            <w:r>
              <w:rPr>
                <w:rFonts w:hint="eastAsia" w:ascii="宋体" w:hAnsi="宋体" w:eastAsia="宋体" w:cs="宋体"/>
                <w:color w:val="auto"/>
                <w:sz w:val="22"/>
                <w:szCs w:val="22"/>
                <w:highlight w:val="none"/>
              </w:rPr>
              <w:t>负责人：（签名）</w:t>
            </w:r>
          </w:p>
          <w:p w14:paraId="4F9327F9">
            <w:pPr>
              <w:keepNext w:val="0"/>
              <w:keepLines w:val="0"/>
              <w:pageBreakBefore w:val="0"/>
              <w:overflowPunct/>
              <w:topLinePunct w:val="0"/>
              <w:bidi w:val="0"/>
              <w:spacing w:line="360" w:lineRule="auto"/>
              <w:ind w:right="0" w:rightChars="0" w:firstLine="393" w:firstLineChars="179"/>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日      期：      年    月    </w:t>
            </w:r>
            <w:r>
              <w:rPr>
                <w:rFonts w:hint="eastAsia" w:ascii="宋体" w:hAnsi="宋体" w:eastAsia="宋体" w:cs="宋体"/>
                <w:color w:val="auto"/>
                <w:sz w:val="22"/>
                <w:szCs w:val="22"/>
                <w:highlight w:val="none"/>
                <w:lang w:val="en-US" w:eastAsia="zh-CN"/>
              </w:rPr>
              <w:t>日</w:t>
            </w:r>
          </w:p>
        </w:tc>
      </w:tr>
    </w:tbl>
    <w:p w14:paraId="2391E23D">
      <w:pPr>
        <w:keepNext w:val="0"/>
        <w:keepLines w:val="0"/>
        <w:pageBreakBefore w:val="0"/>
        <w:widowControl w:val="0"/>
        <w:kinsoku/>
        <w:wordWrap/>
        <w:overflowPunct/>
        <w:topLinePunct w:val="0"/>
        <w:autoSpaceDE/>
        <w:autoSpaceDN/>
        <w:bidi w:val="0"/>
        <w:adjustRightInd/>
        <w:snapToGrid w:val="0"/>
        <w:spacing w:line="360" w:lineRule="auto"/>
        <w:ind w:right="46" w:rightChars="22"/>
        <w:jc w:val="right"/>
        <w:textAlignment w:val="auto"/>
        <w:rPr>
          <w:rFonts w:hint="eastAsia" w:ascii="仿宋" w:hAnsi="仿宋" w:eastAsia="仿宋" w:cs="仿宋"/>
          <w:b/>
          <w:bCs/>
          <w:color w:val="auto"/>
          <w:sz w:val="40"/>
          <w:szCs w:val="36"/>
          <w:highlight w:val="none"/>
          <w:lang w:val="en-US" w:eastAsia="zh-CN"/>
        </w:rPr>
      </w:pPr>
    </w:p>
    <w:p w14:paraId="198CC086">
      <w:pPr>
        <w:keepNext w:val="0"/>
        <w:keepLines w:val="0"/>
        <w:pageBreakBefore w:val="0"/>
        <w:widowControl w:val="0"/>
        <w:kinsoku/>
        <w:wordWrap/>
        <w:overflowPunct/>
        <w:topLinePunct w:val="0"/>
        <w:autoSpaceDE/>
        <w:autoSpaceDN/>
        <w:bidi w:val="0"/>
        <w:adjustRightInd/>
        <w:snapToGrid w:val="0"/>
        <w:spacing w:line="360" w:lineRule="auto"/>
        <w:ind w:right="46" w:rightChars="22"/>
        <w:jc w:val="right"/>
        <w:textAlignment w:val="auto"/>
        <w:rPr>
          <w:rFonts w:hint="eastAsia" w:ascii="仿宋" w:hAnsi="仿宋" w:eastAsia="仿宋" w:cs="仿宋"/>
          <w:b/>
          <w:bCs/>
          <w:color w:val="auto"/>
          <w:sz w:val="40"/>
          <w:szCs w:val="36"/>
          <w:highlight w:val="none"/>
          <w:lang w:val="en-US" w:eastAsia="zh-CN"/>
        </w:rPr>
      </w:pPr>
    </w:p>
    <w:p w14:paraId="201A14A1">
      <w:pPr>
        <w:keepNext w:val="0"/>
        <w:keepLines w:val="0"/>
        <w:pageBreakBefore w:val="0"/>
        <w:widowControl w:val="0"/>
        <w:kinsoku/>
        <w:wordWrap/>
        <w:overflowPunct/>
        <w:topLinePunct w:val="0"/>
        <w:autoSpaceDE/>
        <w:autoSpaceDN/>
        <w:bidi w:val="0"/>
        <w:adjustRightInd/>
        <w:snapToGrid w:val="0"/>
        <w:spacing w:line="360" w:lineRule="auto"/>
        <w:ind w:right="46" w:rightChars="22"/>
        <w:jc w:val="both"/>
        <w:textAlignment w:val="auto"/>
        <w:rPr>
          <w:rFonts w:hint="eastAsia" w:ascii="仿宋" w:hAnsi="仿宋" w:eastAsia="仿宋" w:cs="仿宋"/>
          <w:b/>
          <w:bCs/>
          <w:color w:val="auto"/>
          <w:sz w:val="40"/>
          <w:szCs w:val="36"/>
          <w:highlight w:val="none"/>
          <w:lang w:val="en-US" w:eastAsia="zh-CN"/>
        </w:rPr>
      </w:pPr>
    </w:p>
    <w:p w14:paraId="271B34EB">
      <w:pPr>
        <w:spacing w:after="806" w:line="412" w:lineRule="auto"/>
        <w:ind w:right="1560"/>
        <w:jc w:val="both"/>
        <w:rPr>
          <w:rFonts w:hint="eastAsia" w:ascii="仿宋" w:hAnsi="仿宋" w:eastAsia="仿宋" w:cs="仿宋"/>
          <w:color w:val="auto"/>
          <w:sz w:val="28"/>
          <w:szCs w:val="28"/>
          <w:highlight w:val="none"/>
          <w:lang w:val="en-US" w:eastAsia="zh-CN"/>
        </w:rPr>
      </w:pPr>
    </w:p>
    <w:sectPr>
      <w:footerReference r:id="rId8" w:type="default"/>
      <w:pgSz w:w="11906" w:h="16838"/>
      <w:pgMar w:top="1440" w:right="1361" w:bottom="952" w:left="1361" w:header="964" w:footer="567" w:gutter="0"/>
      <w:pgBorders>
        <w:top w:val="none" w:sz="0" w:space="0"/>
        <w:left w:val="none" w:sz="0" w:space="0"/>
        <w:bottom w:val="none" w:sz="0" w:space="0"/>
        <w:right w:val="none" w:sz="0" w:space="0"/>
      </w:pgBorders>
      <w:pgNumType w:fmt="decimal"/>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7B2A88">
    <w:pPr>
      <w:pStyle w:val="8"/>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04336D">
    <w:pPr>
      <w:pStyle w:val="8"/>
    </w:pPr>
  </w:p>
  <w:p w14:paraId="1966A5ED">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472E88">
    <w:pPr>
      <w:pStyle w:val="8"/>
    </w:pPr>
    <w:r>
      <w:rPr>
        <w:sz w:val="18"/>
      </w:rPr>
      <mc:AlternateContent>
        <mc:Choice Requires="wps">
          <w:drawing>
            <wp:anchor distT="0" distB="0" distL="114300" distR="114300" simplePos="0" relativeHeight="251661312" behindDoc="0" locked="0" layoutInCell="1" allowOverlap="1">
              <wp:simplePos x="0" y="0"/>
              <wp:positionH relativeFrom="margin">
                <wp:posOffset>2320290</wp:posOffset>
              </wp:positionH>
              <wp:positionV relativeFrom="paragraph">
                <wp:posOffset>-138430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EABFA4">
                          <w:pPr>
                            <w:pStyle w:val="8"/>
                            <w:jc w:val="center"/>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54</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82.7pt;margin-top:-10.9pt;height:144pt;width:144pt;mso-position-horizontal-relative:margin;mso-wrap-style:none;z-index:251661312;mso-width-relative:page;mso-height-relative:page;" filled="f" stroked="f" coordsize="21600,21600" o:gfxdata="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bIKCpdgAAAALAQAADwAAAAAAAAABACAAAAAiAAAAZHJzL2Rvd25yZXYueG1s&#10;UEsBAhQAFAAAAAgAh07iQDCJEl4xAgAAYQQAAA4AAAAAAAAAAQAgAAAAJwEAAGRycy9lMm9Eb2Mu&#10;eG1sUEsFBgAAAAAGAAYAWQEAAMoFAAAAAA==&#10;">
              <v:fill on="f" focussize="0,0"/>
              <v:stroke on="f" weight="0.5pt"/>
              <v:imagedata o:title=""/>
              <o:lock v:ext="edit" aspectratio="f"/>
              <v:textbox inset="0mm,0mm,0mm,0mm" style="mso-fit-shape-to-text:t;">
                <w:txbxContent>
                  <w:p w14:paraId="50EABFA4">
                    <w:pPr>
                      <w:pStyle w:val="8"/>
                      <w:jc w:val="center"/>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54</w:t>
                    </w:r>
                    <w:r>
                      <w:t xml:space="preserve"> 页</w:t>
                    </w:r>
                  </w:p>
                </w:txbxContent>
              </v:textbox>
            </v:shape>
          </w:pict>
        </mc:Fallback>
      </mc:AlternateContent>
    </w:r>
  </w:p>
  <w:p w14:paraId="7CAF9469">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B50A9D">
    <w:pPr>
      <w:pStyle w:val="8"/>
    </w:pPr>
    <w:r>
      <w:rPr>
        <w:sz w:val="18"/>
      </w:rPr>
      <mc:AlternateContent>
        <mc:Choice Requires="wps">
          <w:drawing>
            <wp:anchor distT="0" distB="0" distL="114300" distR="114300" simplePos="0" relativeHeight="251660288" behindDoc="0" locked="0" layoutInCell="1" allowOverlap="1">
              <wp:simplePos x="0" y="0"/>
              <wp:positionH relativeFrom="margin">
                <wp:posOffset>2167255</wp:posOffset>
              </wp:positionH>
              <wp:positionV relativeFrom="paragraph">
                <wp:posOffset>-285750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34AD0E">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70.65pt;margin-top:-22.5pt;height:144pt;width:144pt;mso-position-horizontal-relative:margin;mso-wrap-style:none;z-index:251660288;mso-width-relative:page;mso-height-relative:page;" filled="f" stroked="f" coordsize="21600,21600" o:gfxdata="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CkhKp3YAAAACwEAAA8AAAAAAAAAAQAgAAAAIgAAAGRycy9kb3ducmV2Lnht&#10;bFBLAQIUABQAAAAIAIdO4kAuVmZ+MgIAAGMEAAAOAAAAAAAAAAEAIAAAACcBAABkcnMvZTJvRG9j&#10;LnhtbFBLBQYAAAAABgAGAFkBAADLBQAAAAA=&#10;">
              <v:fill on="f" focussize="0,0"/>
              <v:stroke on="f" weight="0.5pt"/>
              <v:imagedata o:title=""/>
              <o:lock v:ext="edit" aspectratio="f"/>
              <v:textbox inset="0mm,0mm,0mm,0mm" style="mso-fit-shape-to-text:t;">
                <w:txbxContent>
                  <w:p w14:paraId="3C34AD0E">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65</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440A1">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F11754">
                          <w:pPr>
                            <w:pStyle w:val="8"/>
                          </w:pPr>
                          <w:r>
                            <w:t xml:space="preserve">第 </w:t>
                          </w:r>
                          <w:r>
                            <w:fldChar w:fldCharType="begin"/>
                          </w:r>
                          <w:r>
                            <w:instrText xml:space="preserve"> PAGE  \* MERGEFORMAT </w:instrText>
                          </w:r>
                          <w:r>
                            <w:fldChar w:fldCharType="separate"/>
                          </w:r>
                          <w:r>
                            <w:t>1</w:t>
                          </w:r>
                          <w:r>
                            <w:fldChar w:fldCharType="end"/>
                          </w:r>
                          <w:r>
                            <w:t xml:space="preserve"> 页 共</w:t>
                          </w:r>
                          <w:r>
                            <w:rPr>
                              <w:rFonts w:hint="eastAsia"/>
                              <w:lang w:val="en-US" w:eastAsia="zh-CN"/>
                            </w:rPr>
                            <w:t>54</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61F11754">
                    <w:pPr>
                      <w:pStyle w:val="8"/>
                    </w:pPr>
                    <w:r>
                      <w:t xml:space="preserve">第 </w:t>
                    </w:r>
                    <w:r>
                      <w:fldChar w:fldCharType="begin"/>
                    </w:r>
                    <w:r>
                      <w:instrText xml:space="preserve"> PAGE  \* MERGEFORMAT </w:instrText>
                    </w:r>
                    <w:r>
                      <w:fldChar w:fldCharType="separate"/>
                    </w:r>
                    <w:r>
                      <w:t>1</w:t>
                    </w:r>
                    <w:r>
                      <w:fldChar w:fldCharType="end"/>
                    </w:r>
                    <w:r>
                      <w:t xml:space="preserve"> 页 共</w:t>
                    </w:r>
                    <w:r>
                      <w:rPr>
                        <w:rFonts w:hint="eastAsia"/>
                        <w:lang w:val="en-US" w:eastAsia="zh-CN"/>
                      </w:rPr>
                      <w:t>54</w:t>
                    </w:r>
                    <w:r>
                      <w:t xml:space="preserve"> 页</w:t>
                    </w:r>
                  </w:p>
                </w:txbxContent>
              </v:textbox>
            </v:shape>
          </w:pict>
        </mc:Fallback>
      </mc:AlternateContent>
    </w:r>
  </w:p>
  <w:p w14:paraId="3AF4BB1F">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708A3">
    <w:pPr>
      <w:pStyle w:val="9"/>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26E733"/>
    <w:multiLevelType w:val="singleLevel"/>
    <w:tmpl w:val="AA26E733"/>
    <w:lvl w:ilvl="0" w:tentative="0">
      <w:start w:val="1"/>
      <w:numFmt w:val="chineseCounting"/>
      <w:suff w:val="space"/>
      <w:lvlText w:val="第%1部分"/>
      <w:lvlJc w:val="left"/>
      <w:rPr>
        <w:rFonts w:hint="eastAsia"/>
      </w:rPr>
    </w:lvl>
  </w:abstractNum>
  <w:abstractNum w:abstractNumId="1">
    <w:nsid w:val="EF8D7EDD"/>
    <w:multiLevelType w:val="singleLevel"/>
    <w:tmpl w:val="EF8D7EDD"/>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dit="trackedChanges" w:enforcement="0"/>
  <w:defaultTabStop w:val="420"/>
  <w:drawingGridVerticalSpacing w:val="1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mNzg0ZDE1ZjI5YzY0YjcwMzc3YWFjNzM4OTY4NGIifQ=="/>
    <w:docVar w:name="KSO_WPS_MARK_KEY" w:val="3e6183d2-6170-4c9f-9194-9e1f6c12a256"/>
  </w:docVars>
  <w:rsids>
    <w:rsidRoot w:val="00172A27"/>
    <w:rsid w:val="000118A6"/>
    <w:rsid w:val="00014E71"/>
    <w:rsid w:val="00070351"/>
    <w:rsid w:val="00163894"/>
    <w:rsid w:val="00190047"/>
    <w:rsid w:val="00203180"/>
    <w:rsid w:val="00203CC0"/>
    <w:rsid w:val="00213CF6"/>
    <w:rsid w:val="00387CA6"/>
    <w:rsid w:val="003F5F2A"/>
    <w:rsid w:val="00496DA9"/>
    <w:rsid w:val="005373E8"/>
    <w:rsid w:val="00592882"/>
    <w:rsid w:val="006730BA"/>
    <w:rsid w:val="0078136E"/>
    <w:rsid w:val="008102F1"/>
    <w:rsid w:val="00895C57"/>
    <w:rsid w:val="008B3493"/>
    <w:rsid w:val="009224FE"/>
    <w:rsid w:val="009450A4"/>
    <w:rsid w:val="009530E3"/>
    <w:rsid w:val="00AE31A0"/>
    <w:rsid w:val="00B35E9C"/>
    <w:rsid w:val="00B970C4"/>
    <w:rsid w:val="00BC3A1F"/>
    <w:rsid w:val="00BF7D50"/>
    <w:rsid w:val="00C01140"/>
    <w:rsid w:val="00C14B6F"/>
    <w:rsid w:val="00C70D2C"/>
    <w:rsid w:val="00C94BA8"/>
    <w:rsid w:val="00CA1002"/>
    <w:rsid w:val="00CB30A1"/>
    <w:rsid w:val="00D25D47"/>
    <w:rsid w:val="00DF5360"/>
    <w:rsid w:val="00E1609D"/>
    <w:rsid w:val="00E178E3"/>
    <w:rsid w:val="00E95BC4"/>
    <w:rsid w:val="00ED202F"/>
    <w:rsid w:val="00F30062"/>
    <w:rsid w:val="00F474E7"/>
    <w:rsid w:val="010A1348"/>
    <w:rsid w:val="011E0CCE"/>
    <w:rsid w:val="013730A5"/>
    <w:rsid w:val="0147153B"/>
    <w:rsid w:val="01510F6A"/>
    <w:rsid w:val="015765E3"/>
    <w:rsid w:val="01813F60"/>
    <w:rsid w:val="01B5752C"/>
    <w:rsid w:val="01B6046E"/>
    <w:rsid w:val="01BF37C7"/>
    <w:rsid w:val="01C04E49"/>
    <w:rsid w:val="01D26D8C"/>
    <w:rsid w:val="01D9415D"/>
    <w:rsid w:val="021C600F"/>
    <w:rsid w:val="022C24DE"/>
    <w:rsid w:val="02391BF0"/>
    <w:rsid w:val="024C0DD3"/>
    <w:rsid w:val="024E1742"/>
    <w:rsid w:val="024F7C95"/>
    <w:rsid w:val="02587777"/>
    <w:rsid w:val="02820350"/>
    <w:rsid w:val="02854A8C"/>
    <w:rsid w:val="028873DB"/>
    <w:rsid w:val="02994018"/>
    <w:rsid w:val="029D34AA"/>
    <w:rsid w:val="02A9480A"/>
    <w:rsid w:val="02B63659"/>
    <w:rsid w:val="02BF77F6"/>
    <w:rsid w:val="02D55869"/>
    <w:rsid w:val="02D768EE"/>
    <w:rsid w:val="02E1776D"/>
    <w:rsid w:val="02FE1B0B"/>
    <w:rsid w:val="033E696D"/>
    <w:rsid w:val="03630182"/>
    <w:rsid w:val="036D65A5"/>
    <w:rsid w:val="03800D34"/>
    <w:rsid w:val="03EE2CEC"/>
    <w:rsid w:val="03FB7C54"/>
    <w:rsid w:val="040B4A77"/>
    <w:rsid w:val="04277401"/>
    <w:rsid w:val="04332207"/>
    <w:rsid w:val="04340622"/>
    <w:rsid w:val="04910D1F"/>
    <w:rsid w:val="049F343C"/>
    <w:rsid w:val="04AB1DE0"/>
    <w:rsid w:val="04B35139"/>
    <w:rsid w:val="04C93D27"/>
    <w:rsid w:val="04CE3287"/>
    <w:rsid w:val="04D53318"/>
    <w:rsid w:val="04DA0918"/>
    <w:rsid w:val="04DF3C4E"/>
    <w:rsid w:val="04E6106A"/>
    <w:rsid w:val="04E77D7D"/>
    <w:rsid w:val="04EB042F"/>
    <w:rsid w:val="04FB7762"/>
    <w:rsid w:val="04FF3EDA"/>
    <w:rsid w:val="050128A7"/>
    <w:rsid w:val="051C4A8C"/>
    <w:rsid w:val="052027CE"/>
    <w:rsid w:val="05216546"/>
    <w:rsid w:val="053022E6"/>
    <w:rsid w:val="053F5954"/>
    <w:rsid w:val="054F4E62"/>
    <w:rsid w:val="05657FDC"/>
    <w:rsid w:val="056B1570"/>
    <w:rsid w:val="059B1E55"/>
    <w:rsid w:val="05A101F3"/>
    <w:rsid w:val="05AB5E10"/>
    <w:rsid w:val="05D56967"/>
    <w:rsid w:val="05E732EC"/>
    <w:rsid w:val="05FA2136"/>
    <w:rsid w:val="064A0EA5"/>
    <w:rsid w:val="06530982"/>
    <w:rsid w:val="06706AD8"/>
    <w:rsid w:val="06976105"/>
    <w:rsid w:val="06A66D03"/>
    <w:rsid w:val="06D31393"/>
    <w:rsid w:val="06DC2F7F"/>
    <w:rsid w:val="06ED4932"/>
    <w:rsid w:val="06F832D7"/>
    <w:rsid w:val="070B125C"/>
    <w:rsid w:val="071716FC"/>
    <w:rsid w:val="07181283"/>
    <w:rsid w:val="071B1643"/>
    <w:rsid w:val="07311721"/>
    <w:rsid w:val="073F4A62"/>
    <w:rsid w:val="0749768F"/>
    <w:rsid w:val="07513FB1"/>
    <w:rsid w:val="07580BE5"/>
    <w:rsid w:val="075D56E6"/>
    <w:rsid w:val="076A3F72"/>
    <w:rsid w:val="07740BAF"/>
    <w:rsid w:val="077E558A"/>
    <w:rsid w:val="07B436A2"/>
    <w:rsid w:val="07B9513E"/>
    <w:rsid w:val="07C02047"/>
    <w:rsid w:val="07E13D6B"/>
    <w:rsid w:val="07E31891"/>
    <w:rsid w:val="07F41CF0"/>
    <w:rsid w:val="07F61040"/>
    <w:rsid w:val="07FC5C21"/>
    <w:rsid w:val="081B54CF"/>
    <w:rsid w:val="081B70BC"/>
    <w:rsid w:val="083A6C4A"/>
    <w:rsid w:val="084731D1"/>
    <w:rsid w:val="085547A4"/>
    <w:rsid w:val="085C7B8E"/>
    <w:rsid w:val="089112ED"/>
    <w:rsid w:val="08A6123D"/>
    <w:rsid w:val="08B374B6"/>
    <w:rsid w:val="08BC34BB"/>
    <w:rsid w:val="08D04EA3"/>
    <w:rsid w:val="08D1580F"/>
    <w:rsid w:val="08DE62E2"/>
    <w:rsid w:val="08F24A3C"/>
    <w:rsid w:val="08FA1588"/>
    <w:rsid w:val="090207D6"/>
    <w:rsid w:val="091A7535"/>
    <w:rsid w:val="094F7E28"/>
    <w:rsid w:val="09757AB5"/>
    <w:rsid w:val="09760B9C"/>
    <w:rsid w:val="099A1CCF"/>
    <w:rsid w:val="09A56C91"/>
    <w:rsid w:val="09A82D92"/>
    <w:rsid w:val="09C46844"/>
    <w:rsid w:val="09C94AB7"/>
    <w:rsid w:val="09E22A5D"/>
    <w:rsid w:val="09E87633"/>
    <w:rsid w:val="09FB1114"/>
    <w:rsid w:val="09FB55B8"/>
    <w:rsid w:val="09FB7366"/>
    <w:rsid w:val="09FF6F98"/>
    <w:rsid w:val="0A2118B5"/>
    <w:rsid w:val="0A454A85"/>
    <w:rsid w:val="0A5922DF"/>
    <w:rsid w:val="0A60366D"/>
    <w:rsid w:val="0A7964DD"/>
    <w:rsid w:val="0A9A5DF0"/>
    <w:rsid w:val="0ACE6829"/>
    <w:rsid w:val="0AD62B48"/>
    <w:rsid w:val="0AE30F3A"/>
    <w:rsid w:val="0AFA3582"/>
    <w:rsid w:val="0B187BFF"/>
    <w:rsid w:val="0B3C1D27"/>
    <w:rsid w:val="0B3D2BA6"/>
    <w:rsid w:val="0B70650A"/>
    <w:rsid w:val="0B7A69B0"/>
    <w:rsid w:val="0BB84DE3"/>
    <w:rsid w:val="0BB93035"/>
    <w:rsid w:val="0BD92D6E"/>
    <w:rsid w:val="0BD95485"/>
    <w:rsid w:val="0BDB7D38"/>
    <w:rsid w:val="0C125258"/>
    <w:rsid w:val="0C177688"/>
    <w:rsid w:val="0C1D2B00"/>
    <w:rsid w:val="0C4D2770"/>
    <w:rsid w:val="0C727688"/>
    <w:rsid w:val="0C8E44C1"/>
    <w:rsid w:val="0C9B273A"/>
    <w:rsid w:val="0CAF7ADB"/>
    <w:rsid w:val="0CBC5C8A"/>
    <w:rsid w:val="0CC04DC6"/>
    <w:rsid w:val="0CC9374C"/>
    <w:rsid w:val="0CCA5228"/>
    <w:rsid w:val="0CCC7052"/>
    <w:rsid w:val="0CD65E68"/>
    <w:rsid w:val="0CE1709F"/>
    <w:rsid w:val="0D006A41"/>
    <w:rsid w:val="0D0522AA"/>
    <w:rsid w:val="0D077DD0"/>
    <w:rsid w:val="0D0B0EE3"/>
    <w:rsid w:val="0D186481"/>
    <w:rsid w:val="0D2C57C7"/>
    <w:rsid w:val="0D4536A9"/>
    <w:rsid w:val="0D6042F4"/>
    <w:rsid w:val="0D723345"/>
    <w:rsid w:val="0D8B6C53"/>
    <w:rsid w:val="0D9553DC"/>
    <w:rsid w:val="0D964F5E"/>
    <w:rsid w:val="0DAE068F"/>
    <w:rsid w:val="0DAE649D"/>
    <w:rsid w:val="0DBB3044"/>
    <w:rsid w:val="0DD51C7C"/>
    <w:rsid w:val="0DD56120"/>
    <w:rsid w:val="0DD63101"/>
    <w:rsid w:val="0DD95C10"/>
    <w:rsid w:val="0DEF4AF4"/>
    <w:rsid w:val="0DF51C0D"/>
    <w:rsid w:val="0DFE67C9"/>
    <w:rsid w:val="0E060087"/>
    <w:rsid w:val="0E0D6E79"/>
    <w:rsid w:val="0E2055ED"/>
    <w:rsid w:val="0E236E8B"/>
    <w:rsid w:val="0E40102B"/>
    <w:rsid w:val="0E464928"/>
    <w:rsid w:val="0E4741D7"/>
    <w:rsid w:val="0E4806A0"/>
    <w:rsid w:val="0E5205B9"/>
    <w:rsid w:val="0E575B4B"/>
    <w:rsid w:val="0E590AFF"/>
    <w:rsid w:val="0E753A46"/>
    <w:rsid w:val="0E761088"/>
    <w:rsid w:val="0EA63619"/>
    <w:rsid w:val="0EC341CA"/>
    <w:rsid w:val="0ED80288"/>
    <w:rsid w:val="0EDD34DE"/>
    <w:rsid w:val="0EFD148A"/>
    <w:rsid w:val="0F0A3692"/>
    <w:rsid w:val="0F0E18EA"/>
    <w:rsid w:val="0F3050A6"/>
    <w:rsid w:val="0F465E76"/>
    <w:rsid w:val="0F56503F"/>
    <w:rsid w:val="0F580DB7"/>
    <w:rsid w:val="0F706264"/>
    <w:rsid w:val="0F9A1418"/>
    <w:rsid w:val="0FA17752"/>
    <w:rsid w:val="0FB22358"/>
    <w:rsid w:val="0FD57629"/>
    <w:rsid w:val="0FDC5544"/>
    <w:rsid w:val="10352EA6"/>
    <w:rsid w:val="108674CF"/>
    <w:rsid w:val="10922D88"/>
    <w:rsid w:val="109E0A4B"/>
    <w:rsid w:val="10A145F0"/>
    <w:rsid w:val="10A14840"/>
    <w:rsid w:val="10A23752"/>
    <w:rsid w:val="10CD2622"/>
    <w:rsid w:val="10D80992"/>
    <w:rsid w:val="11034D52"/>
    <w:rsid w:val="11126856"/>
    <w:rsid w:val="11243FFF"/>
    <w:rsid w:val="113718BF"/>
    <w:rsid w:val="11407F98"/>
    <w:rsid w:val="11557E4D"/>
    <w:rsid w:val="11565855"/>
    <w:rsid w:val="11665A0D"/>
    <w:rsid w:val="11743B70"/>
    <w:rsid w:val="1188642D"/>
    <w:rsid w:val="11902C28"/>
    <w:rsid w:val="119D1F55"/>
    <w:rsid w:val="11AE5A53"/>
    <w:rsid w:val="11D01CF9"/>
    <w:rsid w:val="11EB7CC0"/>
    <w:rsid w:val="11FC60EA"/>
    <w:rsid w:val="12077CFA"/>
    <w:rsid w:val="121B43BF"/>
    <w:rsid w:val="12271A49"/>
    <w:rsid w:val="122907E8"/>
    <w:rsid w:val="124205D1"/>
    <w:rsid w:val="12613ED3"/>
    <w:rsid w:val="12635AA8"/>
    <w:rsid w:val="12696E37"/>
    <w:rsid w:val="126E62DF"/>
    <w:rsid w:val="127952CC"/>
    <w:rsid w:val="12A30FD7"/>
    <w:rsid w:val="12AA36D7"/>
    <w:rsid w:val="12CD386A"/>
    <w:rsid w:val="12F901BB"/>
    <w:rsid w:val="130D422A"/>
    <w:rsid w:val="130F3E82"/>
    <w:rsid w:val="13165211"/>
    <w:rsid w:val="132E143F"/>
    <w:rsid w:val="13471AD0"/>
    <w:rsid w:val="134753CA"/>
    <w:rsid w:val="134C478E"/>
    <w:rsid w:val="135B5878"/>
    <w:rsid w:val="13781A27"/>
    <w:rsid w:val="13826402"/>
    <w:rsid w:val="13845E89"/>
    <w:rsid w:val="13877EBC"/>
    <w:rsid w:val="13985C26"/>
    <w:rsid w:val="139D15ED"/>
    <w:rsid w:val="13B14F39"/>
    <w:rsid w:val="13E97B32"/>
    <w:rsid w:val="14092680"/>
    <w:rsid w:val="14226B92"/>
    <w:rsid w:val="14301B15"/>
    <w:rsid w:val="14530591"/>
    <w:rsid w:val="14564D5E"/>
    <w:rsid w:val="14661880"/>
    <w:rsid w:val="14726477"/>
    <w:rsid w:val="14870CC8"/>
    <w:rsid w:val="1492781C"/>
    <w:rsid w:val="1499025C"/>
    <w:rsid w:val="149B6797"/>
    <w:rsid w:val="14B678F8"/>
    <w:rsid w:val="14C41530"/>
    <w:rsid w:val="14C9686C"/>
    <w:rsid w:val="14E07884"/>
    <w:rsid w:val="14F15522"/>
    <w:rsid w:val="150337D5"/>
    <w:rsid w:val="1504174F"/>
    <w:rsid w:val="15084B3F"/>
    <w:rsid w:val="152135DE"/>
    <w:rsid w:val="152F6751"/>
    <w:rsid w:val="1553452D"/>
    <w:rsid w:val="15542020"/>
    <w:rsid w:val="156F29B6"/>
    <w:rsid w:val="157E0E4B"/>
    <w:rsid w:val="158263AD"/>
    <w:rsid w:val="158F501B"/>
    <w:rsid w:val="159452FD"/>
    <w:rsid w:val="15A9794A"/>
    <w:rsid w:val="15B036FB"/>
    <w:rsid w:val="15B14B22"/>
    <w:rsid w:val="15BA33B1"/>
    <w:rsid w:val="15CD0276"/>
    <w:rsid w:val="15E16D7A"/>
    <w:rsid w:val="15E46F00"/>
    <w:rsid w:val="15FE0734"/>
    <w:rsid w:val="16041350"/>
    <w:rsid w:val="16151C72"/>
    <w:rsid w:val="161A23FF"/>
    <w:rsid w:val="161D3A64"/>
    <w:rsid w:val="161F43DC"/>
    <w:rsid w:val="16290B92"/>
    <w:rsid w:val="16297009"/>
    <w:rsid w:val="16411B20"/>
    <w:rsid w:val="165C2217"/>
    <w:rsid w:val="167069E6"/>
    <w:rsid w:val="167D1693"/>
    <w:rsid w:val="167D7D71"/>
    <w:rsid w:val="169F1079"/>
    <w:rsid w:val="16A3500D"/>
    <w:rsid w:val="16A362C6"/>
    <w:rsid w:val="16B36AE1"/>
    <w:rsid w:val="16C15493"/>
    <w:rsid w:val="16E42F30"/>
    <w:rsid w:val="16ED4897"/>
    <w:rsid w:val="16FE0496"/>
    <w:rsid w:val="172A0C99"/>
    <w:rsid w:val="173835AF"/>
    <w:rsid w:val="174C7453"/>
    <w:rsid w:val="174D0264"/>
    <w:rsid w:val="17822E75"/>
    <w:rsid w:val="179A1DCD"/>
    <w:rsid w:val="17A15E0B"/>
    <w:rsid w:val="17AF1790"/>
    <w:rsid w:val="17B402E8"/>
    <w:rsid w:val="17C400EA"/>
    <w:rsid w:val="17DE3E23"/>
    <w:rsid w:val="17E53404"/>
    <w:rsid w:val="17EC5092"/>
    <w:rsid w:val="1811244B"/>
    <w:rsid w:val="18187335"/>
    <w:rsid w:val="181D494B"/>
    <w:rsid w:val="183C2E3A"/>
    <w:rsid w:val="183D3240"/>
    <w:rsid w:val="18416A30"/>
    <w:rsid w:val="185B7321"/>
    <w:rsid w:val="186E09C7"/>
    <w:rsid w:val="188E5849"/>
    <w:rsid w:val="18937310"/>
    <w:rsid w:val="189E4F3F"/>
    <w:rsid w:val="18C83A9F"/>
    <w:rsid w:val="18F224FA"/>
    <w:rsid w:val="18FC77C6"/>
    <w:rsid w:val="190D49C0"/>
    <w:rsid w:val="191D4341"/>
    <w:rsid w:val="19206CA1"/>
    <w:rsid w:val="19265A82"/>
    <w:rsid w:val="1938288F"/>
    <w:rsid w:val="193C37AA"/>
    <w:rsid w:val="193D3C3C"/>
    <w:rsid w:val="193E360F"/>
    <w:rsid w:val="19597C05"/>
    <w:rsid w:val="195C7136"/>
    <w:rsid w:val="197762DD"/>
    <w:rsid w:val="19786A87"/>
    <w:rsid w:val="198B5F6F"/>
    <w:rsid w:val="19A05834"/>
    <w:rsid w:val="19A1648E"/>
    <w:rsid w:val="19AE6C9F"/>
    <w:rsid w:val="19B1359D"/>
    <w:rsid w:val="19B24E93"/>
    <w:rsid w:val="19B25567"/>
    <w:rsid w:val="19B7455F"/>
    <w:rsid w:val="19CE059A"/>
    <w:rsid w:val="19DB4ABE"/>
    <w:rsid w:val="1A015E61"/>
    <w:rsid w:val="1A0667DD"/>
    <w:rsid w:val="1A1B00A3"/>
    <w:rsid w:val="1A2A15A2"/>
    <w:rsid w:val="1A366BD3"/>
    <w:rsid w:val="1A402B73"/>
    <w:rsid w:val="1A903AFB"/>
    <w:rsid w:val="1AA475A6"/>
    <w:rsid w:val="1AC11F06"/>
    <w:rsid w:val="1ACC0721"/>
    <w:rsid w:val="1B022F94"/>
    <w:rsid w:val="1B2B4344"/>
    <w:rsid w:val="1B310517"/>
    <w:rsid w:val="1B3C1FFD"/>
    <w:rsid w:val="1B4E30B7"/>
    <w:rsid w:val="1B7B7127"/>
    <w:rsid w:val="1B9118D8"/>
    <w:rsid w:val="1BA16335"/>
    <w:rsid w:val="1BA57132"/>
    <w:rsid w:val="1BA6218E"/>
    <w:rsid w:val="1BAD5FE6"/>
    <w:rsid w:val="1BB13D28"/>
    <w:rsid w:val="1BBC22C6"/>
    <w:rsid w:val="1BC13DCC"/>
    <w:rsid w:val="1BDF0508"/>
    <w:rsid w:val="1BE177E6"/>
    <w:rsid w:val="1BEE6D2B"/>
    <w:rsid w:val="1BF5598D"/>
    <w:rsid w:val="1C0148AF"/>
    <w:rsid w:val="1C116575"/>
    <w:rsid w:val="1C305105"/>
    <w:rsid w:val="1C485D0F"/>
    <w:rsid w:val="1C4A1A87"/>
    <w:rsid w:val="1C547B70"/>
    <w:rsid w:val="1C700BEF"/>
    <w:rsid w:val="1C7B17FA"/>
    <w:rsid w:val="1C896A53"/>
    <w:rsid w:val="1C972259"/>
    <w:rsid w:val="1C9D20E2"/>
    <w:rsid w:val="1CA05B4B"/>
    <w:rsid w:val="1CAF0157"/>
    <w:rsid w:val="1CB11B06"/>
    <w:rsid w:val="1CBF2781"/>
    <w:rsid w:val="1CC306E9"/>
    <w:rsid w:val="1CD70D11"/>
    <w:rsid w:val="1CDF09E4"/>
    <w:rsid w:val="1CF42E6E"/>
    <w:rsid w:val="1CF70848"/>
    <w:rsid w:val="1D085BCA"/>
    <w:rsid w:val="1D0D1432"/>
    <w:rsid w:val="1D104A7F"/>
    <w:rsid w:val="1D1074B6"/>
    <w:rsid w:val="1D444728"/>
    <w:rsid w:val="1D52005B"/>
    <w:rsid w:val="1D7711E5"/>
    <w:rsid w:val="1D7879E5"/>
    <w:rsid w:val="1D7E60AC"/>
    <w:rsid w:val="1D8D5398"/>
    <w:rsid w:val="1DA33B45"/>
    <w:rsid w:val="1DC36C05"/>
    <w:rsid w:val="1DD26A50"/>
    <w:rsid w:val="1DEB0CCB"/>
    <w:rsid w:val="1DFB128B"/>
    <w:rsid w:val="1E052B8D"/>
    <w:rsid w:val="1E0D7210"/>
    <w:rsid w:val="1E2A7D44"/>
    <w:rsid w:val="1E611A53"/>
    <w:rsid w:val="1E641526"/>
    <w:rsid w:val="1E67154A"/>
    <w:rsid w:val="1E6B19BE"/>
    <w:rsid w:val="1E8A02A3"/>
    <w:rsid w:val="1E933BB9"/>
    <w:rsid w:val="1E9E3807"/>
    <w:rsid w:val="1ECE2E43"/>
    <w:rsid w:val="1EE518CA"/>
    <w:rsid w:val="1EF1268E"/>
    <w:rsid w:val="1EFE4EDD"/>
    <w:rsid w:val="1F026649"/>
    <w:rsid w:val="1F1464D9"/>
    <w:rsid w:val="1F176598"/>
    <w:rsid w:val="1F417171"/>
    <w:rsid w:val="1F437CC6"/>
    <w:rsid w:val="1F444EB4"/>
    <w:rsid w:val="1F4F074B"/>
    <w:rsid w:val="1F5A6485"/>
    <w:rsid w:val="1F6B5C4E"/>
    <w:rsid w:val="1F881E32"/>
    <w:rsid w:val="1F8D23B7"/>
    <w:rsid w:val="1FB45B95"/>
    <w:rsid w:val="1FC3519E"/>
    <w:rsid w:val="1FC61487"/>
    <w:rsid w:val="1FD405FC"/>
    <w:rsid w:val="1FF57B15"/>
    <w:rsid w:val="201C6394"/>
    <w:rsid w:val="202076CF"/>
    <w:rsid w:val="202D3B9A"/>
    <w:rsid w:val="20305F21"/>
    <w:rsid w:val="203B28A1"/>
    <w:rsid w:val="204A474C"/>
    <w:rsid w:val="20542ED4"/>
    <w:rsid w:val="2063580D"/>
    <w:rsid w:val="20644136"/>
    <w:rsid w:val="20695B32"/>
    <w:rsid w:val="207B343E"/>
    <w:rsid w:val="20801F1B"/>
    <w:rsid w:val="20994D8B"/>
    <w:rsid w:val="20B35E4D"/>
    <w:rsid w:val="20BB73F7"/>
    <w:rsid w:val="20CF6A27"/>
    <w:rsid w:val="20D364EF"/>
    <w:rsid w:val="20DB1848"/>
    <w:rsid w:val="20DE6C42"/>
    <w:rsid w:val="20E95E3C"/>
    <w:rsid w:val="20EC75B1"/>
    <w:rsid w:val="20EF2BFD"/>
    <w:rsid w:val="21260D15"/>
    <w:rsid w:val="212C2C54"/>
    <w:rsid w:val="212C428E"/>
    <w:rsid w:val="212E52ED"/>
    <w:rsid w:val="2144119B"/>
    <w:rsid w:val="215D109F"/>
    <w:rsid w:val="215E090F"/>
    <w:rsid w:val="21613AFB"/>
    <w:rsid w:val="2164771A"/>
    <w:rsid w:val="216A13BE"/>
    <w:rsid w:val="21735A99"/>
    <w:rsid w:val="2177331E"/>
    <w:rsid w:val="21837F15"/>
    <w:rsid w:val="219A78C7"/>
    <w:rsid w:val="21A8557E"/>
    <w:rsid w:val="21CE3BBD"/>
    <w:rsid w:val="21D02A2F"/>
    <w:rsid w:val="21E55344"/>
    <w:rsid w:val="21E9116B"/>
    <w:rsid w:val="220B1CB9"/>
    <w:rsid w:val="220B2782"/>
    <w:rsid w:val="220F05CF"/>
    <w:rsid w:val="22205764"/>
    <w:rsid w:val="225275BA"/>
    <w:rsid w:val="225E003A"/>
    <w:rsid w:val="227B299A"/>
    <w:rsid w:val="227E692E"/>
    <w:rsid w:val="228E4923"/>
    <w:rsid w:val="228F6446"/>
    <w:rsid w:val="22910410"/>
    <w:rsid w:val="22A363ED"/>
    <w:rsid w:val="22AE65BE"/>
    <w:rsid w:val="22B63195"/>
    <w:rsid w:val="22BC4220"/>
    <w:rsid w:val="22E5250A"/>
    <w:rsid w:val="22F369D5"/>
    <w:rsid w:val="22F616B5"/>
    <w:rsid w:val="22FD0E5C"/>
    <w:rsid w:val="230778C7"/>
    <w:rsid w:val="231A510B"/>
    <w:rsid w:val="23331187"/>
    <w:rsid w:val="235F1197"/>
    <w:rsid w:val="235F406A"/>
    <w:rsid w:val="236A7616"/>
    <w:rsid w:val="236F7F68"/>
    <w:rsid w:val="2374647C"/>
    <w:rsid w:val="237C3267"/>
    <w:rsid w:val="23A21A79"/>
    <w:rsid w:val="23BC326A"/>
    <w:rsid w:val="23BD72DF"/>
    <w:rsid w:val="23DA1E7B"/>
    <w:rsid w:val="23E629DD"/>
    <w:rsid w:val="23E7405F"/>
    <w:rsid w:val="23EA5501"/>
    <w:rsid w:val="24156E1F"/>
    <w:rsid w:val="243E45C7"/>
    <w:rsid w:val="2475240E"/>
    <w:rsid w:val="247955FF"/>
    <w:rsid w:val="24961E78"/>
    <w:rsid w:val="24AD5A93"/>
    <w:rsid w:val="24B56686"/>
    <w:rsid w:val="24BD3F2F"/>
    <w:rsid w:val="24D665AE"/>
    <w:rsid w:val="25201F1F"/>
    <w:rsid w:val="25207829"/>
    <w:rsid w:val="25275932"/>
    <w:rsid w:val="254C15F2"/>
    <w:rsid w:val="256A6BDA"/>
    <w:rsid w:val="256E456D"/>
    <w:rsid w:val="257D3EAF"/>
    <w:rsid w:val="258A399C"/>
    <w:rsid w:val="25AE72ED"/>
    <w:rsid w:val="25B34B41"/>
    <w:rsid w:val="26086C3B"/>
    <w:rsid w:val="261920D8"/>
    <w:rsid w:val="261B0492"/>
    <w:rsid w:val="26254703"/>
    <w:rsid w:val="262D7F52"/>
    <w:rsid w:val="26415CA9"/>
    <w:rsid w:val="26492DAF"/>
    <w:rsid w:val="264D0AF2"/>
    <w:rsid w:val="26571970"/>
    <w:rsid w:val="26655E3B"/>
    <w:rsid w:val="26E75394"/>
    <w:rsid w:val="26EF4335"/>
    <w:rsid w:val="270B4948"/>
    <w:rsid w:val="27215AAC"/>
    <w:rsid w:val="2723400E"/>
    <w:rsid w:val="273B094A"/>
    <w:rsid w:val="273E668C"/>
    <w:rsid w:val="274041B2"/>
    <w:rsid w:val="27594AEA"/>
    <w:rsid w:val="27763E18"/>
    <w:rsid w:val="27767BD4"/>
    <w:rsid w:val="27A5262E"/>
    <w:rsid w:val="27B8643F"/>
    <w:rsid w:val="27C132F1"/>
    <w:rsid w:val="27CB7D80"/>
    <w:rsid w:val="27CD1F54"/>
    <w:rsid w:val="27D85841"/>
    <w:rsid w:val="27D86AE1"/>
    <w:rsid w:val="27DD7C53"/>
    <w:rsid w:val="27E014F2"/>
    <w:rsid w:val="281F201A"/>
    <w:rsid w:val="28201DDD"/>
    <w:rsid w:val="283F090E"/>
    <w:rsid w:val="2844798D"/>
    <w:rsid w:val="28691716"/>
    <w:rsid w:val="28C45AE6"/>
    <w:rsid w:val="28C64B8B"/>
    <w:rsid w:val="28CD5F1A"/>
    <w:rsid w:val="28D366FF"/>
    <w:rsid w:val="28D9669A"/>
    <w:rsid w:val="28DF697D"/>
    <w:rsid w:val="2900094D"/>
    <w:rsid w:val="291458F7"/>
    <w:rsid w:val="296D0CD1"/>
    <w:rsid w:val="297B7724"/>
    <w:rsid w:val="29826D04"/>
    <w:rsid w:val="29AE7AF9"/>
    <w:rsid w:val="29B6075C"/>
    <w:rsid w:val="29D532D8"/>
    <w:rsid w:val="29EE6148"/>
    <w:rsid w:val="29FB219D"/>
    <w:rsid w:val="2A157B78"/>
    <w:rsid w:val="2A5A558B"/>
    <w:rsid w:val="2A6B59EA"/>
    <w:rsid w:val="2A6C2FBF"/>
    <w:rsid w:val="2A7D127A"/>
    <w:rsid w:val="2A8153E1"/>
    <w:rsid w:val="2A8673CC"/>
    <w:rsid w:val="2A8D5961"/>
    <w:rsid w:val="2A957654"/>
    <w:rsid w:val="2AD92954"/>
    <w:rsid w:val="2AEA2DB3"/>
    <w:rsid w:val="2AEC6B2B"/>
    <w:rsid w:val="2B0139C3"/>
    <w:rsid w:val="2B0B4446"/>
    <w:rsid w:val="2B0B5F38"/>
    <w:rsid w:val="2B230BF3"/>
    <w:rsid w:val="2B471FB3"/>
    <w:rsid w:val="2B88437A"/>
    <w:rsid w:val="2B88534B"/>
    <w:rsid w:val="2BB4516F"/>
    <w:rsid w:val="2BCD2F8E"/>
    <w:rsid w:val="2BE27F2E"/>
    <w:rsid w:val="2BE55328"/>
    <w:rsid w:val="2BFA75AC"/>
    <w:rsid w:val="2BFF463C"/>
    <w:rsid w:val="2C0E487F"/>
    <w:rsid w:val="2C161986"/>
    <w:rsid w:val="2C180916"/>
    <w:rsid w:val="2C1E35F3"/>
    <w:rsid w:val="2C35005E"/>
    <w:rsid w:val="2C4F5B19"/>
    <w:rsid w:val="2C505CDF"/>
    <w:rsid w:val="2C526E62"/>
    <w:rsid w:val="2C5524AE"/>
    <w:rsid w:val="2C6E3292"/>
    <w:rsid w:val="2C7E4AF1"/>
    <w:rsid w:val="2C862B2D"/>
    <w:rsid w:val="2C8974AE"/>
    <w:rsid w:val="2C901738"/>
    <w:rsid w:val="2C9651E0"/>
    <w:rsid w:val="2CA034F5"/>
    <w:rsid w:val="2CA64AB8"/>
    <w:rsid w:val="2CC118F2"/>
    <w:rsid w:val="2CC8525F"/>
    <w:rsid w:val="2CD34A44"/>
    <w:rsid w:val="2CE101E6"/>
    <w:rsid w:val="2CEB1DDF"/>
    <w:rsid w:val="2CF00E40"/>
    <w:rsid w:val="2CF43CB8"/>
    <w:rsid w:val="2CF96C08"/>
    <w:rsid w:val="2CFF066C"/>
    <w:rsid w:val="2D2360D5"/>
    <w:rsid w:val="2D3575D7"/>
    <w:rsid w:val="2D392A9A"/>
    <w:rsid w:val="2D3F2720"/>
    <w:rsid w:val="2D6A3D37"/>
    <w:rsid w:val="2D8017AD"/>
    <w:rsid w:val="2DAB4601"/>
    <w:rsid w:val="2DB43204"/>
    <w:rsid w:val="2DB54923"/>
    <w:rsid w:val="2DBF6A28"/>
    <w:rsid w:val="2DC75DE6"/>
    <w:rsid w:val="2DD04934"/>
    <w:rsid w:val="2DDB4BC1"/>
    <w:rsid w:val="2DDD3FC1"/>
    <w:rsid w:val="2E0F2B31"/>
    <w:rsid w:val="2E1F17F1"/>
    <w:rsid w:val="2E220AB6"/>
    <w:rsid w:val="2E2465DC"/>
    <w:rsid w:val="2E255EB0"/>
    <w:rsid w:val="2E3A7D96"/>
    <w:rsid w:val="2E4427DA"/>
    <w:rsid w:val="2E5C5D76"/>
    <w:rsid w:val="2E5D389C"/>
    <w:rsid w:val="2E5D477B"/>
    <w:rsid w:val="2E630C84"/>
    <w:rsid w:val="2E641B42"/>
    <w:rsid w:val="2E837111"/>
    <w:rsid w:val="2E84600A"/>
    <w:rsid w:val="2E956466"/>
    <w:rsid w:val="2EAB0AAB"/>
    <w:rsid w:val="2EBF37A7"/>
    <w:rsid w:val="2EBF4B0B"/>
    <w:rsid w:val="2ED26038"/>
    <w:rsid w:val="2ED86F63"/>
    <w:rsid w:val="2EDC5551"/>
    <w:rsid w:val="2EED10C4"/>
    <w:rsid w:val="2EF7784D"/>
    <w:rsid w:val="2EFA10EB"/>
    <w:rsid w:val="2EFB21A9"/>
    <w:rsid w:val="2F1A353B"/>
    <w:rsid w:val="2F1F5A06"/>
    <w:rsid w:val="2F1F5FD6"/>
    <w:rsid w:val="2F3C1703"/>
    <w:rsid w:val="2F407445"/>
    <w:rsid w:val="2F544C9F"/>
    <w:rsid w:val="2F5702EB"/>
    <w:rsid w:val="2F6F0666"/>
    <w:rsid w:val="2F860BD0"/>
    <w:rsid w:val="2F927575"/>
    <w:rsid w:val="2FF574A1"/>
    <w:rsid w:val="300246FB"/>
    <w:rsid w:val="301D42EF"/>
    <w:rsid w:val="30250D25"/>
    <w:rsid w:val="3025488D"/>
    <w:rsid w:val="3044084D"/>
    <w:rsid w:val="304E5F54"/>
    <w:rsid w:val="30644D23"/>
    <w:rsid w:val="30894E1C"/>
    <w:rsid w:val="30B05F05"/>
    <w:rsid w:val="30CD3408"/>
    <w:rsid w:val="30CF4EA4"/>
    <w:rsid w:val="30DA5678"/>
    <w:rsid w:val="30F57DBC"/>
    <w:rsid w:val="30FA3624"/>
    <w:rsid w:val="31002A27"/>
    <w:rsid w:val="310A4AEB"/>
    <w:rsid w:val="310D2023"/>
    <w:rsid w:val="313308E4"/>
    <w:rsid w:val="314D7BF8"/>
    <w:rsid w:val="3163741B"/>
    <w:rsid w:val="31662CD4"/>
    <w:rsid w:val="31857392"/>
    <w:rsid w:val="318E1BB8"/>
    <w:rsid w:val="319475D5"/>
    <w:rsid w:val="319976C6"/>
    <w:rsid w:val="319A711F"/>
    <w:rsid w:val="31A15954"/>
    <w:rsid w:val="31C375C8"/>
    <w:rsid w:val="31E33FB1"/>
    <w:rsid w:val="31E75151"/>
    <w:rsid w:val="320643AF"/>
    <w:rsid w:val="32130E41"/>
    <w:rsid w:val="322841C1"/>
    <w:rsid w:val="322D6302"/>
    <w:rsid w:val="32562ADC"/>
    <w:rsid w:val="32632A63"/>
    <w:rsid w:val="326F46E0"/>
    <w:rsid w:val="327A3BC6"/>
    <w:rsid w:val="327D450D"/>
    <w:rsid w:val="327F745D"/>
    <w:rsid w:val="3284589B"/>
    <w:rsid w:val="328E671A"/>
    <w:rsid w:val="32962C35"/>
    <w:rsid w:val="32990C1B"/>
    <w:rsid w:val="32C24615"/>
    <w:rsid w:val="32CB013A"/>
    <w:rsid w:val="32D3412D"/>
    <w:rsid w:val="32DA017D"/>
    <w:rsid w:val="32E4458C"/>
    <w:rsid w:val="32E8120D"/>
    <w:rsid w:val="32F347CF"/>
    <w:rsid w:val="32F848CB"/>
    <w:rsid w:val="33007B2E"/>
    <w:rsid w:val="330306C4"/>
    <w:rsid w:val="330B1B18"/>
    <w:rsid w:val="331134D2"/>
    <w:rsid w:val="331D1161"/>
    <w:rsid w:val="33372EAB"/>
    <w:rsid w:val="3341378C"/>
    <w:rsid w:val="334C66DF"/>
    <w:rsid w:val="335C4122"/>
    <w:rsid w:val="335D1989"/>
    <w:rsid w:val="336F1756"/>
    <w:rsid w:val="33721B98"/>
    <w:rsid w:val="33786E01"/>
    <w:rsid w:val="337A0A4C"/>
    <w:rsid w:val="338056EA"/>
    <w:rsid w:val="33911204"/>
    <w:rsid w:val="33AF3D68"/>
    <w:rsid w:val="33AF6666"/>
    <w:rsid w:val="33BE6F4E"/>
    <w:rsid w:val="33C63C91"/>
    <w:rsid w:val="33CB572B"/>
    <w:rsid w:val="33CE657B"/>
    <w:rsid w:val="33EA3E24"/>
    <w:rsid w:val="33EC7B9C"/>
    <w:rsid w:val="33F1163C"/>
    <w:rsid w:val="33FB0977"/>
    <w:rsid w:val="34034EE6"/>
    <w:rsid w:val="340842AA"/>
    <w:rsid w:val="341C53BA"/>
    <w:rsid w:val="342C131A"/>
    <w:rsid w:val="34312EC5"/>
    <w:rsid w:val="3438104F"/>
    <w:rsid w:val="344A041F"/>
    <w:rsid w:val="347C39A8"/>
    <w:rsid w:val="34847DD4"/>
    <w:rsid w:val="34853B4C"/>
    <w:rsid w:val="3493296C"/>
    <w:rsid w:val="34AE30A3"/>
    <w:rsid w:val="34B34723"/>
    <w:rsid w:val="34E41339"/>
    <w:rsid w:val="34EB6364"/>
    <w:rsid w:val="34F565DC"/>
    <w:rsid w:val="35132F06"/>
    <w:rsid w:val="35373099"/>
    <w:rsid w:val="3538296D"/>
    <w:rsid w:val="354B444E"/>
    <w:rsid w:val="354E440C"/>
    <w:rsid w:val="356F6F29"/>
    <w:rsid w:val="358A766C"/>
    <w:rsid w:val="358B2CE3"/>
    <w:rsid w:val="358C26FA"/>
    <w:rsid w:val="359C4C4F"/>
    <w:rsid w:val="35BE2E72"/>
    <w:rsid w:val="35C32BDC"/>
    <w:rsid w:val="35D5640E"/>
    <w:rsid w:val="36401AD9"/>
    <w:rsid w:val="364610BA"/>
    <w:rsid w:val="36724494"/>
    <w:rsid w:val="3679649B"/>
    <w:rsid w:val="367D0F7F"/>
    <w:rsid w:val="36826C31"/>
    <w:rsid w:val="368F0CBF"/>
    <w:rsid w:val="36916FED"/>
    <w:rsid w:val="36A469C4"/>
    <w:rsid w:val="36A521D9"/>
    <w:rsid w:val="36F55EAA"/>
    <w:rsid w:val="370F0532"/>
    <w:rsid w:val="372B09DB"/>
    <w:rsid w:val="374E0226"/>
    <w:rsid w:val="37763F45"/>
    <w:rsid w:val="3784095E"/>
    <w:rsid w:val="37895E9F"/>
    <w:rsid w:val="37E40B8A"/>
    <w:rsid w:val="37EA2644"/>
    <w:rsid w:val="37EB1F18"/>
    <w:rsid w:val="38044D88"/>
    <w:rsid w:val="3806031D"/>
    <w:rsid w:val="382C513A"/>
    <w:rsid w:val="38417D8A"/>
    <w:rsid w:val="3842422E"/>
    <w:rsid w:val="3847643D"/>
    <w:rsid w:val="38526F7A"/>
    <w:rsid w:val="387243E8"/>
    <w:rsid w:val="387A2F34"/>
    <w:rsid w:val="387C555A"/>
    <w:rsid w:val="387E2D8D"/>
    <w:rsid w:val="389C521D"/>
    <w:rsid w:val="38E52970"/>
    <w:rsid w:val="38EA21D0"/>
    <w:rsid w:val="38F24DE8"/>
    <w:rsid w:val="38F372D7"/>
    <w:rsid w:val="38F65019"/>
    <w:rsid w:val="38FB43DD"/>
    <w:rsid w:val="3946752A"/>
    <w:rsid w:val="39641F82"/>
    <w:rsid w:val="39684912"/>
    <w:rsid w:val="397441F3"/>
    <w:rsid w:val="39764E9F"/>
    <w:rsid w:val="398919E9"/>
    <w:rsid w:val="39A16C97"/>
    <w:rsid w:val="39A24859"/>
    <w:rsid w:val="39A56B84"/>
    <w:rsid w:val="39A77BB2"/>
    <w:rsid w:val="39AD5743"/>
    <w:rsid w:val="39BE5B37"/>
    <w:rsid w:val="39CD1EE3"/>
    <w:rsid w:val="39CD78A2"/>
    <w:rsid w:val="39D1471A"/>
    <w:rsid w:val="39ED6FFB"/>
    <w:rsid w:val="3A19507F"/>
    <w:rsid w:val="3A67104B"/>
    <w:rsid w:val="3A81200E"/>
    <w:rsid w:val="3A850402"/>
    <w:rsid w:val="3A975B5D"/>
    <w:rsid w:val="3A9C399E"/>
    <w:rsid w:val="3AA52E29"/>
    <w:rsid w:val="3AA91B3C"/>
    <w:rsid w:val="3AB94550"/>
    <w:rsid w:val="3ABB7AA2"/>
    <w:rsid w:val="3AD1189A"/>
    <w:rsid w:val="3AD62A0C"/>
    <w:rsid w:val="3AFD68A7"/>
    <w:rsid w:val="3B1F45BC"/>
    <w:rsid w:val="3B255741"/>
    <w:rsid w:val="3B345984"/>
    <w:rsid w:val="3B36794F"/>
    <w:rsid w:val="3B367AA6"/>
    <w:rsid w:val="3B437161"/>
    <w:rsid w:val="3B506C62"/>
    <w:rsid w:val="3B514FD2"/>
    <w:rsid w:val="3B5A7643"/>
    <w:rsid w:val="3B6224F2"/>
    <w:rsid w:val="3B693880"/>
    <w:rsid w:val="3B755389"/>
    <w:rsid w:val="3B854AB6"/>
    <w:rsid w:val="3B8B7B2D"/>
    <w:rsid w:val="3B8E1539"/>
    <w:rsid w:val="3B9D177C"/>
    <w:rsid w:val="3BA046F2"/>
    <w:rsid w:val="3BA50630"/>
    <w:rsid w:val="3BD80550"/>
    <w:rsid w:val="3BE56E1B"/>
    <w:rsid w:val="3BED2DB3"/>
    <w:rsid w:val="3BFD2535"/>
    <w:rsid w:val="3C215F09"/>
    <w:rsid w:val="3C4075D1"/>
    <w:rsid w:val="3C436B55"/>
    <w:rsid w:val="3C595E61"/>
    <w:rsid w:val="3C622D83"/>
    <w:rsid w:val="3C7324DC"/>
    <w:rsid w:val="3C920830"/>
    <w:rsid w:val="3C9A47EB"/>
    <w:rsid w:val="3CAA7145"/>
    <w:rsid w:val="3CB74ABF"/>
    <w:rsid w:val="3CBC6D81"/>
    <w:rsid w:val="3CC0618E"/>
    <w:rsid w:val="3CC35212"/>
    <w:rsid w:val="3CC828E4"/>
    <w:rsid w:val="3CD14C56"/>
    <w:rsid w:val="3CD25455"/>
    <w:rsid w:val="3CD87391"/>
    <w:rsid w:val="3D1D70A7"/>
    <w:rsid w:val="3D2263DC"/>
    <w:rsid w:val="3D2736E7"/>
    <w:rsid w:val="3D2C1009"/>
    <w:rsid w:val="3D3C1DEC"/>
    <w:rsid w:val="3D502922"/>
    <w:rsid w:val="3D605157"/>
    <w:rsid w:val="3DE042EE"/>
    <w:rsid w:val="3DE60DD6"/>
    <w:rsid w:val="3E004349"/>
    <w:rsid w:val="3E0F7B1D"/>
    <w:rsid w:val="3E234AB8"/>
    <w:rsid w:val="3E4009FD"/>
    <w:rsid w:val="3E444130"/>
    <w:rsid w:val="3E4C5C06"/>
    <w:rsid w:val="3E5C1BAD"/>
    <w:rsid w:val="3E60064C"/>
    <w:rsid w:val="3E9230EE"/>
    <w:rsid w:val="3E9F6F17"/>
    <w:rsid w:val="3EA37CD2"/>
    <w:rsid w:val="3EB24CAF"/>
    <w:rsid w:val="3EDF3E59"/>
    <w:rsid w:val="3EE06168"/>
    <w:rsid w:val="3EE85404"/>
    <w:rsid w:val="3EFA3D38"/>
    <w:rsid w:val="3F141725"/>
    <w:rsid w:val="3F1B1335"/>
    <w:rsid w:val="3F200257"/>
    <w:rsid w:val="3F286DBF"/>
    <w:rsid w:val="3F4028FA"/>
    <w:rsid w:val="3F8D1475"/>
    <w:rsid w:val="3F975C22"/>
    <w:rsid w:val="3FA70E1B"/>
    <w:rsid w:val="3FB47094"/>
    <w:rsid w:val="3FB5178A"/>
    <w:rsid w:val="3FC419A7"/>
    <w:rsid w:val="3FC64109"/>
    <w:rsid w:val="3FCC77A7"/>
    <w:rsid w:val="3FD65247"/>
    <w:rsid w:val="3FDB385A"/>
    <w:rsid w:val="3FDF6807"/>
    <w:rsid w:val="3FE23C01"/>
    <w:rsid w:val="3FE3145D"/>
    <w:rsid w:val="3FE71217"/>
    <w:rsid w:val="40061FE5"/>
    <w:rsid w:val="400E0CEC"/>
    <w:rsid w:val="401B4DC9"/>
    <w:rsid w:val="4022565B"/>
    <w:rsid w:val="402266F3"/>
    <w:rsid w:val="40290AEF"/>
    <w:rsid w:val="403629A3"/>
    <w:rsid w:val="403B122D"/>
    <w:rsid w:val="404B007A"/>
    <w:rsid w:val="405A7C3B"/>
    <w:rsid w:val="405B7334"/>
    <w:rsid w:val="405C70C5"/>
    <w:rsid w:val="40646D0C"/>
    <w:rsid w:val="406B3BF6"/>
    <w:rsid w:val="40875F80"/>
    <w:rsid w:val="40936195"/>
    <w:rsid w:val="40C31C84"/>
    <w:rsid w:val="40CD2BBC"/>
    <w:rsid w:val="40CE74E8"/>
    <w:rsid w:val="40D55514"/>
    <w:rsid w:val="40D7128C"/>
    <w:rsid w:val="40F96B4C"/>
    <w:rsid w:val="40FE0F0E"/>
    <w:rsid w:val="41107AF2"/>
    <w:rsid w:val="41390199"/>
    <w:rsid w:val="41561B7B"/>
    <w:rsid w:val="415D5C35"/>
    <w:rsid w:val="415F2382"/>
    <w:rsid w:val="41644CA3"/>
    <w:rsid w:val="417C604D"/>
    <w:rsid w:val="418238EE"/>
    <w:rsid w:val="41C84587"/>
    <w:rsid w:val="41DF75B5"/>
    <w:rsid w:val="41E64E09"/>
    <w:rsid w:val="421568CA"/>
    <w:rsid w:val="422229DB"/>
    <w:rsid w:val="422F2C0A"/>
    <w:rsid w:val="427A77FA"/>
    <w:rsid w:val="427C658F"/>
    <w:rsid w:val="42997BDD"/>
    <w:rsid w:val="42AC4D28"/>
    <w:rsid w:val="42B60CBA"/>
    <w:rsid w:val="42BA4570"/>
    <w:rsid w:val="42C43A92"/>
    <w:rsid w:val="42DB62DB"/>
    <w:rsid w:val="42F40D87"/>
    <w:rsid w:val="43157031"/>
    <w:rsid w:val="431F6F1A"/>
    <w:rsid w:val="43204D6E"/>
    <w:rsid w:val="433E0C67"/>
    <w:rsid w:val="433E3844"/>
    <w:rsid w:val="434171A0"/>
    <w:rsid w:val="434F476D"/>
    <w:rsid w:val="43661D30"/>
    <w:rsid w:val="436C09A1"/>
    <w:rsid w:val="436E0D52"/>
    <w:rsid w:val="436F047F"/>
    <w:rsid w:val="436F39FE"/>
    <w:rsid w:val="436F7EA2"/>
    <w:rsid w:val="437B082C"/>
    <w:rsid w:val="43863FBF"/>
    <w:rsid w:val="43B835F7"/>
    <w:rsid w:val="43BA63BC"/>
    <w:rsid w:val="43BD6A6D"/>
    <w:rsid w:val="43E56FFE"/>
    <w:rsid w:val="43E77A38"/>
    <w:rsid w:val="44033175"/>
    <w:rsid w:val="44071DF4"/>
    <w:rsid w:val="440C749E"/>
    <w:rsid w:val="441912DB"/>
    <w:rsid w:val="442347E8"/>
    <w:rsid w:val="442567B2"/>
    <w:rsid w:val="44384517"/>
    <w:rsid w:val="445B2639"/>
    <w:rsid w:val="44894274"/>
    <w:rsid w:val="44B17233"/>
    <w:rsid w:val="44C77869"/>
    <w:rsid w:val="44D51F86"/>
    <w:rsid w:val="44E70410"/>
    <w:rsid w:val="451720F2"/>
    <w:rsid w:val="452B604A"/>
    <w:rsid w:val="453C0257"/>
    <w:rsid w:val="45406B12"/>
    <w:rsid w:val="455A06DD"/>
    <w:rsid w:val="458F482B"/>
    <w:rsid w:val="459B3D8B"/>
    <w:rsid w:val="45DA2553"/>
    <w:rsid w:val="45DA2E00"/>
    <w:rsid w:val="45ED3300"/>
    <w:rsid w:val="45EF1111"/>
    <w:rsid w:val="460C7409"/>
    <w:rsid w:val="460D74FE"/>
    <w:rsid w:val="461643C7"/>
    <w:rsid w:val="4636593F"/>
    <w:rsid w:val="464A2500"/>
    <w:rsid w:val="464C0026"/>
    <w:rsid w:val="465D4CB9"/>
    <w:rsid w:val="46B207DF"/>
    <w:rsid w:val="46B86825"/>
    <w:rsid w:val="46EA07B2"/>
    <w:rsid w:val="46F506BE"/>
    <w:rsid w:val="46F82CC1"/>
    <w:rsid w:val="4703337B"/>
    <w:rsid w:val="47150D60"/>
    <w:rsid w:val="471E65B1"/>
    <w:rsid w:val="471F1784"/>
    <w:rsid w:val="47242D51"/>
    <w:rsid w:val="473311E6"/>
    <w:rsid w:val="47347438"/>
    <w:rsid w:val="474074AC"/>
    <w:rsid w:val="475A2341"/>
    <w:rsid w:val="4760647F"/>
    <w:rsid w:val="476C689D"/>
    <w:rsid w:val="47A72EC9"/>
    <w:rsid w:val="47B71E17"/>
    <w:rsid w:val="47CA7D9C"/>
    <w:rsid w:val="47CC40D8"/>
    <w:rsid w:val="48082673"/>
    <w:rsid w:val="480B5E01"/>
    <w:rsid w:val="480E3260"/>
    <w:rsid w:val="48480CC1"/>
    <w:rsid w:val="48597B07"/>
    <w:rsid w:val="48691B36"/>
    <w:rsid w:val="48741AB6"/>
    <w:rsid w:val="487910EC"/>
    <w:rsid w:val="487B1097"/>
    <w:rsid w:val="48877A3B"/>
    <w:rsid w:val="48886A56"/>
    <w:rsid w:val="488C0CE1"/>
    <w:rsid w:val="489C2DB7"/>
    <w:rsid w:val="489C351F"/>
    <w:rsid w:val="489E1D09"/>
    <w:rsid w:val="48A028AB"/>
    <w:rsid w:val="48BD520B"/>
    <w:rsid w:val="48C1039E"/>
    <w:rsid w:val="48EB1D78"/>
    <w:rsid w:val="490023BE"/>
    <w:rsid w:val="490E3CB9"/>
    <w:rsid w:val="491A265E"/>
    <w:rsid w:val="491D285B"/>
    <w:rsid w:val="491D3EFC"/>
    <w:rsid w:val="491F1A22"/>
    <w:rsid w:val="493666B5"/>
    <w:rsid w:val="494877A6"/>
    <w:rsid w:val="49663358"/>
    <w:rsid w:val="49683634"/>
    <w:rsid w:val="49724393"/>
    <w:rsid w:val="497C0C22"/>
    <w:rsid w:val="497F6965"/>
    <w:rsid w:val="49816239"/>
    <w:rsid w:val="49975BE8"/>
    <w:rsid w:val="49C425C9"/>
    <w:rsid w:val="49EF3581"/>
    <w:rsid w:val="49F66C27"/>
    <w:rsid w:val="49FA5FEB"/>
    <w:rsid w:val="4A1C69A8"/>
    <w:rsid w:val="4A282B58"/>
    <w:rsid w:val="4A2C2648"/>
    <w:rsid w:val="4A372D9B"/>
    <w:rsid w:val="4A38723F"/>
    <w:rsid w:val="4A3E05CE"/>
    <w:rsid w:val="4A5676C5"/>
    <w:rsid w:val="4A5A4C2D"/>
    <w:rsid w:val="4A622805"/>
    <w:rsid w:val="4A791606"/>
    <w:rsid w:val="4A83500A"/>
    <w:rsid w:val="4A995804"/>
    <w:rsid w:val="4AA246B9"/>
    <w:rsid w:val="4AA541A9"/>
    <w:rsid w:val="4AB27C27"/>
    <w:rsid w:val="4AC24D5B"/>
    <w:rsid w:val="4AD3077D"/>
    <w:rsid w:val="4B1F5D09"/>
    <w:rsid w:val="4B21248D"/>
    <w:rsid w:val="4B2B3A38"/>
    <w:rsid w:val="4B313C8F"/>
    <w:rsid w:val="4B6C61E6"/>
    <w:rsid w:val="4B6D633F"/>
    <w:rsid w:val="4B797CFE"/>
    <w:rsid w:val="4B7A6071"/>
    <w:rsid w:val="4B80662D"/>
    <w:rsid w:val="4B96714B"/>
    <w:rsid w:val="4BA95F1B"/>
    <w:rsid w:val="4BB16CD5"/>
    <w:rsid w:val="4BB5666E"/>
    <w:rsid w:val="4BB723FD"/>
    <w:rsid w:val="4BED324A"/>
    <w:rsid w:val="4BEE2F77"/>
    <w:rsid w:val="4BF73906"/>
    <w:rsid w:val="4C0F1BEA"/>
    <w:rsid w:val="4C3A2445"/>
    <w:rsid w:val="4C3C28EB"/>
    <w:rsid w:val="4C414F23"/>
    <w:rsid w:val="4C87625C"/>
    <w:rsid w:val="4CA56323"/>
    <w:rsid w:val="4CF66F3E"/>
    <w:rsid w:val="4D0478AD"/>
    <w:rsid w:val="4D0A4797"/>
    <w:rsid w:val="4D0C69C4"/>
    <w:rsid w:val="4D187642"/>
    <w:rsid w:val="4D2553D4"/>
    <w:rsid w:val="4D2F41FE"/>
    <w:rsid w:val="4D56422A"/>
    <w:rsid w:val="4D6F3B43"/>
    <w:rsid w:val="4D712FDA"/>
    <w:rsid w:val="4D746E8E"/>
    <w:rsid w:val="4D800456"/>
    <w:rsid w:val="4D862070"/>
    <w:rsid w:val="4D92310A"/>
    <w:rsid w:val="4D9D385D"/>
    <w:rsid w:val="4DC4703C"/>
    <w:rsid w:val="4DCD7C9F"/>
    <w:rsid w:val="4DE17BEE"/>
    <w:rsid w:val="4E1C02AE"/>
    <w:rsid w:val="4E1E6324"/>
    <w:rsid w:val="4E266205"/>
    <w:rsid w:val="4E4F4B57"/>
    <w:rsid w:val="4E5C1A72"/>
    <w:rsid w:val="4E615284"/>
    <w:rsid w:val="4E6944BC"/>
    <w:rsid w:val="4E7A2BCF"/>
    <w:rsid w:val="4EA64556"/>
    <w:rsid w:val="4EAD29E4"/>
    <w:rsid w:val="4EC310A1"/>
    <w:rsid w:val="4F043B94"/>
    <w:rsid w:val="4F0B67EE"/>
    <w:rsid w:val="4F1A55F3"/>
    <w:rsid w:val="4F1B205A"/>
    <w:rsid w:val="4F2876DE"/>
    <w:rsid w:val="4F2A7373"/>
    <w:rsid w:val="4F2E5442"/>
    <w:rsid w:val="4F2F1144"/>
    <w:rsid w:val="4F30313F"/>
    <w:rsid w:val="4F52580A"/>
    <w:rsid w:val="4F691C49"/>
    <w:rsid w:val="4F6A776F"/>
    <w:rsid w:val="4F702FD7"/>
    <w:rsid w:val="4F707F08"/>
    <w:rsid w:val="4F9273F2"/>
    <w:rsid w:val="4FD277EE"/>
    <w:rsid w:val="4FDA7D75"/>
    <w:rsid w:val="4FF57980"/>
    <w:rsid w:val="501E6ED7"/>
    <w:rsid w:val="50787096"/>
    <w:rsid w:val="507C775A"/>
    <w:rsid w:val="508D5E0B"/>
    <w:rsid w:val="508F1B83"/>
    <w:rsid w:val="50B25281"/>
    <w:rsid w:val="50E579F5"/>
    <w:rsid w:val="50E87836"/>
    <w:rsid w:val="50EA500B"/>
    <w:rsid w:val="50ED1E61"/>
    <w:rsid w:val="50F83282"/>
    <w:rsid w:val="50FB4B23"/>
    <w:rsid w:val="51173459"/>
    <w:rsid w:val="511E2B79"/>
    <w:rsid w:val="51265C7E"/>
    <w:rsid w:val="514814EC"/>
    <w:rsid w:val="5153670D"/>
    <w:rsid w:val="515E4990"/>
    <w:rsid w:val="515F1555"/>
    <w:rsid w:val="519C765E"/>
    <w:rsid w:val="51A83B47"/>
    <w:rsid w:val="51AC22C1"/>
    <w:rsid w:val="51B17E6B"/>
    <w:rsid w:val="51CB2747"/>
    <w:rsid w:val="51DB032E"/>
    <w:rsid w:val="51EB4B97"/>
    <w:rsid w:val="51EE6435"/>
    <w:rsid w:val="5201260D"/>
    <w:rsid w:val="52072F1E"/>
    <w:rsid w:val="5217644D"/>
    <w:rsid w:val="523D6181"/>
    <w:rsid w:val="523F4EE3"/>
    <w:rsid w:val="524620FA"/>
    <w:rsid w:val="5274360D"/>
    <w:rsid w:val="52756B57"/>
    <w:rsid w:val="52972F71"/>
    <w:rsid w:val="52BF7DD2"/>
    <w:rsid w:val="52DA5E34"/>
    <w:rsid w:val="52EC1919"/>
    <w:rsid w:val="52EF6334"/>
    <w:rsid w:val="530A3743"/>
    <w:rsid w:val="532145E9"/>
    <w:rsid w:val="53395DD6"/>
    <w:rsid w:val="5347038D"/>
    <w:rsid w:val="534A6CD4"/>
    <w:rsid w:val="534E7AD3"/>
    <w:rsid w:val="536553EF"/>
    <w:rsid w:val="538B4884"/>
    <w:rsid w:val="53A3143D"/>
    <w:rsid w:val="53A63921"/>
    <w:rsid w:val="53AC47FA"/>
    <w:rsid w:val="53CC5791"/>
    <w:rsid w:val="53D95D45"/>
    <w:rsid w:val="53DA1367"/>
    <w:rsid w:val="53E2646E"/>
    <w:rsid w:val="53EB53BD"/>
    <w:rsid w:val="53F8359B"/>
    <w:rsid w:val="54505185"/>
    <w:rsid w:val="545671EC"/>
    <w:rsid w:val="54611097"/>
    <w:rsid w:val="5487370E"/>
    <w:rsid w:val="54915C10"/>
    <w:rsid w:val="54CD4A28"/>
    <w:rsid w:val="54D15F1A"/>
    <w:rsid w:val="54D264E2"/>
    <w:rsid w:val="54D65699"/>
    <w:rsid w:val="54E01D6C"/>
    <w:rsid w:val="54E47B17"/>
    <w:rsid w:val="54E9481D"/>
    <w:rsid w:val="54F226E1"/>
    <w:rsid w:val="55046B0A"/>
    <w:rsid w:val="55094443"/>
    <w:rsid w:val="551142AB"/>
    <w:rsid w:val="554127C0"/>
    <w:rsid w:val="55560EC1"/>
    <w:rsid w:val="5579695E"/>
    <w:rsid w:val="557D19A9"/>
    <w:rsid w:val="55B87486"/>
    <w:rsid w:val="55C470D8"/>
    <w:rsid w:val="55CD41D9"/>
    <w:rsid w:val="55CE6CAA"/>
    <w:rsid w:val="55DF5DA8"/>
    <w:rsid w:val="55EF136D"/>
    <w:rsid w:val="55F55C55"/>
    <w:rsid w:val="56156687"/>
    <w:rsid w:val="56177EC9"/>
    <w:rsid w:val="5635492A"/>
    <w:rsid w:val="563F0838"/>
    <w:rsid w:val="5684052B"/>
    <w:rsid w:val="56921A85"/>
    <w:rsid w:val="56927CD7"/>
    <w:rsid w:val="569976E5"/>
    <w:rsid w:val="56E16569"/>
    <w:rsid w:val="56EE460E"/>
    <w:rsid w:val="56F25D16"/>
    <w:rsid w:val="56F72230"/>
    <w:rsid w:val="56F770C8"/>
    <w:rsid w:val="56F95FA8"/>
    <w:rsid w:val="57087F99"/>
    <w:rsid w:val="570F0DAD"/>
    <w:rsid w:val="57136DC9"/>
    <w:rsid w:val="571C1C97"/>
    <w:rsid w:val="57342B3C"/>
    <w:rsid w:val="57394670"/>
    <w:rsid w:val="57443D1C"/>
    <w:rsid w:val="575738E1"/>
    <w:rsid w:val="5769056B"/>
    <w:rsid w:val="57715B3F"/>
    <w:rsid w:val="577949F3"/>
    <w:rsid w:val="579068FA"/>
    <w:rsid w:val="579730CB"/>
    <w:rsid w:val="579B705F"/>
    <w:rsid w:val="57E427B4"/>
    <w:rsid w:val="57F02C2A"/>
    <w:rsid w:val="57F246BE"/>
    <w:rsid w:val="57F648EB"/>
    <w:rsid w:val="5809221B"/>
    <w:rsid w:val="5814296E"/>
    <w:rsid w:val="582A3F3F"/>
    <w:rsid w:val="582B03E3"/>
    <w:rsid w:val="582F35B7"/>
    <w:rsid w:val="58390724"/>
    <w:rsid w:val="585F0D52"/>
    <w:rsid w:val="586525C2"/>
    <w:rsid w:val="586557AC"/>
    <w:rsid w:val="5867455C"/>
    <w:rsid w:val="587A5C94"/>
    <w:rsid w:val="588B42F5"/>
    <w:rsid w:val="588D4BFA"/>
    <w:rsid w:val="58A81A34"/>
    <w:rsid w:val="58B42ACF"/>
    <w:rsid w:val="58C139D3"/>
    <w:rsid w:val="58C93758"/>
    <w:rsid w:val="58DE5456"/>
    <w:rsid w:val="5939268C"/>
    <w:rsid w:val="59617E35"/>
    <w:rsid w:val="596E25BB"/>
    <w:rsid w:val="59722042"/>
    <w:rsid w:val="59777658"/>
    <w:rsid w:val="59796F2C"/>
    <w:rsid w:val="599E0ACF"/>
    <w:rsid w:val="59AD3D34"/>
    <w:rsid w:val="59B03888"/>
    <w:rsid w:val="59C503C4"/>
    <w:rsid w:val="59EC76FE"/>
    <w:rsid w:val="59F91818"/>
    <w:rsid w:val="5A172243"/>
    <w:rsid w:val="5A196ED2"/>
    <w:rsid w:val="5A3317D1"/>
    <w:rsid w:val="5A395B76"/>
    <w:rsid w:val="5A432F55"/>
    <w:rsid w:val="5A5878B5"/>
    <w:rsid w:val="5A5C69D5"/>
    <w:rsid w:val="5A636344"/>
    <w:rsid w:val="5AA2093F"/>
    <w:rsid w:val="5AA95EA4"/>
    <w:rsid w:val="5AD63E09"/>
    <w:rsid w:val="5AFF3461"/>
    <w:rsid w:val="5B083231"/>
    <w:rsid w:val="5B123195"/>
    <w:rsid w:val="5B223606"/>
    <w:rsid w:val="5B266C40"/>
    <w:rsid w:val="5B2E6FAA"/>
    <w:rsid w:val="5B4332B6"/>
    <w:rsid w:val="5B4B66A7"/>
    <w:rsid w:val="5B5E0F00"/>
    <w:rsid w:val="5B972453"/>
    <w:rsid w:val="5B9E7C72"/>
    <w:rsid w:val="5BA87F9D"/>
    <w:rsid w:val="5BAF4E87"/>
    <w:rsid w:val="5BDE39BF"/>
    <w:rsid w:val="5BE65C1B"/>
    <w:rsid w:val="5BFD68E7"/>
    <w:rsid w:val="5C0B7B76"/>
    <w:rsid w:val="5C1271C4"/>
    <w:rsid w:val="5C675762"/>
    <w:rsid w:val="5C682BEC"/>
    <w:rsid w:val="5C9A1694"/>
    <w:rsid w:val="5C9D1184"/>
    <w:rsid w:val="5CA7123C"/>
    <w:rsid w:val="5CAE15E3"/>
    <w:rsid w:val="5CC42BB4"/>
    <w:rsid w:val="5CC826A5"/>
    <w:rsid w:val="5CDC7EFE"/>
    <w:rsid w:val="5CF77950"/>
    <w:rsid w:val="5D101956"/>
    <w:rsid w:val="5D441D14"/>
    <w:rsid w:val="5D4A542D"/>
    <w:rsid w:val="5D972077"/>
    <w:rsid w:val="5DAE426C"/>
    <w:rsid w:val="5DAF467E"/>
    <w:rsid w:val="5DCD04E0"/>
    <w:rsid w:val="5DD03A54"/>
    <w:rsid w:val="5DD15BF4"/>
    <w:rsid w:val="5DD25BBB"/>
    <w:rsid w:val="5DDE1134"/>
    <w:rsid w:val="5E1D1CEB"/>
    <w:rsid w:val="5E23390B"/>
    <w:rsid w:val="5E311C0C"/>
    <w:rsid w:val="5E421185"/>
    <w:rsid w:val="5E7317AB"/>
    <w:rsid w:val="5E895C8E"/>
    <w:rsid w:val="5ED510A9"/>
    <w:rsid w:val="5F20216B"/>
    <w:rsid w:val="5F36439B"/>
    <w:rsid w:val="5F755A2A"/>
    <w:rsid w:val="5F814D8D"/>
    <w:rsid w:val="5F8328B3"/>
    <w:rsid w:val="5F8959EF"/>
    <w:rsid w:val="5F920D48"/>
    <w:rsid w:val="5FA40A7B"/>
    <w:rsid w:val="5FB07420"/>
    <w:rsid w:val="5FC04410"/>
    <w:rsid w:val="5FC652C4"/>
    <w:rsid w:val="5FC845C3"/>
    <w:rsid w:val="5FCB6F0A"/>
    <w:rsid w:val="5FE62E42"/>
    <w:rsid w:val="60160AA9"/>
    <w:rsid w:val="6016735B"/>
    <w:rsid w:val="601C6864"/>
    <w:rsid w:val="601F4747"/>
    <w:rsid w:val="602F6597"/>
    <w:rsid w:val="6052321D"/>
    <w:rsid w:val="60696BC9"/>
    <w:rsid w:val="60771412"/>
    <w:rsid w:val="608508AD"/>
    <w:rsid w:val="609A3376"/>
    <w:rsid w:val="60A42170"/>
    <w:rsid w:val="60B47D5B"/>
    <w:rsid w:val="60E5134B"/>
    <w:rsid w:val="60FD45FF"/>
    <w:rsid w:val="611A0FF5"/>
    <w:rsid w:val="61220F29"/>
    <w:rsid w:val="612B3202"/>
    <w:rsid w:val="616008F1"/>
    <w:rsid w:val="61847169"/>
    <w:rsid w:val="618625DD"/>
    <w:rsid w:val="61903065"/>
    <w:rsid w:val="61932B55"/>
    <w:rsid w:val="61B7149D"/>
    <w:rsid w:val="61B84E22"/>
    <w:rsid w:val="61B9080E"/>
    <w:rsid w:val="61CA1C79"/>
    <w:rsid w:val="61D61932"/>
    <w:rsid w:val="620852F1"/>
    <w:rsid w:val="621048C9"/>
    <w:rsid w:val="6210694A"/>
    <w:rsid w:val="621231A6"/>
    <w:rsid w:val="621641CF"/>
    <w:rsid w:val="62210161"/>
    <w:rsid w:val="62861F1F"/>
    <w:rsid w:val="629139EC"/>
    <w:rsid w:val="62917095"/>
    <w:rsid w:val="62A16A87"/>
    <w:rsid w:val="62AA7C17"/>
    <w:rsid w:val="62BA646B"/>
    <w:rsid w:val="62CF7FE7"/>
    <w:rsid w:val="62D94CCA"/>
    <w:rsid w:val="631D2A8C"/>
    <w:rsid w:val="63462575"/>
    <w:rsid w:val="63493E13"/>
    <w:rsid w:val="635A1B7D"/>
    <w:rsid w:val="63666773"/>
    <w:rsid w:val="638B7F88"/>
    <w:rsid w:val="63936E3D"/>
    <w:rsid w:val="639B087E"/>
    <w:rsid w:val="63A64DC2"/>
    <w:rsid w:val="63A90E76"/>
    <w:rsid w:val="63B55005"/>
    <w:rsid w:val="63BA6D0B"/>
    <w:rsid w:val="63CB5CCC"/>
    <w:rsid w:val="63EB4ECB"/>
    <w:rsid w:val="63F975E8"/>
    <w:rsid w:val="63FA3360"/>
    <w:rsid w:val="640B731B"/>
    <w:rsid w:val="640C5AA6"/>
    <w:rsid w:val="641745A0"/>
    <w:rsid w:val="645C36D2"/>
    <w:rsid w:val="64657739"/>
    <w:rsid w:val="64754794"/>
    <w:rsid w:val="64824B18"/>
    <w:rsid w:val="64881976"/>
    <w:rsid w:val="64942E6C"/>
    <w:rsid w:val="64AE3CB5"/>
    <w:rsid w:val="64B90B25"/>
    <w:rsid w:val="64C95BF3"/>
    <w:rsid w:val="64CD637E"/>
    <w:rsid w:val="64DC03FF"/>
    <w:rsid w:val="64F425BA"/>
    <w:rsid w:val="650D6603"/>
    <w:rsid w:val="65202952"/>
    <w:rsid w:val="65210C32"/>
    <w:rsid w:val="652225D5"/>
    <w:rsid w:val="652F2B95"/>
    <w:rsid w:val="65311E05"/>
    <w:rsid w:val="65451957"/>
    <w:rsid w:val="65623E76"/>
    <w:rsid w:val="659770B8"/>
    <w:rsid w:val="65995BCE"/>
    <w:rsid w:val="65B46366"/>
    <w:rsid w:val="65BD63F3"/>
    <w:rsid w:val="65D025CA"/>
    <w:rsid w:val="65F570CF"/>
    <w:rsid w:val="66002CD4"/>
    <w:rsid w:val="6613137D"/>
    <w:rsid w:val="66215782"/>
    <w:rsid w:val="6624387D"/>
    <w:rsid w:val="66263A1E"/>
    <w:rsid w:val="662824C8"/>
    <w:rsid w:val="66320B8F"/>
    <w:rsid w:val="663E7534"/>
    <w:rsid w:val="664B6B47"/>
    <w:rsid w:val="66661757"/>
    <w:rsid w:val="66763171"/>
    <w:rsid w:val="667C005C"/>
    <w:rsid w:val="66976C44"/>
    <w:rsid w:val="669B7B39"/>
    <w:rsid w:val="66AC7A81"/>
    <w:rsid w:val="66AE4D0B"/>
    <w:rsid w:val="66B5494D"/>
    <w:rsid w:val="66B84695"/>
    <w:rsid w:val="66D103A8"/>
    <w:rsid w:val="66D47E98"/>
    <w:rsid w:val="66DE0D17"/>
    <w:rsid w:val="66EF6A80"/>
    <w:rsid w:val="66F978FF"/>
    <w:rsid w:val="66FB71D3"/>
    <w:rsid w:val="670523DE"/>
    <w:rsid w:val="670C5884"/>
    <w:rsid w:val="670D5158"/>
    <w:rsid w:val="67256946"/>
    <w:rsid w:val="67461D48"/>
    <w:rsid w:val="67472418"/>
    <w:rsid w:val="67486190"/>
    <w:rsid w:val="674A6CAF"/>
    <w:rsid w:val="676034DA"/>
    <w:rsid w:val="67694A84"/>
    <w:rsid w:val="67784F2E"/>
    <w:rsid w:val="678A67A9"/>
    <w:rsid w:val="678F1925"/>
    <w:rsid w:val="67942577"/>
    <w:rsid w:val="67A92539"/>
    <w:rsid w:val="67CA4EF1"/>
    <w:rsid w:val="67E20393"/>
    <w:rsid w:val="67F76A7E"/>
    <w:rsid w:val="67F86871"/>
    <w:rsid w:val="684352D5"/>
    <w:rsid w:val="684D1CB0"/>
    <w:rsid w:val="686F7E78"/>
    <w:rsid w:val="687E455F"/>
    <w:rsid w:val="687E630D"/>
    <w:rsid w:val="688B0A2A"/>
    <w:rsid w:val="68A5389A"/>
    <w:rsid w:val="68AF3CA2"/>
    <w:rsid w:val="68BB130F"/>
    <w:rsid w:val="68CB0E27"/>
    <w:rsid w:val="68CC560D"/>
    <w:rsid w:val="68E97265"/>
    <w:rsid w:val="68EF0FB9"/>
    <w:rsid w:val="69072F07"/>
    <w:rsid w:val="691E189E"/>
    <w:rsid w:val="692635EB"/>
    <w:rsid w:val="69342E70"/>
    <w:rsid w:val="693B41FE"/>
    <w:rsid w:val="6951757E"/>
    <w:rsid w:val="69561384"/>
    <w:rsid w:val="69775165"/>
    <w:rsid w:val="69807E63"/>
    <w:rsid w:val="69B230A2"/>
    <w:rsid w:val="69CB3977"/>
    <w:rsid w:val="69E2224C"/>
    <w:rsid w:val="69F819AA"/>
    <w:rsid w:val="6A136F29"/>
    <w:rsid w:val="6A187723"/>
    <w:rsid w:val="6A1D1B56"/>
    <w:rsid w:val="6A1D2B18"/>
    <w:rsid w:val="6A595414"/>
    <w:rsid w:val="6A5A4A67"/>
    <w:rsid w:val="6A6B4794"/>
    <w:rsid w:val="6A6E7FF3"/>
    <w:rsid w:val="6A700C09"/>
    <w:rsid w:val="6A82630A"/>
    <w:rsid w:val="6A8E3BBF"/>
    <w:rsid w:val="6AA67D9D"/>
    <w:rsid w:val="6AAD6A36"/>
    <w:rsid w:val="6ABD2433"/>
    <w:rsid w:val="6AC57AA5"/>
    <w:rsid w:val="6ADD3291"/>
    <w:rsid w:val="6B0A70A4"/>
    <w:rsid w:val="6B3B6738"/>
    <w:rsid w:val="6B3D24B0"/>
    <w:rsid w:val="6B685053"/>
    <w:rsid w:val="6B7F4739"/>
    <w:rsid w:val="6B8A4FC9"/>
    <w:rsid w:val="6B9A5FD4"/>
    <w:rsid w:val="6BA75B7B"/>
    <w:rsid w:val="6C042FCD"/>
    <w:rsid w:val="6C20148A"/>
    <w:rsid w:val="6C44786E"/>
    <w:rsid w:val="6C617599"/>
    <w:rsid w:val="6C9431CC"/>
    <w:rsid w:val="6CAB1AEE"/>
    <w:rsid w:val="6CAE2F39"/>
    <w:rsid w:val="6CAF10DA"/>
    <w:rsid w:val="6CB513FE"/>
    <w:rsid w:val="6CDA06B8"/>
    <w:rsid w:val="6D0715F8"/>
    <w:rsid w:val="6D30394E"/>
    <w:rsid w:val="6D426B56"/>
    <w:rsid w:val="6D505108"/>
    <w:rsid w:val="6D77297F"/>
    <w:rsid w:val="6D8238F3"/>
    <w:rsid w:val="6D8617C0"/>
    <w:rsid w:val="6D920165"/>
    <w:rsid w:val="6DBB5AC1"/>
    <w:rsid w:val="6DCF4F15"/>
    <w:rsid w:val="6E0468F3"/>
    <w:rsid w:val="6E0F7A08"/>
    <w:rsid w:val="6E38263C"/>
    <w:rsid w:val="6E526272"/>
    <w:rsid w:val="6E573B2B"/>
    <w:rsid w:val="6E616223"/>
    <w:rsid w:val="6E94481B"/>
    <w:rsid w:val="6EA2373C"/>
    <w:rsid w:val="6EDF387E"/>
    <w:rsid w:val="6F0357BE"/>
    <w:rsid w:val="6F0B01CF"/>
    <w:rsid w:val="6F241291"/>
    <w:rsid w:val="6F4066AD"/>
    <w:rsid w:val="6F4A1C6F"/>
    <w:rsid w:val="6F6F075E"/>
    <w:rsid w:val="6F7658CB"/>
    <w:rsid w:val="6F976FBE"/>
    <w:rsid w:val="6FA359EB"/>
    <w:rsid w:val="6FA6381A"/>
    <w:rsid w:val="6FB42615"/>
    <w:rsid w:val="6FC36CFC"/>
    <w:rsid w:val="6FCA63E4"/>
    <w:rsid w:val="6FD26F3F"/>
    <w:rsid w:val="6FE022AE"/>
    <w:rsid w:val="6FF218DD"/>
    <w:rsid w:val="6FF42BE0"/>
    <w:rsid w:val="6FFC41AF"/>
    <w:rsid w:val="6FFF339E"/>
    <w:rsid w:val="700C0A1A"/>
    <w:rsid w:val="704C4F43"/>
    <w:rsid w:val="706804A2"/>
    <w:rsid w:val="706C2EEF"/>
    <w:rsid w:val="70761F1B"/>
    <w:rsid w:val="708C1ED2"/>
    <w:rsid w:val="70B30B1E"/>
    <w:rsid w:val="70CB230C"/>
    <w:rsid w:val="70DD3506"/>
    <w:rsid w:val="70E32593"/>
    <w:rsid w:val="70E801A2"/>
    <w:rsid w:val="7104581E"/>
    <w:rsid w:val="71132E62"/>
    <w:rsid w:val="711D41EA"/>
    <w:rsid w:val="71222297"/>
    <w:rsid w:val="71231438"/>
    <w:rsid w:val="714348B5"/>
    <w:rsid w:val="71504B10"/>
    <w:rsid w:val="71554590"/>
    <w:rsid w:val="715A0F06"/>
    <w:rsid w:val="715D01AD"/>
    <w:rsid w:val="71762326"/>
    <w:rsid w:val="719941B8"/>
    <w:rsid w:val="719E357C"/>
    <w:rsid w:val="71A87F57"/>
    <w:rsid w:val="71BD1788"/>
    <w:rsid w:val="71C50B09"/>
    <w:rsid w:val="71D04CD8"/>
    <w:rsid w:val="71F907B3"/>
    <w:rsid w:val="71FB452B"/>
    <w:rsid w:val="722515A8"/>
    <w:rsid w:val="723979C9"/>
    <w:rsid w:val="725E7ADD"/>
    <w:rsid w:val="726631BE"/>
    <w:rsid w:val="727265AC"/>
    <w:rsid w:val="727B1B10"/>
    <w:rsid w:val="727D13E4"/>
    <w:rsid w:val="729C3F60"/>
    <w:rsid w:val="72A526E9"/>
    <w:rsid w:val="72D71070"/>
    <w:rsid w:val="72EC1039"/>
    <w:rsid w:val="72F13B80"/>
    <w:rsid w:val="72F67D86"/>
    <w:rsid w:val="72FF57F4"/>
    <w:rsid w:val="73004C2C"/>
    <w:rsid w:val="7304330F"/>
    <w:rsid w:val="732E5FCC"/>
    <w:rsid w:val="73337CF4"/>
    <w:rsid w:val="733817AF"/>
    <w:rsid w:val="73412411"/>
    <w:rsid w:val="73440778"/>
    <w:rsid w:val="734463A5"/>
    <w:rsid w:val="73520AC2"/>
    <w:rsid w:val="7358775B"/>
    <w:rsid w:val="73840550"/>
    <w:rsid w:val="739509AF"/>
    <w:rsid w:val="73BE077C"/>
    <w:rsid w:val="73C052CC"/>
    <w:rsid w:val="73DC3547"/>
    <w:rsid w:val="73ED2599"/>
    <w:rsid w:val="73F750FA"/>
    <w:rsid w:val="73F957F0"/>
    <w:rsid w:val="740D6797"/>
    <w:rsid w:val="74113F05"/>
    <w:rsid w:val="74163F16"/>
    <w:rsid w:val="741C69DA"/>
    <w:rsid w:val="742424F5"/>
    <w:rsid w:val="744103B3"/>
    <w:rsid w:val="7450221E"/>
    <w:rsid w:val="74566390"/>
    <w:rsid w:val="749F595E"/>
    <w:rsid w:val="74AA2238"/>
    <w:rsid w:val="74D13C69"/>
    <w:rsid w:val="74DF0134"/>
    <w:rsid w:val="74E223D0"/>
    <w:rsid w:val="74F87650"/>
    <w:rsid w:val="75054390"/>
    <w:rsid w:val="75114065"/>
    <w:rsid w:val="751A5610"/>
    <w:rsid w:val="752E75F8"/>
    <w:rsid w:val="7539539D"/>
    <w:rsid w:val="75695C4F"/>
    <w:rsid w:val="757B0B57"/>
    <w:rsid w:val="759248B8"/>
    <w:rsid w:val="759C7DD3"/>
    <w:rsid w:val="75A153E9"/>
    <w:rsid w:val="75C12EB6"/>
    <w:rsid w:val="75CB6E7D"/>
    <w:rsid w:val="75EA3234"/>
    <w:rsid w:val="75ED3231"/>
    <w:rsid w:val="75F0011F"/>
    <w:rsid w:val="75FC2C73"/>
    <w:rsid w:val="75FD5C4B"/>
    <w:rsid w:val="76047756"/>
    <w:rsid w:val="76155660"/>
    <w:rsid w:val="761B33ED"/>
    <w:rsid w:val="761E5D99"/>
    <w:rsid w:val="761F03BE"/>
    <w:rsid w:val="762B1157"/>
    <w:rsid w:val="764A5A81"/>
    <w:rsid w:val="764C7A4B"/>
    <w:rsid w:val="766111DA"/>
    <w:rsid w:val="76612DCA"/>
    <w:rsid w:val="766528BB"/>
    <w:rsid w:val="767B20DE"/>
    <w:rsid w:val="767B7C93"/>
    <w:rsid w:val="768C42EB"/>
    <w:rsid w:val="7694586D"/>
    <w:rsid w:val="76B4739E"/>
    <w:rsid w:val="76C75323"/>
    <w:rsid w:val="76CB6D8E"/>
    <w:rsid w:val="76D1655C"/>
    <w:rsid w:val="76D25D41"/>
    <w:rsid w:val="76E666DE"/>
    <w:rsid w:val="76E72AA0"/>
    <w:rsid w:val="76F8372F"/>
    <w:rsid w:val="7701090C"/>
    <w:rsid w:val="771A711A"/>
    <w:rsid w:val="771D4F43"/>
    <w:rsid w:val="772A600E"/>
    <w:rsid w:val="77336515"/>
    <w:rsid w:val="77362975"/>
    <w:rsid w:val="77444BC6"/>
    <w:rsid w:val="77577349"/>
    <w:rsid w:val="775A6197"/>
    <w:rsid w:val="776D7992"/>
    <w:rsid w:val="7772349F"/>
    <w:rsid w:val="777C4360"/>
    <w:rsid w:val="778238FB"/>
    <w:rsid w:val="77955421"/>
    <w:rsid w:val="77A411C1"/>
    <w:rsid w:val="77B238DE"/>
    <w:rsid w:val="77E85551"/>
    <w:rsid w:val="77E94659"/>
    <w:rsid w:val="77F71C38"/>
    <w:rsid w:val="77F90661"/>
    <w:rsid w:val="7808174F"/>
    <w:rsid w:val="780D1791"/>
    <w:rsid w:val="780D57F6"/>
    <w:rsid w:val="78106856"/>
    <w:rsid w:val="781E4FE7"/>
    <w:rsid w:val="783764D9"/>
    <w:rsid w:val="7840256B"/>
    <w:rsid w:val="78485FF0"/>
    <w:rsid w:val="7884096A"/>
    <w:rsid w:val="78850FF2"/>
    <w:rsid w:val="788E0A67"/>
    <w:rsid w:val="789524E8"/>
    <w:rsid w:val="78B611AB"/>
    <w:rsid w:val="78CA10FB"/>
    <w:rsid w:val="78E03E67"/>
    <w:rsid w:val="78EA52F9"/>
    <w:rsid w:val="78F06D68"/>
    <w:rsid w:val="78F55DA6"/>
    <w:rsid w:val="790E548B"/>
    <w:rsid w:val="7921166B"/>
    <w:rsid w:val="79236E7C"/>
    <w:rsid w:val="792A1B99"/>
    <w:rsid w:val="794013BD"/>
    <w:rsid w:val="796B1B89"/>
    <w:rsid w:val="797B008A"/>
    <w:rsid w:val="797B7D48"/>
    <w:rsid w:val="798516DF"/>
    <w:rsid w:val="798C015E"/>
    <w:rsid w:val="79921C19"/>
    <w:rsid w:val="79A46F00"/>
    <w:rsid w:val="79C618C2"/>
    <w:rsid w:val="79D73ACF"/>
    <w:rsid w:val="79E46056"/>
    <w:rsid w:val="79F226B7"/>
    <w:rsid w:val="79FF4DD4"/>
    <w:rsid w:val="7A0C534E"/>
    <w:rsid w:val="7A222CE3"/>
    <w:rsid w:val="7A735C4D"/>
    <w:rsid w:val="7A8C2B0C"/>
    <w:rsid w:val="7A8E7C8A"/>
    <w:rsid w:val="7A9F01F0"/>
    <w:rsid w:val="7AAA6765"/>
    <w:rsid w:val="7ABB7B5C"/>
    <w:rsid w:val="7AD87AFF"/>
    <w:rsid w:val="7B0152A5"/>
    <w:rsid w:val="7B112B38"/>
    <w:rsid w:val="7B2A5E81"/>
    <w:rsid w:val="7B2C7E4B"/>
    <w:rsid w:val="7B2F16E9"/>
    <w:rsid w:val="7B4636CB"/>
    <w:rsid w:val="7B7567C0"/>
    <w:rsid w:val="7B7B66DC"/>
    <w:rsid w:val="7B7D2454"/>
    <w:rsid w:val="7B845591"/>
    <w:rsid w:val="7B9072BC"/>
    <w:rsid w:val="7B944A08"/>
    <w:rsid w:val="7B960850"/>
    <w:rsid w:val="7B9F57C7"/>
    <w:rsid w:val="7BDE61B7"/>
    <w:rsid w:val="7BF5023D"/>
    <w:rsid w:val="7BF97C74"/>
    <w:rsid w:val="7C19584E"/>
    <w:rsid w:val="7C266648"/>
    <w:rsid w:val="7C2823C0"/>
    <w:rsid w:val="7C354382"/>
    <w:rsid w:val="7C563402"/>
    <w:rsid w:val="7C5E2286"/>
    <w:rsid w:val="7C686C61"/>
    <w:rsid w:val="7C765D1B"/>
    <w:rsid w:val="7C7B659E"/>
    <w:rsid w:val="7C7E0232"/>
    <w:rsid w:val="7C831CEC"/>
    <w:rsid w:val="7C9712F4"/>
    <w:rsid w:val="7C9B0FDB"/>
    <w:rsid w:val="7CA83501"/>
    <w:rsid w:val="7CAD6D69"/>
    <w:rsid w:val="7CBA4D6C"/>
    <w:rsid w:val="7CC85951"/>
    <w:rsid w:val="7CC95FBC"/>
    <w:rsid w:val="7CCC5441"/>
    <w:rsid w:val="7CD23C7F"/>
    <w:rsid w:val="7CD24BAE"/>
    <w:rsid w:val="7CE56503"/>
    <w:rsid w:val="7D033147"/>
    <w:rsid w:val="7D1066E2"/>
    <w:rsid w:val="7D1B3CD3"/>
    <w:rsid w:val="7D227CB6"/>
    <w:rsid w:val="7D2C050B"/>
    <w:rsid w:val="7D300C5A"/>
    <w:rsid w:val="7D4C0330"/>
    <w:rsid w:val="7D811B7B"/>
    <w:rsid w:val="7D836171"/>
    <w:rsid w:val="7DAB13F5"/>
    <w:rsid w:val="7DAB2803"/>
    <w:rsid w:val="7DBA0B43"/>
    <w:rsid w:val="7DF47503"/>
    <w:rsid w:val="7E186464"/>
    <w:rsid w:val="7E3E4800"/>
    <w:rsid w:val="7E696CC0"/>
    <w:rsid w:val="7E7B41B8"/>
    <w:rsid w:val="7E7F0292"/>
    <w:rsid w:val="7E835AFC"/>
    <w:rsid w:val="7E851714"/>
    <w:rsid w:val="7E88060D"/>
    <w:rsid w:val="7E966D9F"/>
    <w:rsid w:val="7EA45F4A"/>
    <w:rsid w:val="7ECA197C"/>
    <w:rsid w:val="7EDF79CA"/>
    <w:rsid w:val="7EE02B0F"/>
    <w:rsid w:val="7EF16259"/>
    <w:rsid w:val="7EF163A6"/>
    <w:rsid w:val="7F0D7FB9"/>
    <w:rsid w:val="7F11635C"/>
    <w:rsid w:val="7F2B0D53"/>
    <w:rsid w:val="7F4E65E2"/>
    <w:rsid w:val="7F6A7194"/>
    <w:rsid w:val="7F714152"/>
    <w:rsid w:val="7F7F5D50"/>
    <w:rsid w:val="7F9A5B2F"/>
    <w:rsid w:val="7FA0125F"/>
    <w:rsid w:val="7FA043A1"/>
    <w:rsid w:val="7FD12D6F"/>
    <w:rsid w:val="7FD44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semiHidden/>
    <w:qFormat/>
    <w:uiPriority w:val="0"/>
    <w:rPr>
      <w:rFonts w:ascii="宋体" w:hAnsi="宋体" w:eastAsia="宋体" w:cs="宋体"/>
      <w:sz w:val="28"/>
      <w:szCs w:val="28"/>
      <w:lang w:val="en-US" w:eastAsia="en-US" w:bidi="ar-SA"/>
    </w:rPr>
  </w:style>
  <w:style w:type="paragraph" w:styleId="5">
    <w:name w:val="Body Text Indent"/>
    <w:basedOn w:val="1"/>
    <w:qFormat/>
    <w:uiPriority w:val="0"/>
    <w:pPr>
      <w:tabs>
        <w:tab w:val="left" w:pos="840"/>
      </w:tabs>
      <w:snapToGrid w:val="0"/>
      <w:spacing w:line="300" w:lineRule="exact"/>
      <w:ind w:left="630" w:leftChars="300"/>
    </w:pPr>
  </w:style>
  <w:style w:type="paragraph" w:styleId="6">
    <w:name w:val="Plain Text"/>
    <w:basedOn w:val="1"/>
    <w:qFormat/>
    <w:uiPriority w:val="0"/>
    <w:pPr>
      <w:spacing w:line="240" w:lineRule="auto"/>
      <w:ind w:firstLine="0" w:firstLineChars="0"/>
    </w:pPr>
    <w:rPr>
      <w:rFonts w:ascii="宋体" w:hAnsi="Courier New" w:eastAsia="宋体" w:cs="Courier New"/>
      <w:sz w:val="21"/>
      <w:szCs w:val="21"/>
    </w:rPr>
  </w:style>
  <w:style w:type="paragraph" w:styleId="7">
    <w:name w:val="Balloon Text"/>
    <w:basedOn w:val="1"/>
    <w:link w:val="21"/>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1"/>
    <w:basedOn w:val="1"/>
    <w:next w:val="1"/>
    <w:qFormat/>
    <w:uiPriority w:val="0"/>
  </w:style>
  <w:style w:type="paragraph" w:styleId="11">
    <w:name w:val="toc 2"/>
    <w:basedOn w:val="1"/>
    <w:next w:val="1"/>
    <w:qFormat/>
    <w:uiPriority w:val="0"/>
    <w:pPr>
      <w:ind w:left="420" w:leftChars="200"/>
    </w:p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3">
    <w:name w:val="annotation subject"/>
    <w:basedOn w:val="3"/>
    <w:next w:val="3"/>
    <w:link w:val="23"/>
    <w:qFormat/>
    <w:uiPriority w:val="0"/>
    <w:rPr>
      <w:b/>
      <w:bCs/>
    </w:rPr>
  </w:style>
  <w:style w:type="paragraph" w:styleId="14">
    <w:name w:val="Body Text First Indent 2"/>
    <w:basedOn w:val="5"/>
    <w:qFormat/>
    <w:uiPriority w:val="0"/>
    <w:pPr>
      <w:tabs>
        <w:tab w:val="left" w:pos="-116"/>
        <w:tab w:val="left" w:pos="420"/>
      </w:tabs>
      <w:ind w:firstLine="420" w:firstLineChars="200"/>
    </w:p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0"/>
  </w:style>
  <w:style w:type="character" w:styleId="19">
    <w:name w:val="Emphasis"/>
    <w:basedOn w:val="17"/>
    <w:qFormat/>
    <w:uiPriority w:val="0"/>
    <w:rPr>
      <w:i/>
    </w:rPr>
  </w:style>
  <w:style w:type="character" w:styleId="20">
    <w:name w:val="annotation reference"/>
    <w:basedOn w:val="17"/>
    <w:qFormat/>
    <w:uiPriority w:val="0"/>
    <w:rPr>
      <w:sz w:val="21"/>
      <w:szCs w:val="21"/>
    </w:rPr>
  </w:style>
  <w:style w:type="character" w:customStyle="1" w:styleId="21">
    <w:name w:val="批注框文本 Char"/>
    <w:basedOn w:val="17"/>
    <w:link w:val="7"/>
    <w:qFormat/>
    <w:uiPriority w:val="0"/>
    <w:rPr>
      <w:rFonts w:ascii="Times New Roman" w:hAnsi="Times New Roman"/>
      <w:kern w:val="2"/>
      <w:sz w:val="18"/>
      <w:szCs w:val="18"/>
    </w:rPr>
  </w:style>
  <w:style w:type="character" w:customStyle="1" w:styleId="22">
    <w:name w:val="批注文字 Char"/>
    <w:basedOn w:val="17"/>
    <w:link w:val="3"/>
    <w:qFormat/>
    <w:uiPriority w:val="0"/>
    <w:rPr>
      <w:rFonts w:ascii="Times New Roman" w:hAnsi="Times New Roman"/>
      <w:kern w:val="2"/>
      <w:sz w:val="21"/>
      <w:szCs w:val="22"/>
    </w:rPr>
  </w:style>
  <w:style w:type="character" w:customStyle="1" w:styleId="23">
    <w:name w:val="批注主题 Char"/>
    <w:basedOn w:val="22"/>
    <w:link w:val="13"/>
    <w:qFormat/>
    <w:uiPriority w:val="0"/>
  </w:style>
  <w:style w:type="character" w:customStyle="1" w:styleId="24">
    <w:name w:val="font51"/>
    <w:basedOn w:val="17"/>
    <w:qFormat/>
    <w:uiPriority w:val="0"/>
    <w:rPr>
      <w:rFonts w:hint="eastAsia" w:ascii="宋体" w:hAnsi="宋体" w:eastAsia="宋体" w:cs="宋体"/>
      <w:color w:val="000000"/>
      <w:sz w:val="20"/>
      <w:szCs w:val="20"/>
      <w:u w:val="none"/>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character" w:customStyle="1" w:styleId="26">
    <w:name w:val="font31"/>
    <w:basedOn w:val="17"/>
    <w:qFormat/>
    <w:uiPriority w:val="0"/>
    <w:rPr>
      <w:rFonts w:hint="eastAsia" w:ascii="宋体" w:hAnsi="宋体" w:eastAsia="宋体" w:cs="宋体"/>
      <w:color w:val="000000"/>
      <w:sz w:val="20"/>
      <w:szCs w:val="20"/>
      <w:u w:val="none"/>
    </w:rPr>
  </w:style>
  <w:style w:type="character" w:customStyle="1" w:styleId="27">
    <w:name w:val="font21"/>
    <w:qFormat/>
    <w:uiPriority w:val="0"/>
    <w:rPr>
      <w:rFonts w:hint="eastAsia" w:ascii="宋体" w:hAnsi="宋体" w:eastAsia="宋体" w:cs="宋体"/>
      <w:color w:val="000000"/>
      <w:sz w:val="20"/>
      <w:szCs w:val="20"/>
      <w:u w:val="none"/>
    </w:rPr>
  </w:style>
  <w:style w:type="table" w:customStyle="1" w:styleId="28">
    <w:name w:val="Table Normal"/>
    <w:unhideWhenUsed/>
    <w:qFormat/>
    <w:uiPriority w:val="0"/>
    <w:tblPr>
      <w:tblCellMar>
        <w:top w:w="0" w:type="dxa"/>
        <w:left w:w="0" w:type="dxa"/>
        <w:bottom w:w="0" w:type="dxa"/>
        <w:right w:w="0" w:type="dxa"/>
      </w:tblCellMar>
    </w:tblPr>
  </w:style>
  <w:style w:type="paragraph" w:customStyle="1" w:styleId="29">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56</Pages>
  <Words>34289</Words>
  <Characters>36089</Characters>
  <Lines>1</Lines>
  <Paragraphs>1</Paragraphs>
  <TotalTime>8</TotalTime>
  <ScaleCrop>false</ScaleCrop>
  <LinksUpToDate>false</LinksUpToDate>
  <CharactersWithSpaces>38504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2024-12-31T06:32:00Z</cp:lastPrinted>
  <dcterms:modified xsi:type="dcterms:W3CDTF">2025-05-09T14:37:39Z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C5EB25D23906465CB9947A785AAC8708_13</vt:lpwstr>
  </property>
  <property fmtid="{D5CDD505-2E9C-101B-9397-08002B2CF9AE}" pid="4" name="commondata">
    <vt:lpwstr>eyJoZGlkIjoiZDJiMzdlZTkyZWRmN2IzYzY2ZmI2ZTBlN2MyMWRiOWEifQ==</vt:lpwstr>
  </property>
  <property fmtid="{D5CDD505-2E9C-101B-9397-08002B2CF9AE}" pid="5" name="KSOTemplateDocerSaveRecord">
    <vt:lpwstr>eyJoZGlkIjoiZjcwNmJmNjFjYjZjMzQ4ZDEzNjZhN2UwYjUyMjgwNDgiLCJ1c2VySWQiOiIzMjYyOTIwOTcifQ==</vt:lpwstr>
  </property>
</Properties>
</file>