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079D0">
      <w:pPr>
        <w:jc w:val="right"/>
        <w:rPr>
          <w:rFonts w:hint="default" w:ascii="仿宋" w:hAnsi="仿宋" w:eastAsia="仿宋" w:cs="仿宋"/>
          <w:color w:val="auto"/>
          <w:highlight w:val="none"/>
          <w:lang w:val="en-US" w:eastAsia="zh-CN"/>
        </w:rPr>
      </w:pPr>
    </w:p>
    <w:p w14:paraId="0ECA36CA">
      <w:pPr>
        <w:jc w:val="both"/>
        <w:rPr>
          <w:rFonts w:hint="eastAsia" w:ascii="仿宋" w:hAnsi="仿宋" w:eastAsia="仿宋" w:cs="仿宋"/>
          <w:b/>
          <w:color w:val="auto"/>
          <w:sz w:val="72"/>
          <w:highlight w:val="none"/>
          <w:lang w:val="en-US" w:eastAsia="zh-CN"/>
        </w:rPr>
      </w:pPr>
      <w:r>
        <w:rPr>
          <w:rFonts w:hint="eastAsia" w:ascii="仿宋" w:hAnsi="仿宋" w:eastAsia="仿宋" w:cs="仿宋"/>
          <w:color w:val="auto"/>
          <w:kern w:val="0"/>
          <w:sz w:val="24"/>
          <w:szCs w:val="24"/>
          <w:highlight w:val="none"/>
        </w:rPr>
        <w:drawing>
          <wp:anchor distT="0" distB="0" distL="0" distR="0" simplePos="0" relativeHeight="251659264" behindDoc="0" locked="0" layoutInCell="1" allowOverlap="1">
            <wp:simplePos x="0" y="0"/>
            <wp:positionH relativeFrom="column">
              <wp:posOffset>920115</wp:posOffset>
            </wp:positionH>
            <wp:positionV relativeFrom="paragraph">
              <wp:posOffset>19685</wp:posOffset>
            </wp:positionV>
            <wp:extent cx="4288790" cy="525780"/>
            <wp:effectExtent l="0" t="0" r="16510" b="7620"/>
            <wp:wrapNone/>
            <wp:docPr id="1026" name="图片 2" descr="86619fd34e89ba868d862bb3661be41"/>
            <wp:cNvGraphicFramePr/>
            <a:graphic xmlns:a="http://schemas.openxmlformats.org/drawingml/2006/main">
              <a:graphicData uri="http://schemas.openxmlformats.org/drawingml/2006/picture">
                <pic:pic xmlns:pic="http://schemas.openxmlformats.org/drawingml/2006/picture">
                  <pic:nvPicPr>
                    <pic:cNvPr id="1026" name="图片 2" descr="86619fd34e89ba868d862bb3661be41"/>
                    <pic:cNvPicPr/>
                  </pic:nvPicPr>
                  <pic:blipFill>
                    <a:blip r:embed="rId9" cstate="print"/>
                    <a:srcRect/>
                    <a:stretch>
                      <a:fillRect/>
                    </a:stretch>
                  </pic:blipFill>
                  <pic:spPr>
                    <a:xfrm>
                      <a:off x="0" y="0"/>
                      <a:ext cx="4288790" cy="525780"/>
                    </a:xfrm>
                    <a:prstGeom prst="rect">
                      <a:avLst/>
                    </a:prstGeom>
                    <a:ln>
                      <a:noFill/>
                    </a:ln>
                  </pic:spPr>
                </pic:pic>
              </a:graphicData>
            </a:graphic>
          </wp:anchor>
        </w:drawing>
      </w:r>
    </w:p>
    <w:p w14:paraId="000BE8F1">
      <w:pPr>
        <w:jc w:val="center"/>
        <w:rPr>
          <w:rFonts w:hint="eastAsia" w:ascii="仿宋" w:hAnsi="仿宋" w:eastAsia="仿宋" w:cs="仿宋"/>
          <w:b/>
          <w:color w:val="auto"/>
          <w:sz w:val="56"/>
          <w:szCs w:val="22"/>
          <w:highlight w:val="none"/>
          <w:lang w:val="en-US" w:eastAsia="zh-CN"/>
        </w:rPr>
      </w:pPr>
    </w:p>
    <w:p w14:paraId="1B53B0D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Cs/>
          <w:color w:val="auto"/>
          <w:sz w:val="52"/>
          <w:szCs w:val="52"/>
          <w:highlight w:val="none"/>
          <w:u w:val="single"/>
        </w:rPr>
      </w:pPr>
      <w:r>
        <w:rPr>
          <w:rFonts w:hint="eastAsia" w:ascii="仿宋" w:hAnsi="仿宋" w:eastAsia="仿宋" w:cs="仿宋"/>
          <w:b w:val="0"/>
          <w:bCs/>
          <w:color w:val="auto"/>
          <w:sz w:val="52"/>
          <w:szCs w:val="52"/>
          <w:highlight w:val="none"/>
          <w:lang w:val="en-US" w:eastAsia="zh-CN"/>
        </w:rPr>
        <w:t>玉林(福绵)节能环保产业园</w:t>
      </w:r>
      <w:r>
        <w:rPr>
          <w:rFonts w:hint="eastAsia" w:ascii="仿宋" w:hAnsi="仿宋" w:eastAsia="仿宋" w:cs="仿宋"/>
          <w:bCs/>
          <w:color w:val="auto"/>
          <w:sz w:val="52"/>
          <w:szCs w:val="52"/>
          <w:highlight w:val="none"/>
          <w:u w:val="single"/>
        </w:rPr>
        <w:t>南部工业供水厂建设项目(二期5万吨/天)</w:t>
      </w:r>
    </w:p>
    <w:p w14:paraId="27341F3D">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 w:hAnsi="仿宋" w:eastAsia="仿宋" w:cs="仿宋"/>
          <w:b w:val="0"/>
          <w:bCs/>
          <w:color w:val="auto"/>
          <w:sz w:val="52"/>
          <w:szCs w:val="52"/>
          <w:highlight w:val="none"/>
          <w:u w:val="none"/>
          <w:lang w:val="en-US" w:eastAsia="zh-CN"/>
        </w:rPr>
      </w:pPr>
      <w:r>
        <w:rPr>
          <w:rFonts w:hint="eastAsia" w:ascii="仿宋" w:hAnsi="仿宋" w:eastAsia="仿宋" w:cs="仿宋"/>
          <w:bCs/>
          <w:color w:val="auto"/>
          <w:sz w:val="52"/>
          <w:szCs w:val="52"/>
          <w:highlight w:val="none"/>
          <w:u w:val="single"/>
        </w:rPr>
        <w:t>玉林(福绵)节能环保产业园南部污水处理厂及中水回用设施建设项目(一期二标段5万吨天)</w:t>
      </w:r>
      <w:r>
        <w:rPr>
          <w:rFonts w:hint="eastAsia" w:ascii="仿宋" w:hAnsi="仿宋" w:eastAsia="仿宋" w:cs="仿宋"/>
          <w:b w:val="0"/>
          <w:bCs/>
          <w:color w:val="auto"/>
          <w:sz w:val="52"/>
          <w:szCs w:val="52"/>
          <w:highlight w:val="none"/>
          <w:lang w:val="en-US" w:eastAsia="zh-CN"/>
        </w:rPr>
        <w:t>预拌砂浆</w:t>
      </w:r>
    </w:p>
    <w:p w14:paraId="072FBC94">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color w:val="auto"/>
          <w:sz w:val="52"/>
          <w:szCs w:val="52"/>
          <w:highlight w:val="none"/>
          <w:lang w:val="en-US" w:eastAsia="zh-CN"/>
        </w:rPr>
      </w:pPr>
      <w:bookmarkStart w:id="0" w:name="_Toc11583"/>
      <w:bookmarkStart w:id="1" w:name="_Toc19337"/>
      <w:bookmarkStart w:id="2" w:name="_Toc5522"/>
      <w:bookmarkStart w:id="3" w:name="_Toc782"/>
      <w:bookmarkStart w:id="4" w:name="_Toc25876"/>
      <w:bookmarkStart w:id="5" w:name="_Toc927"/>
      <w:bookmarkStart w:id="6" w:name="_Toc19602"/>
      <w:bookmarkStart w:id="7" w:name="_Toc32625"/>
      <w:bookmarkStart w:id="8" w:name="_Toc13418"/>
      <w:bookmarkStart w:id="9" w:name="_Toc7524"/>
      <w:r>
        <w:rPr>
          <w:rFonts w:hint="eastAsia" w:ascii="仿宋" w:hAnsi="仿宋" w:eastAsia="仿宋" w:cs="仿宋"/>
          <w:b w:val="0"/>
          <w:bCs/>
          <w:color w:val="auto"/>
          <w:sz w:val="52"/>
          <w:szCs w:val="52"/>
          <w:highlight w:val="none"/>
          <w:lang w:val="en-US" w:eastAsia="zh-CN"/>
        </w:rPr>
        <w:t>购</w:t>
      </w:r>
      <w:bookmarkEnd w:id="0"/>
      <w:bookmarkEnd w:id="1"/>
      <w:bookmarkEnd w:id="2"/>
      <w:bookmarkEnd w:id="3"/>
      <w:bookmarkEnd w:id="4"/>
      <w:bookmarkEnd w:id="5"/>
      <w:bookmarkEnd w:id="6"/>
      <w:bookmarkEnd w:id="7"/>
      <w:bookmarkEnd w:id="8"/>
      <w:bookmarkEnd w:id="9"/>
    </w:p>
    <w:p w14:paraId="2A2EE401">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color w:val="auto"/>
          <w:sz w:val="52"/>
          <w:szCs w:val="52"/>
          <w:highlight w:val="none"/>
          <w:lang w:val="en-US" w:eastAsia="zh-CN"/>
        </w:rPr>
      </w:pPr>
      <w:bookmarkStart w:id="10" w:name="_Toc11958"/>
      <w:bookmarkStart w:id="11" w:name="_Toc25135"/>
      <w:bookmarkStart w:id="12" w:name="_Toc16578"/>
      <w:bookmarkStart w:id="13" w:name="_Toc15725"/>
      <w:bookmarkStart w:id="14" w:name="_Toc19534"/>
      <w:bookmarkStart w:id="15" w:name="_Toc14109"/>
      <w:bookmarkStart w:id="16" w:name="_Toc31704"/>
      <w:bookmarkStart w:id="17" w:name="_Toc9247"/>
      <w:bookmarkStart w:id="18" w:name="_Toc516"/>
      <w:bookmarkStart w:id="19" w:name="_Toc7379"/>
      <w:r>
        <w:rPr>
          <w:rFonts w:hint="eastAsia" w:ascii="仿宋" w:hAnsi="仿宋" w:eastAsia="仿宋" w:cs="仿宋"/>
          <w:b w:val="0"/>
          <w:bCs/>
          <w:color w:val="auto"/>
          <w:sz w:val="52"/>
          <w:szCs w:val="52"/>
          <w:highlight w:val="none"/>
          <w:lang w:val="en-US" w:eastAsia="zh-CN"/>
        </w:rPr>
        <w:t>销</w:t>
      </w:r>
      <w:bookmarkEnd w:id="10"/>
      <w:bookmarkEnd w:id="11"/>
      <w:bookmarkEnd w:id="12"/>
      <w:bookmarkEnd w:id="13"/>
      <w:bookmarkEnd w:id="14"/>
      <w:bookmarkEnd w:id="15"/>
      <w:bookmarkEnd w:id="16"/>
      <w:bookmarkEnd w:id="17"/>
      <w:bookmarkEnd w:id="18"/>
      <w:bookmarkEnd w:id="19"/>
    </w:p>
    <w:p w14:paraId="436EC44D">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color w:val="auto"/>
          <w:sz w:val="52"/>
          <w:szCs w:val="52"/>
          <w:highlight w:val="none"/>
          <w:lang w:val="en-US" w:eastAsia="zh-CN"/>
        </w:rPr>
      </w:pPr>
      <w:bookmarkStart w:id="20" w:name="_Toc4020"/>
      <w:bookmarkStart w:id="21" w:name="_Toc32019"/>
      <w:bookmarkStart w:id="22" w:name="_Toc14406"/>
      <w:bookmarkStart w:id="23" w:name="_Toc2454"/>
      <w:bookmarkStart w:id="24" w:name="_Toc9045"/>
      <w:bookmarkStart w:id="25" w:name="_Toc23318"/>
      <w:bookmarkStart w:id="26" w:name="_Toc28545"/>
      <w:bookmarkStart w:id="27" w:name="_Toc16372"/>
      <w:bookmarkStart w:id="28" w:name="_Toc338"/>
      <w:bookmarkStart w:id="29" w:name="_Toc30462"/>
      <w:r>
        <w:rPr>
          <w:rFonts w:hint="eastAsia" w:ascii="仿宋" w:hAnsi="仿宋" w:eastAsia="仿宋" w:cs="仿宋"/>
          <w:b w:val="0"/>
          <w:bCs/>
          <w:color w:val="auto"/>
          <w:sz w:val="52"/>
          <w:szCs w:val="52"/>
          <w:highlight w:val="none"/>
          <w:lang w:val="en-US" w:eastAsia="zh-CN"/>
        </w:rPr>
        <w:t>合</w:t>
      </w:r>
      <w:bookmarkEnd w:id="20"/>
      <w:bookmarkEnd w:id="21"/>
      <w:bookmarkEnd w:id="22"/>
      <w:bookmarkEnd w:id="23"/>
      <w:bookmarkEnd w:id="24"/>
      <w:bookmarkEnd w:id="25"/>
      <w:bookmarkEnd w:id="26"/>
      <w:bookmarkEnd w:id="27"/>
      <w:bookmarkEnd w:id="28"/>
      <w:bookmarkEnd w:id="29"/>
    </w:p>
    <w:p w14:paraId="242494F5">
      <w:pPr>
        <w:keepNext w:val="0"/>
        <w:keepLines w:val="0"/>
        <w:pageBreakBefore w:val="0"/>
        <w:widowControl w:val="0"/>
        <w:kinsoku/>
        <w:wordWrap/>
        <w:overflowPunct/>
        <w:topLinePunct w:val="0"/>
        <w:autoSpaceDE/>
        <w:autoSpaceDN/>
        <w:bidi w:val="0"/>
        <w:adjustRightInd/>
        <w:snapToGrid/>
        <w:spacing w:line="336" w:lineRule="auto"/>
        <w:jc w:val="center"/>
        <w:textAlignment w:val="auto"/>
        <w:outlineLvl w:val="0"/>
        <w:rPr>
          <w:rFonts w:hint="eastAsia" w:ascii="仿宋" w:hAnsi="仿宋" w:eastAsia="仿宋" w:cs="仿宋"/>
          <w:b w:val="0"/>
          <w:bCs/>
          <w:color w:val="auto"/>
          <w:sz w:val="52"/>
          <w:szCs w:val="52"/>
          <w:highlight w:val="none"/>
          <w:lang w:val="en-US" w:eastAsia="zh-CN"/>
        </w:rPr>
      </w:pPr>
      <w:bookmarkStart w:id="30" w:name="_Toc29668"/>
      <w:bookmarkStart w:id="31" w:name="_Toc2173"/>
      <w:bookmarkStart w:id="32" w:name="_Toc2686"/>
      <w:bookmarkStart w:id="33" w:name="_Toc16859"/>
      <w:bookmarkStart w:id="34" w:name="_Toc2318"/>
      <w:bookmarkStart w:id="35" w:name="_Toc9859"/>
      <w:bookmarkStart w:id="36" w:name="_Toc2497"/>
      <w:bookmarkStart w:id="37" w:name="_Toc28378"/>
      <w:bookmarkStart w:id="38" w:name="_Toc2473"/>
      <w:bookmarkStart w:id="39" w:name="_Toc20513"/>
      <w:r>
        <w:rPr>
          <w:rFonts w:hint="eastAsia" w:ascii="仿宋" w:hAnsi="仿宋" w:eastAsia="仿宋" w:cs="仿宋"/>
          <w:b w:val="0"/>
          <w:bCs/>
          <w:color w:val="auto"/>
          <w:sz w:val="52"/>
          <w:szCs w:val="52"/>
          <w:highlight w:val="none"/>
          <w:lang w:val="en-US" w:eastAsia="zh-CN"/>
        </w:rPr>
        <w:t>同</w:t>
      </w:r>
      <w:bookmarkEnd w:id="30"/>
      <w:bookmarkEnd w:id="31"/>
      <w:bookmarkEnd w:id="32"/>
      <w:bookmarkEnd w:id="33"/>
      <w:bookmarkEnd w:id="34"/>
      <w:bookmarkEnd w:id="35"/>
      <w:bookmarkEnd w:id="36"/>
      <w:bookmarkEnd w:id="37"/>
      <w:bookmarkEnd w:id="38"/>
      <w:bookmarkEnd w:id="39"/>
    </w:p>
    <w:p w14:paraId="600C8BD0">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63E33EF9">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甲方（需方）：东莞市中泰建安工程有限公司</w:t>
      </w:r>
    </w:p>
    <w:p w14:paraId="5D69191C">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乙方（供方）： </w:t>
      </w:r>
    </w:p>
    <w:p w14:paraId="11B2F296">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w:t>
      </w:r>
      <w:r>
        <w:rPr>
          <w:rFonts w:hint="eastAsia" w:ascii="仿宋" w:hAnsi="仿宋" w:eastAsia="仿宋" w:cs="仿宋"/>
          <w:b w:val="0"/>
          <w:bCs w:val="0"/>
          <w:color w:val="auto"/>
          <w:sz w:val="28"/>
          <w:szCs w:val="28"/>
          <w:highlight w:val="none"/>
          <w:u w:val="single"/>
          <w:lang w:val="en-US" w:eastAsia="zh-CN"/>
        </w:rPr>
        <w:t xml:space="preserve">  2025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782E573B">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color w:val="auto"/>
          <w:sz w:val="28"/>
          <w:szCs w:val="28"/>
          <w:highlight w:val="none"/>
          <w:u w:val="none"/>
          <w:lang w:val="en-US" w:eastAsia="zh-CN"/>
        </w:rPr>
        <w:t>签订地点：广东东莞。</w:t>
      </w:r>
    </w:p>
    <w:p w14:paraId="5BF3F5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1247" w:bottom="1440" w:left="1247"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p w14:paraId="67144145">
      <w:pPr>
        <w:spacing w:before="0" w:after="0" w:line="240" w:lineRule="auto"/>
        <w:ind w:left="0" w:leftChars="0" w:right="0" w:rightChars="0" w:firstLine="0" w:firstLineChars="0"/>
        <w:jc w:val="center"/>
        <w:rPr>
          <w:rFonts w:ascii="宋体" w:hAnsi="宋体" w:eastAsia="宋体"/>
          <w:color w:val="auto"/>
          <w:sz w:val="32"/>
          <w:szCs w:val="40"/>
          <w:highlight w:val="none"/>
        </w:rPr>
      </w:pPr>
    </w:p>
    <w:p w14:paraId="764CC19C">
      <w:pPr>
        <w:spacing w:before="0" w:after="0" w:line="240" w:lineRule="auto"/>
        <w:ind w:left="0" w:leftChars="0" w:right="0" w:rightChars="0" w:firstLine="0" w:firstLineChars="0"/>
        <w:jc w:val="center"/>
        <w:rPr>
          <w:rFonts w:ascii="宋体" w:hAnsi="宋体" w:eastAsia="宋体"/>
          <w:color w:val="auto"/>
          <w:sz w:val="32"/>
          <w:szCs w:val="40"/>
          <w:highlight w:val="none"/>
        </w:rPr>
      </w:pPr>
    </w:p>
    <w:p w14:paraId="74789149">
      <w:pPr>
        <w:spacing w:before="0" w:after="0" w:line="240" w:lineRule="auto"/>
        <w:ind w:left="0" w:leftChars="0" w:right="0" w:rightChars="0" w:firstLine="0" w:firstLineChars="0"/>
        <w:jc w:val="center"/>
        <w:rPr>
          <w:rFonts w:ascii="宋体" w:hAnsi="宋体" w:eastAsia="宋体"/>
          <w:color w:val="auto"/>
          <w:sz w:val="32"/>
          <w:szCs w:val="40"/>
          <w:highlight w:val="none"/>
        </w:rPr>
      </w:pPr>
      <w:r>
        <w:rPr>
          <w:rFonts w:ascii="宋体" w:hAnsi="宋体" w:eastAsia="宋体"/>
          <w:b/>
          <w:bCs/>
          <w:color w:val="auto"/>
          <w:sz w:val="32"/>
          <w:szCs w:val="40"/>
          <w:highlight w:val="none"/>
        </w:rPr>
        <w:t>目录</w:t>
      </w:r>
    </w:p>
    <w:p w14:paraId="3379CF91">
      <w:pPr>
        <w:spacing w:before="0" w:after="0" w:line="240" w:lineRule="auto"/>
        <w:ind w:left="0" w:leftChars="0" w:right="0" w:rightChars="0" w:firstLine="0" w:firstLineChars="0"/>
        <w:jc w:val="center"/>
        <w:rPr>
          <w:rFonts w:ascii="宋体" w:hAnsi="宋体" w:eastAsia="宋体"/>
          <w:color w:val="auto"/>
          <w:sz w:val="32"/>
          <w:szCs w:val="40"/>
          <w:highlight w:val="none"/>
        </w:rPr>
      </w:pPr>
    </w:p>
    <w:p w14:paraId="77BDE66A">
      <w:pPr>
        <w:pStyle w:val="7"/>
        <w:tabs>
          <w:tab w:val="right" w:leader="dot" w:pos="9460"/>
        </w:tabs>
        <w:rPr>
          <w:color w:val="auto"/>
        </w:rPr>
      </w:pPr>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szCs w:val="28"/>
          <w:highlight w:val="none"/>
        </w:rPr>
        <w:fldChar w:fldCharType="begin"/>
      </w:r>
      <w:r>
        <w:rPr>
          <w:color w:val="auto"/>
          <w:szCs w:val="28"/>
          <w:highlight w:val="none"/>
        </w:rPr>
        <w:instrText xml:space="preserve"> HYPERLINK \l _Toc11538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第一章、产品内容及合同价款</w:t>
      </w:r>
      <w:r>
        <w:rPr>
          <w:color w:val="auto"/>
        </w:rPr>
        <w:tab/>
      </w:r>
      <w:r>
        <w:rPr>
          <w:color w:val="auto"/>
        </w:rPr>
        <w:fldChar w:fldCharType="begin"/>
      </w:r>
      <w:r>
        <w:rPr>
          <w:color w:val="auto"/>
        </w:rPr>
        <w:instrText xml:space="preserve"> PAGEREF _Toc11538 \h </w:instrText>
      </w:r>
      <w:r>
        <w:rPr>
          <w:color w:val="auto"/>
        </w:rPr>
        <w:fldChar w:fldCharType="separate"/>
      </w:r>
      <w:r>
        <w:rPr>
          <w:color w:val="auto"/>
        </w:rPr>
        <w:t>1</w:t>
      </w:r>
      <w:r>
        <w:rPr>
          <w:color w:val="auto"/>
        </w:rPr>
        <w:fldChar w:fldCharType="end"/>
      </w:r>
      <w:r>
        <w:rPr>
          <w:color w:val="auto"/>
          <w:szCs w:val="28"/>
          <w:highlight w:val="none"/>
        </w:rPr>
        <w:fldChar w:fldCharType="end"/>
      </w:r>
    </w:p>
    <w:p w14:paraId="00943FF0">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_Toc3935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第二章、计量方法</w:t>
      </w:r>
      <w:r>
        <w:rPr>
          <w:color w:val="auto"/>
        </w:rPr>
        <w:tab/>
      </w:r>
      <w:r>
        <w:rPr>
          <w:color w:val="auto"/>
        </w:rPr>
        <w:fldChar w:fldCharType="begin"/>
      </w:r>
      <w:r>
        <w:rPr>
          <w:color w:val="auto"/>
        </w:rPr>
        <w:instrText xml:space="preserve"> PAGEREF _Toc3935 \h </w:instrText>
      </w:r>
      <w:r>
        <w:rPr>
          <w:color w:val="auto"/>
        </w:rPr>
        <w:fldChar w:fldCharType="separate"/>
      </w:r>
      <w:r>
        <w:rPr>
          <w:color w:val="auto"/>
        </w:rPr>
        <w:t>2</w:t>
      </w:r>
      <w:r>
        <w:rPr>
          <w:color w:val="auto"/>
        </w:rPr>
        <w:fldChar w:fldCharType="end"/>
      </w:r>
      <w:r>
        <w:rPr>
          <w:color w:val="auto"/>
          <w:szCs w:val="28"/>
          <w:highlight w:val="none"/>
        </w:rPr>
        <w:fldChar w:fldCharType="end"/>
      </w:r>
    </w:p>
    <w:p w14:paraId="6FDA37C9">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_Toc27359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第三章、付款方式</w:t>
      </w:r>
      <w:r>
        <w:rPr>
          <w:color w:val="auto"/>
        </w:rPr>
        <w:tab/>
      </w:r>
      <w:r>
        <w:rPr>
          <w:color w:val="auto"/>
        </w:rPr>
        <w:fldChar w:fldCharType="begin"/>
      </w:r>
      <w:r>
        <w:rPr>
          <w:color w:val="auto"/>
        </w:rPr>
        <w:instrText xml:space="preserve"> PAGEREF _Toc27359 \h </w:instrText>
      </w:r>
      <w:r>
        <w:rPr>
          <w:color w:val="auto"/>
        </w:rPr>
        <w:fldChar w:fldCharType="separate"/>
      </w:r>
      <w:r>
        <w:rPr>
          <w:color w:val="auto"/>
        </w:rPr>
        <w:t>3</w:t>
      </w:r>
      <w:r>
        <w:rPr>
          <w:color w:val="auto"/>
        </w:rPr>
        <w:fldChar w:fldCharType="end"/>
      </w:r>
      <w:r>
        <w:rPr>
          <w:color w:val="auto"/>
          <w:szCs w:val="28"/>
          <w:highlight w:val="none"/>
        </w:rPr>
        <w:fldChar w:fldCharType="end"/>
      </w:r>
    </w:p>
    <w:p w14:paraId="0DB44B48">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_Toc29397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第四章、产品质量要求</w:t>
      </w:r>
      <w:r>
        <w:rPr>
          <w:color w:val="auto"/>
        </w:rPr>
        <w:tab/>
      </w:r>
      <w:r>
        <w:rPr>
          <w:color w:val="auto"/>
        </w:rPr>
        <w:fldChar w:fldCharType="begin"/>
      </w:r>
      <w:r>
        <w:rPr>
          <w:color w:val="auto"/>
        </w:rPr>
        <w:instrText xml:space="preserve"> PAGEREF _Toc29397 \h </w:instrText>
      </w:r>
      <w:r>
        <w:rPr>
          <w:color w:val="auto"/>
        </w:rPr>
        <w:fldChar w:fldCharType="separate"/>
      </w:r>
      <w:r>
        <w:rPr>
          <w:color w:val="auto"/>
        </w:rPr>
        <w:t>7</w:t>
      </w:r>
      <w:r>
        <w:rPr>
          <w:color w:val="auto"/>
        </w:rPr>
        <w:fldChar w:fldCharType="end"/>
      </w:r>
      <w:r>
        <w:rPr>
          <w:color w:val="auto"/>
          <w:szCs w:val="28"/>
          <w:highlight w:val="none"/>
        </w:rPr>
        <w:fldChar w:fldCharType="end"/>
      </w:r>
    </w:p>
    <w:p w14:paraId="1A97E74D">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_Toc17591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第五章、订货、交货、验收</w:t>
      </w:r>
      <w:r>
        <w:rPr>
          <w:color w:val="auto"/>
        </w:rPr>
        <w:tab/>
      </w:r>
      <w:r>
        <w:rPr>
          <w:color w:val="auto"/>
        </w:rPr>
        <w:fldChar w:fldCharType="begin"/>
      </w:r>
      <w:r>
        <w:rPr>
          <w:color w:val="auto"/>
        </w:rPr>
        <w:instrText xml:space="preserve"> PAGEREF _Toc17591 \h </w:instrText>
      </w:r>
      <w:r>
        <w:rPr>
          <w:color w:val="auto"/>
        </w:rPr>
        <w:fldChar w:fldCharType="separate"/>
      </w:r>
      <w:r>
        <w:rPr>
          <w:color w:val="auto"/>
        </w:rPr>
        <w:t>8</w:t>
      </w:r>
      <w:r>
        <w:rPr>
          <w:color w:val="auto"/>
        </w:rPr>
        <w:fldChar w:fldCharType="end"/>
      </w:r>
      <w:r>
        <w:rPr>
          <w:color w:val="auto"/>
          <w:szCs w:val="28"/>
          <w:highlight w:val="none"/>
        </w:rPr>
        <w:fldChar w:fldCharType="end"/>
      </w:r>
    </w:p>
    <w:p w14:paraId="31B2173E">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_Toc6644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第六章、质保</w:t>
      </w:r>
      <w:r>
        <w:rPr>
          <w:color w:val="auto"/>
        </w:rPr>
        <w:tab/>
      </w:r>
      <w:r>
        <w:rPr>
          <w:color w:val="auto"/>
        </w:rPr>
        <w:fldChar w:fldCharType="begin"/>
      </w:r>
      <w:r>
        <w:rPr>
          <w:color w:val="auto"/>
        </w:rPr>
        <w:instrText xml:space="preserve"> PAGEREF _Toc6644 \h </w:instrText>
      </w:r>
      <w:r>
        <w:rPr>
          <w:color w:val="auto"/>
        </w:rPr>
        <w:fldChar w:fldCharType="separate"/>
      </w:r>
      <w:r>
        <w:rPr>
          <w:color w:val="auto"/>
        </w:rPr>
        <w:t>12</w:t>
      </w:r>
      <w:r>
        <w:rPr>
          <w:color w:val="auto"/>
        </w:rPr>
        <w:fldChar w:fldCharType="end"/>
      </w:r>
      <w:r>
        <w:rPr>
          <w:color w:val="auto"/>
          <w:szCs w:val="28"/>
          <w:highlight w:val="none"/>
        </w:rPr>
        <w:fldChar w:fldCharType="end"/>
      </w:r>
    </w:p>
    <w:p w14:paraId="57D66407">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_Toc24834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第七章、违约责任</w:t>
      </w:r>
      <w:r>
        <w:rPr>
          <w:color w:val="auto"/>
        </w:rPr>
        <w:tab/>
      </w:r>
      <w:r>
        <w:rPr>
          <w:color w:val="auto"/>
        </w:rPr>
        <w:fldChar w:fldCharType="begin"/>
      </w:r>
      <w:r>
        <w:rPr>
          <w:color w:val="auto"/>
        </w:rPr>
        <w:instrText xml:space="preserve"> PAGEREF _Toc24834 \h </w:instrText>
      </w:r>
      <w:r>
        <w:rPr>
          <w:color w:val="auto"/>
        </w:rPr>
        <w:fldChar w:fldCharType="separate"/>
      </w:r>
      <w:r>
        <w:rPr>
          <w:color w:val="auto"/>
        </w:rPr>
        <w:t>13</w:t>
      </w:r>
      <w:r>
        <w:rPr>
          <w:color w:val="auto"/>
        </w:rPr>
        <w:fldChar w:fldCharType="end"/>
      </w:r>
      <w:r>
        <w:rPr>
          <w:color w:val="auto"/>
          <w:szCs w:val="28"/>
          <w:highlight w:val="none"/>
        </w:rPr>
        <w:fldChar w:fldCharType="end"/>
      </w:r>
    </w:p>
    <w:p w14:paraId="3B55B2C9">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_Toc310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第八章、廉洁条款</w:t>
      </w:r>
      <w:r>
        <w:rPr>
          <w:color w:val="auto"/>
        </w:rPr>
        <w:tab/>
      </w:r>
      <w:r>
        <w:rPr>
          <w:color w:val="auto"/>
        </w:rPr>
        <w:fldChar w:fldCharType="begin"/>
      </w:r>
      <w:r>
        <w:rPr>
          <w:color w:val="auto"/>
        </w:rPr>
        <w:instrText xml:space="preserve"> PAGEREF _Toc310 \h </w:instrText>
      </w:r>
      <w:r>
        <w:rPr>
          <w:color w:val="auto"/>
        </w:rPr>
        <w:fldChar w:fldCharType="separate"/>
      </w:r>
      <w:r>
        <w:rPr>
          <w:color w:val="auto"/>
        </w:rPr>
        <w:t>15</w:t>
      </w:r>
      <w:r>
        <w:rPr>
          <w:color w:val="auto"/>
        </w:rPr>
        <w:fldChar w:fldCharType="end"/>
      </w:r>
      <w:r>
        <w:rPr>
          <w:color w:val="auto"/>
          <w:szCs w:val="28"/>
          <w:highlight w:val="none"/>
        </w:rPr>
        <w:fldChar w:fldCharType="end"/>
      </w:r>
    </w:p>
    <w:p w14:paraId="35E7C277">
      <w:pPr>
        <w:pStyle w:val="7"/>
        <w:tabs>
          <w:tab w:val="right" w:leader="dot" w:pos="9460"/>
        </w:tabs>
        <w:rPr>
          <w:color w:val="auto"/>
        </w:rPr>
      </w:pPr>
      <w:r>
        <w:rPr>
          <w:color w:val="auto"/>
          <w:szCs w:val="28"/>
          <w:highlight w:val="none"/>
        </w:rPr>
        <w:fldChar w:fldCharType="begin"/>
      </w:r>
      <w:r>
        <w:rPr>
          <w:color w:val="auto"/>
          <w:szCs w:val="28"/>
          <w:highlight w:val="none"/>
        </w:rPr>
        <w:instrText xml:space="preserve"> HYPERLINK \l _Toc9078 </w:instrText>
      </w:r>
      <w:r>
        <w:rPr>
          <w:color w:val="auto"/>
          <w:szCs w:val="28"/>
          <w:highlight w:val="none"/>
        </w:rPr>
        <w:fldChar w:fldCharType="separate"/>
      </w:r>
      <w:r>
        <w:rPr>
          <w:rFonts w:hint="eastAsia" w:ascii="仿宋" w:hAnsi="仿宋" w:eastAsia="仿宋" w:cs="仿宋"/>
          <w:bCs/>
          <w:color w:val="auto"/>
          <w:szCs w:val="28"/>
          <w:highlight w:val="none"/>
          <w:lang w:val="en-US" w:eastAsia="zh-CN"/>
        </w:rPr>
        <w:t>第九章、其他</w:t>
      </w:r>
      <w:r>
        <w:rPr>
          <w:color w:val="auto"/>
        </w:rPr>
        <w:tab/>
      </w:r>
      <w:r>
        <w:rPr>
          <w:color w:val="auto"/>
        </w:rPr>
        <w:fldChar w:fldCharType="begin"/>
      </w:r>
      <w:r>
        <w:rPr>
          <w:color w:val="auto"/>
        </w:rPr>
        <w:instrText xml:space="preserve"> PAGEREF _Toc9078 \h </w:instrText>
      </w:r>
      <w:r>
        <w:rPr>
          <w:color w:val="auto"/>
        </w:rPr>
        <w:fldChar w:fldCharType="separate"/>
      </w:r>
      <w:r>
        <w:rPr>
          <w:color w:val="auto"/>
        </w:rPr>
        <w:t>16</w:t>
      </w:r>
      <w:r>
        <w:rPr>
          <w:color w:val="auto"/>
        </w:rPr>
        <w:fldChar w:fldCharType="end"/>
      </w:r>
      <w:r>
        <w:rPr>
          <w:color w:val="auto"/>
          <w:szCs w:val="28"/>
          <w:highlight w:val="none"/>
        </w:rPr>
        <w:fldChar w:fldCharType="end"/>
      </w:r>
    </w:p>
    <w:p w14:paraId="57D834AE">
      <w:pPr>
        <w:pStyle w:val="7"/>
        <w:tabs>
          <w:tab w:val="right" w:leader="dot" w:pos="9460"/>
        </w:tabs>
        <w:rPr>
          <w:color w:val="auto"/>
        </w:rPr>
      </w:pPr>
    </w:p>
    <w:p w14:paraId="09861354">
      <w:pPr>
        <w:spacing w:line="600" w:lineRule="auto"/>
        <w:ind w:firstLine="420" w:firstLineChars="200"/>
        <w:rPr>
          <w:rFonts w:hint="eastAsia" w:ascii="仿宋" w:hAnsi="仿宋" w:eastAsia="仿宋" w:cs="仿宋"/>
          <w:color w:val="auto"/>
          <w:sz w:val="28"/>
          <w:szCs w:val="28"/>
          <w:highlight w:val="none"/>
          <w:lang w:val="en-US" w:eastAsia="zh-CN"/>
        </w:rPr>
      </w:pPr>
      <w:r>
        <w:rPr>
          <w:color w:val="auto"/>
          <w:szCs w:val="28"/>
          <w:highlight w:val="none"/>
        </w:rPr>
        <w:fldChar w:fldCharType="end"/>
      </w:r>
    </w:p>
    <w:p w14:paraId="1B40EE5A">
      <w:pPr>
        <w:ind w:firstLine="560" w:firstLineChars="200"/>
        <w:rPr>
          <w:rFonts w:hint="eastAsia" w:ascii="仿宋" w:hAnsi="仿宋" w:eastAsia="仿宋" w:cs="仿宋"/>
          <w:color w:val="auto"/>
          <w:sz w:val="28"/>
          <w:szCs w:val="28"/>
          <w:highlight w:val="none"/>
          <w:lang w:val="en-US" w:eastAsia="zh-CN"/>
        </w:rPr>
      </w:pPr>
    </w:p>
    <w:p w14:paraId="43029BC4">
      <w:pPr>
        <w:ind w:firstLine="560" w:firstLineChars="200"/>
        <w:rPr>
          <w:rFonts w:hint="eastAsia" w:ascii="仿宋" w:hAnsi="仿宋" w:eastAsia="仿宋" w:cs="仿宋"/>
          <w:color w:val="auto"/>
          <w:sz w:val="28"/>
          <w:szCs w:val="28"/>
          <w:highlight w:val="none"/>
          <w:lang w:val="en-US" w:eastAsia="zh-CN"/>
        </w:rPr>
      </w:pPr>
    </w:p>
    <w:p w14:paraId="3686A5E0">
      <w:pPr>
        <w:ind w:firstLine="560" w:firstLineChars="200"/>
        <w:rPr>
          <w:rFonts w:hint="eastAsia" w:ascii="仿宋" w:hAnsi="仿宋" w:eastAsia="仿宋" w:cs="仿宋"/>
          <w:color w:val="auto"/>
          <w:sz w:val="28"/>
          <w:szCs w:val="28"/>
          <w:highlight w:val="none"/>
          <w:lang w:val="en-US" w:eastAsia="zh-CN"/>
        </w:rPr>
      </w:pPr>
    </w:p>
    <w:p w14:paraId="656C22FF">
      <w:pPr>
        <w:ind w:firstLine="560" w:firstLineChars="200"/>
        <w:rPr>
          <w:rFonts w:hint="eastAsia" w:ascii="仿宋" w:hAnsi="仿宋" w:eastAsia="仿宋" w:cs="仿宋"/>
          <w:color w:val="auto"/>
          <w:sz w:val="28"/>
          <w:szCs w:val="28"/>
          <w:highlight w:val="none"/>
          <w:lang w:val="en-US" w:eastAsia="zh-CN"/>
        </w:rPr>
      </w:pPr>
    </w:p>
    <w:p w14:paraId="537A0D57">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highlight w:val="none"/>
          <w:lang w:val="en-US" w:eastAsia="zh-CN"/>
        </w:rPr>
        <w:sectPr>
          <w:footerReference r:id="rId5" w:type="default"/>
          <w:pgSz w:w="11906" w:h="16838"/>
          <w:pgMar w:top="1134" w:right="1035" w:bottom="1134" w:left="1411"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358235D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乙双方在平等、自愿、公平和诚实信用的原则上，在乙方确认并承诺自身满足本项目所在地政府主管部门要求（包括但不限于资质、资格）的前提下，依据《中华人民共和国民法典》《中华人民共和国产品质量法》及其他有关法律法规，就拟用于</w:t>
      </w:r>
      <w:r>
        <w:rPr>
          <w:rFonts w:hint="eastAsia" w:ascii="仿宋" w:hAnsi="仿宋" w:eastAsia="仿宋" w:cs="仿宋"/>
          <w:color w:val="auto"/>
          <w:sz w:val="28"/>
          <w:szCs w:val="28"/>
          <w:highlight w:val="none"/>
          <w:u w:val="single"/>
          <w:lang w:val="en-US" w:eastAsia="zh-CN"/>
        </w:rPr>
        <w:t>玉林(福绵)节能环保产业园【玉林(福绵)节能环保产业园南部工业供水厂建设项目(二期5万吨/天)、玉林(福绵)节能环保产业园南部污水处理厂及中水回用设施建设项目(一期二标段5万吨天)】项目</w:t>
      </w:r>
      <w:r>
        <w:rPr>
          <w:rFonts w:hint="eastAsia" w:ascii="仿宋" w:hAnsi="仿宋" w:eastAsia="仿宋" w:cs="仿宋"/>
          <w:color w:val="auto"/>
          <w:sz w:val="28"/>
          <w:szCs w:val="28"/>
          <w:highlight w:val="none"/>
          <w:lang w:val="en-US" w:eastAsia="zh-CN"/>
        </w:rPr>
        <w:t>（简称“本项目”）的</w:t>
      </w:r>
      <w:r>
        <w:rPr>
          <w:rFonts w:hint="eastAsia" w:ascii="仿宋" w:hAnsi="仿宋" w:eastAsia="仿宋" w:cs="仿宋"/>
          <w:b/>
          <w:bCs/>
          <w:color w:val="auto"/>
          <w:sz w:val="28"/>
          <w:szCs w:val="28"/>
          <w:highlight w:val="none"/>
          <w:u w:val="single"/>
          <w:lang w:val="en-US" w:eastAsia="zh-CN"/>
        </w:rPr>
        <w:t>预拌砂浆</w:t>
      </w:r>
      <w:r>
        <w:rPr>
          <w:rFonts w:hint="eastAsia" w:ascii="仿宋" w:hAnsi="仿宋" w:eastAsia="仿宋" w:cs="仿宋"/>
          <w:color w:val="auto"/>
          <w:sz w:val="28"/>
          <w:szCs w:val="28"/>
          <w:highlight w:val="none"/>
          <w:lang w:val="en-US" w:eastAsia="zh-CN"/>
        </w:rPr>
        <w:t>（以下简称“产品”） 购销事宜协商一致，特签订本合同。（本合同范围内，对以</w:t>
      </w:r>
      <w:r>
        <w:rPr>
          <w:rFonts w:hint="eastAsia" w:ascii="仿宋" w:hAnsi="仿宋" w:eastAsia="仿宋" w:cs="仿宋"/>
          <w:color w:val="auto"/>
          <w:sz w:val="28"/>
          <w:szCs w:val="28"/>
          <w:highlight w:val="none"/>
          <w:lang w:val="en-US" w:eastAsia="zh-CN"/>
        </w:rPr>
        <w:sym w:font="Wingdings" w:char="00A8"/>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开头的内容，以</w:t>
      </w:r>
      <w:r>
        <w:rPr>
          <w:rFonts w:hint="eastAsia" w:ascii="仿宋" w:hAnsi="仿宋" w:eastAsia="仿宋" w:cs="仿宋"/>
          <w:color w:val="auto"/>
          <w:sz w:val="28"/>
          <w:szCs w:val="28"/>
          <w:highlight w:val="none"/>
          <w:lang w:val="en-US" w:eastAsia="zh-CN"/>
        </w:rPr>
        <w:sym w:font="Wingdings" w:char="00FE"/>
      </w:r>
      <w:r>
        <w:rPr>
          <w:rFonts w:hint="eastAsia" w:ascii="仿宋" w:hAnsi="仿宋" w:eastAsia="仿宋" w:cs="仿宋"/>
          <w:color w:val="auto"/>
          <w:sz w:val="28"/>
          <w:szCs w:val="28"/>
          <w:highlight w:val="none"/>
          <w:lang w:val="en-US" w:eastAsia="zh-CN"/>
        </w:rPr>
        <w:t>开头的内容为准。）</w:t>
      </w:r>
    </w:p>
    <w:p w14:paraId="24FA661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40" w:name="_Toc2019"/>
      <w:bookmarkStart w:id="41" w:name="_Toc830"/>
      <w:bookmarkStart w:id="42" w:name="_Toc17262"/>
      <w:bookmarkStart w:id="43" w:name="_Toc11538"/>
      <w:bookmarkStart w:id="44" w:name="_Toc20142"/>
      <w:bookmarkStart w:id="45" w:name="_Toc26009"/>
      <w:bookmarkStart w:id="46" w:name="_Toc5311"/>
      <w:bookmarkStart w:id="47" w:name="_Toc30517"/>
      <w:r>
        <w:rPr>
          <w:rFonts w:hint="eastAsia" w:ascii="仿宋" w:hAnsi="仿宋" w:eastAsia="仿宋" w:cs="仿宋"/>
          <w:b/>
          <w:bCs/>
          <w:color w:val="auto"/>
          <w:sz w:val="28"/>
          <w:szCs w:val="28"/>
          <w:highlight w:val="none"/>
          <w:lang w:val="en-US" w:eastAsia="zh-CN"/>
        </w:rPr>
        <w:t>第一章、产品内容及合同价款</w:t>
      </w:r>
      <w:bookmarkEnd w:id="40"/>
      <w:bookmarkEnd w:id="41"/>
      <w:bookmarkEnd w:id="42"/>
      <w:bookmarkEnd w:id="43"/>
      <w:bookmarkEnd w:id="44"/>
      <w:r>
        <w:rPr>
          <w:rFonts w:hint="eastAsia" w:ascii="仿宋" w:hAnsi="仿宋" w:eastAsia="仿宋" w:cs="仿宋"/>
          <w:b/>
          <w:bCs/>
          <w:color w:val="auto"/>
          <w:sz w:val="28"/>
          <w:szCs w:val="28"/>
          <w:highlight w:val="none"/>
          <w:lang w:val="en-US" w:eastAsia="zh-CN"/>
        </w:rPr>
        <w:tab/>
      </w:r>
      <w:bookmarkEnd w:id="45"/>
      <w:bookmarkEnd w:id="46"/>
      <w:bookmarkEnd w:id="47"/>
    </w:p>
    <w:p w14:paraId="31F5AC3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1.1本合同为</w:t>
      </w:r>
      <w:r>
        <w:rPr>
          <w:rFonts w:hint="eastAsia" w:ascii="仿宋" w:hAnsi="仿宋" w:eastAsia="仿宋" w:cs="仿宋"/>
          <w:b/>
          <w:bCs/>
          <w:color w:val="auto"/>
          <w:sz w:val="28"/>
          <w:szCs w:val="28"/>
          <w:highlight w:val="none"/>
          <w:lang w:val="en-US" w:eastAsia="zh-CN"/>
        </w:rPr>
        <w:t>固定下浮率的</w:t>
      </w:r>
      <w:r>
        <w:rPr>
          <w:rFonts w:hint="eastAsia" w:ascii="仿宋" w:hAnsi="仿宋" w:eastAsia="仿宋" w:cs="仿宋"/>
          <w:color w:val="auto"/>
          <w:sz w:val="28"/>
          <w:szCs w:val="28"/>
          <w:highlight w:val="none"/>
          <w:lang w:val="en-US" w:eastAsia="zh-CN"/>
        </w:rPr>
        <w:t>综合单价合同，合同单价详见附件《报价清单》。</w:t>
      </w:r>
      <w:r>
        <w:rPr>
          <w:rFonts w:hint="eastAsia" w:ascii="仿宋" w:hAnsi="仿宋" w:eastAsia="仿宋" w:cs="仿宋"/>
          <w:color w:val="auto"/>
          <w:sz w:val="28"/>
          <w:szCs w:val="28"/>
          <w:highlight w:val="none"/>
        </w:rPr>
        <w:t>合同单价含材料原价、材料运杂费、运输费、损耗费、采购保管费</w:t>
      </w:r>
      <w:r>
        <w:rPr>
          <w:rFonts w:hint="eastAsia" w:ascii="仿宋" w:hAnsi="仿宋" w:eastAsia="仿宋" w:cs="仿宋"/>
          <w:color w:val="auto"/>
          <w:sz w:val="28"/>
          <w:szCs w:val="28"/>
          <w:highlight w:val="none"/>
          <w:lang w:eastAsia="zh-CN"/>
        </w:rPr>
        <w:t>、免费提供砂浆</w:t>
      </w:r>
      <w:r>
        <w:rPr>
          <w:rFonts w:hint="eastAsia" w:ascii="仿宋" w:hAnsi="仿宋" w:eastAsia="仿宋" w:cs="仿宋"/>
          <w:color w:val="auto"/>
          <w:sz w:val="28"/>
          <w:szCs w:val="28"/>
          <w:highlight w:val="none"/>
          <w:lang w:val="en-US" w:eastAsia="zh-CN"/>
        </w:rPr>
        <w:t>罐</w:t>
      </w:r>
      <w:r>
        <w:rPr>
          <w:rFonts w:hint="eastAsia" w:ascii="仿宋" w:hAnsi="仿宋" w:eastAsia="仿宋" w:cs="仿宋"/>
          <w:color w:val="auto"/>
          <w:sz w:val="28"/>
          <w:szCs w:val="28"/>
          <w:highlight w:val="none"/>
          <w:lang w:eastAsia="zh-CN"/>
        </w:rPr>
        <w:t>费、砂浆罐维修保养费、配件更换费、维修人员</w:t>
      </w:r>
      <w:r>
        <w:rPr>
          <w:rFonts w:hint="eastAsia" w:ascii="仿宋" w:hAnsi="仿宋" w:eastAsia="仿宋" w:cs="仿宋"/>
          <w:color w:val="auto"/>
          <w:sz w:val="28"/>
          <w:szCs w:val="28"/>
          <w:highlight w:val="none"/>
          <w:lang w:val="en-US" w:eastAsia="zh-CN"/>
        </w:rPr>
        <w:t>交通费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食宿</w:t>
      </w:r>
      <w:r>
        <w:rPr>
          <w:rFonts w:hint="eastAsia" w:ascii="仿宋" w:hAnsi="仿宋" w:eastAsia="仿宋" w:cs="仿宋"/>
          <w:color w:val="auto"/>
          <w:sz w:val="28"/>
          <w:szCs w:val="28"/>
          <w:highlight w:val="none"/>
          <w:lang w:eastAsia="zh-CN"/>
        </w:rPr>
        <w:t>费、人工费、提供技术服务及现场技术指导费、选材和运输损耗费、辅材费、过江过桥过路费、下力费、上力费</w:t>
      </w:r>
      <w:r>
        <w:rPr>
          <w:rFonts w:hint="eastAsia" w:ascii="仿宋" w:hAnsi="仿宋" w:eastAsia="仿宋" w:cs="仿宋"/>
          <w:color w:val="auto"/>
          <w:sz w:val="28"/>
          <w:szCs w:val="28"/>
          <w:highlight w:val="none"/>
        </w:rPr>
        <w:t>等各项费用，</w:t>
      </w:r>
      <w:r>
        <w:rPr>
          <w:rFonts w:hint="eastAsia" w:ascii="仿宋" w:hAnsi="仿宋" w:eastAsia="仿宋" w:cs="仿宋"/>
          <w:color w:val="auto"/>
          <w:sz w:val="28"/>
          <w:szCs w:val="28"/>
          <w:highlight w:val="none"/>
          <w:lang w:val="en-US" w:eastAsia="zh-CN"/>
        </w:rPr>
        <w:t>包含</w:t>
      </w:r>
      <w:r>
        <w:rPr>
          <w:rFonts w:hint="eastAsia" w:ascii="仿宋" w:hAnsi="仿宋" w:eastAsia="仿宋" w:cs="仿宋"/>
          <w:color w:val="auto"/>
          <w:sz w:val="28"/>
          <w:szCs w:val="28"/>
          <w:highlight w:val="none"/>
        </w:rPr>
        <w:t>因疫情常态化防控发生的窝工费用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隔离费用、医疗费用、差旅费用、赔偿费用等费用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包含</w:t>
      </w:r>
      <w:r>
        <w:rPr>
          <w:rFonts w:hint="eastAsia" w:ascii="仿宋" w:hAnsi="仿宋" w:eastAsia="仿宋" w:cs="仿宋"/>
          <w:color w:val="auto"/>
          <w:sz w:val="28"/>
          <w:szCs w:val="28"/>
          <w:highlight w:val="none"/>
        </w:rPr>
        <w:t>因</w:t>
      </w:r>
      <w:r>
        <w:rPr>
          <w:rFonts w:hint="eastAsia" w:ascii="仿宋" w:hAnsi="仿宋" w:eastAsia="仿宋" w:cs="仿宋"/>
          <w:color w:val="auto"/>
          <w:sz w:val="28"/>
          <w:szCs w:val="28"/>
          <w:highlight w:val="none"/>
          <w:lang w:val="en-US" w:eastAsia="zh-CN"/>
        </w:rPr>
        <w:t>乙</w:t>
      </w:r>
      <w:r>
        <w:rPr>
          <w:rFonts w:hint="eastAsia" w:ascii="仿宋" w:hAnsi="仿宋" w:eastAsia="仿宋" w:cs="仿宋"/>
          <w:color w:val="auto"/>
          <w:sz w:val="28"/>
          <w:szCs w:val="28"/>
          <w:highlight w:val="none"/>
        </w:rPr>
        <w:t>方原因造成的抢工等一切费</w:t>
      </w:r>
      <w:r>
        <w:rPr>
          <w:rFonts w:hint="eastAsia" w:ascii="仿宋" w:hAnsi="仿宋" w:eastAsia="仿宋" w:cs="仿宋"/>
          <w:color w:val="auto"/>
          <w:sz w:val="28"/>
          <w:szCs w:val="28"/>
          <w:highlight w:val="none"/>
          <w:lang w:val="en-US" w:eastAsia="zh-CN"/>
        </w:rPr>
        <w:t>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也包含提供检验检测所需材料（数量按当地送检取样要求)</w:t>
      </w:r>
      <w:r>
        <w:rPr>
          <w:rFonts w:hint="eastAsia" w:ascii="仿宋" w:hAnsi="仿宋" w:eastAsia="仿宋" w:cs="仿宋"/>
          <w:color w:val="auto"/>
          <w:sz w:val="28"/>
          <w:szCs w:val="28"/>
          <w:highlight w:val="none"/>
          <w:lang w:val="en-US" w:eastAsia="zh-CN"/>
        </w:rPr>
        <w:t>及配套服务并通过验收费用</w:t>
      </w:r>
      <w:r>
        <w:rPr>
          <w:rFonts w:hint="eastAsia" w:ascii="仿宋" w:hAnsi="仿宋" w:eastAsia="仿宋" w:cs="仿宋"/>
          <w:color w:val="auto"/>
          <w:sz w:val="28"/>
          <w:szCs w:val="28"/>
          <w:highlight w:val="none"/>
        </w:rPr>
        <w:t>、检验检测费(</w:t>
      </w:r>
      <w:r>
        <w:rPr>
          <w:rFonts w:hint="eastAsia" w:ascii="仿宋" w:hAnsi="仿宋" w:eastAsia="仿宋" w:cs="仿宋"/>
          <w:color w:val="auto"/>
          <w:sz w:val="28"/>
          <w:szCs w:val="28"/>
          <w:highlight w:val="none"/>
          <w:lang w:val="en-US" w:eastAsia="zh-CN"/>
        </w:rPr>
        <w:t>产品</w:t>
      </w:r>
      <w:r>
        <w:rPr>
          <w:rFonts w:hint="eastAsia" w:ascii="仿宋" w:hAnsi="仿宋" w:eastAsia="仿宋" w:cs="仿宋"/>
          <w:color w:val="auto"/>
          <w:sz w:val="28"/>
          <w:szCs w:val="28"/>
          <w:highlight w:val="none"/>
        </w:rPr>
        <w:t>移交甲方前的所有检验检测费用，检验检测结果须符合</w:t>
      </w:r>
      <w:r>
        <w:rPr>
          <w:rFonts w:hint="eastAsia" w:ascii="仿宋" w:hAnsi="仿宋" w:eastAsia="仿宋" w:cs="仿宋"/>
          <w:color w:val="auto"/>
          <w:sz w:val="28"/>
          <w:szCs w:val="28"/>
          <w:highlight w:val="none"/>
          <w:lang w:val="en-US" w:eastAsia="zh-CN"/>
        </w:rPr>
        <w:t>本项目</w:t>
      </w:r>
      <w:r>
        <w:rPr>
          <w:rFonts w:hint="eastAsia" w:ascii="仿宋" w:hAnsi="仿宋" w:eastAsia="仿宋" w:cs="仿宋"/>
          <w:color w:val="auto"/>
          <w:sz w:val="28"/>
          <w:szCs w:val="28"/>
          <w:highlight w:val="none"/>
        </w:rPr>
        <w:t>所在地政府主管部门要求)、装卸费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lang w:val="en-US" w:eastAsia="zh-CN"/>
        </w:rPr>
        <w:t>产品由乙方负责装车，卸车由：</w:t>
      </w:r>
      <w:r>
        <w:rPr>
          <w:rFonts w:hint="eastAsia" w:ascii="仿宋" w:hAnsi="仿宋" w:eastAsia="仿宋" w:cs="仿宋"/>
          <w:color w:val="auto"/>
          <w:sz w:val="28"/>
          <w:szCs w:val="28"/>
          <w:highlight w:val="none"/>
          <w:vertAlign w:val="baseline"/>
          <w:lang w:val="en-US" w:eastAsia="zh-CN"/>
        </w:rPr>
        <w:sym w:font="Wingdings 2" w:char="0052"/>
      </w:r>
      <w:r>
        <w:rPr>
          <w:rFonts w:hint="eastAsia" w:ascii="仿宋" w:hAnsi="仿宋" w:eastAsia="仿宋" w:cs="仿宋"/>
          <w:color w:val="auto"/>
          <w:sz w:val="28"/>
          <w:szCs w:val="28"/>
          <w:highlight w:val="none"/>
          <w:vertAlign w:val="baseline"/>
          <w:lang w:val="en-US" w:eastAsia="zh-CN"/>
        </w:rPr>
        <w:t>乙方负责/</w:t>
      </w:r>
      <w:r>
        <w:rPr>
          <w:rFonts w:hint="eastAsia" w:ascii="仿宋" w:hAnsi="仿宋" w:eastAsia="仿宋" w:cs="仿宋"/>
          <w:color w:val="auto"/>
          <w:sz w:val="28"/>
          <w:szCs w:val="28"/>
          <w:highlight w:val="none"/>
          <w:vertAlign w:val="baseline"/>
          <w:lang w:val="en-US" w:eastAsia="zh-CN"/>
        </w:rPr>
        <w:sym w:font="Wingdings 2" w:char="00A3"/>
      </w:r>
      <w:r>
        <w:rPr>
          <w:rFonts w:hint="eastAsia" w:ascii="仿宋" w:hAnsi="仿宋" w:eastAsia="仿宋" w:cs="仿宋"/>
          <w:color w:val="auto"/>
          <w:sz w:val="28"/>
          <w:szCs w:val="28"/>
          <w:highlight w:val="none"/>
          <w:vertAlign w:val="baseline"/>
          <w:lang w:val="en-US" w:eastAsia="zh-CN"/>
        </w:rPr>
        <w:t>甲方负责</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风险费、保险费、利润、管理费</w:t>
      </w:r>
      <w:r>
        <w:rPr>
          <w:rFonts w:hint="eastAsia" w:ascii="仿宋" w:hAnsi="仿宋" w:eastAsia="仿宋" w:cs="仿宋"/>
          <w:color w:val="auto"/>
          <w:sz w:val="28"/>
          <w:szCs w:val="28"/>
          <w:highlight w:val="none"/>
          <w:lang w:eastAsia="zh-CN"/>
        </w:rPr>
        <w:t>、财务费用、</w:t>
      </w:r>
      <w:r>
        <w:rPr>
          <w:rFonts w:hint="eastAsia" w:ascii="仿宋" w:hAnsi="仿宋" w:eastAsia="仿宋" w:cs="仿宋"/>
          <w:color w:val="auto"/>
          <w:sz w:val="28"/>
          <w:szCs w:val="28"/>
          <w:highlight w:val="none"/>
          <w:lang w:val="en-US" w:eastAsia="zh-CN"/>
        </w:rPr>
        <w:t>税金</w:t>
      </w:r>
      <w:r>
        <w:rPr>
          <w:rFonts w:hint="eastAsia" w:ascii="仿宋" w:hAnsi="仿宋" w:eastAsia="仿宋" w:cs="仿宋"/>
          <w:color w:val="auto"/>
          <w:sz w:val="28"/>
          <w:szCs w:val="28"/>
          <w:highlight w:val="none"/>
        </w:rPr>
        <w:t>等承担合同义务、责任、风险所涉及的全部费用。</w:t>
      </w:r>
      <w:r>
        <w:rPr>
          <w:rFonts w:hint="eastAsia" w:ascii="仿宋" w:hAnsi="仿宋" w:eastAsia="仿宋" w:cs="仿宋"/>
          <w:color w:val="auto"/>
          <w:sz w:val="28"/>
          <w:szCs w:val="28"/>
          <w:highlight w:val="none"/>
          <w:lang w:val="en-US" w:eastAsia="zh-CN"/>
        </w:rPr>
        <w:t>乙方</w:t>
      </w:r>
      <w:r>
        <w:rPr>
          <w:rFonts w:hint="eastAsia" w:ascii="仿宋" w:hAnsi="仿宋" w:eastAsia="仿宋" w:cs="仿宋"/>
          <w:color w:val="auto"/>
          <w:sz w:val="28"/>
          <w:szCs w:val="28"/>
          <w:highlight w:val="none"/>
        </w:rPr>
        <w:t>开具税率</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的增值税专用</w:t>
      </w:r>
      <w:r>
        <w:rPr>
          <w:rFonts w:hint="eastAsia" w:ascii="仿宋" w:hAnsi="仿宋" w:eastAsia="仿宋" w:cs="仿宋"/>
          <w:color w:val="auto"/>
          <w:sz w:val="28"/>
          <w:szCs w:val="28"/>
          <w:highlight w:val="none"/>
          <w:lang w:val="en-US" w:eastAsia="zh-CN"/>
        </w:rPr>
        <w:t>发票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税率按国家政策执行，</w:t>
      </w:r>
      <w:r>
        <w:rPr>
          <w:rFonts w:hint="eastAsia" w:ascii="仿宋" w:hAnsi="仿宋" w:eastAsia="仿宋" w:cs="仿宋"/>
          <w:color w:val="auto"/>
          <w:sz w:val="28"/>
          <w:szCs w:val="28"/>
          <w:highlight w:val="none"/>
          <w:lang w:eastAsia="zh-CN"/>
        </w:rPr>
        <w:t>如</w:t>
      </w:r>
      <w:r>
        <w:rPr>
          <w:rFonts w:hint="eastAsia" w:ascii="仿宋" w:hAnsi="仿宋" w:eastAsia="仿宋" w:cs="仿宋"/>
          <w:color w:val="auto"/>
          <w:sz w:val="28"/>
          <w:szCs w:val="28"/>
          <w:highlight w:val="none"/>
          <w:lang w:val="en-US" w:eastAsia="zh-CN"/>
        </w:rPr>
        <w:t>税率</w:t>
      </w:r>
      <w:r>
        <w:rPr>
          <w:rFonts w:hint="eastAsia" w:ascii="仿宋" w:hAnsi="仿宋" w:eastAsia="仿宋" w:cs="仿宋"/>
          <w:color w:val="auto"/>
          <w:sz w:val="28"/>
          <w:szCs w:val="28"/>
          <w:highlight w:val="none"/>
          <w:lang w:eastAsia="zh-CN"/>
        </w:rPr>
        <w:t>调整，</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单价随之调整</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除合同另有约定外</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lang w:eastAsia="zh-CN"/>
        </w:rPr>
        <w:t>单价</w:t>
      </w:r>
      <w:r>
        <w:rPr>
          <w:rFonts w:hint="eastAsia" w:ascii="仿宋" w:hAnsi="仿宋" w:eastAsia="仿宋" w:cs="仿宋"/>
          <w:color w:val="auto"/>
          <w:sz w:val="28"/>
          <w:szCs w:val="28"/>
          <w:highlight w:val="none"/>
        </w:rPr>
        <w:t>不</w:t>
      </w:r>
      <w:r>
        <w:rPr>
          <w:rFonts w:hint="eastAsia" w:ascii="仿宋" w:hAnsi="仿宋" w:eastAsia="仿宋" w:cs="仿宋"/>
          <w:color w:val="auto"/>
          <w:sz w:val="28"/>
          <w:szCs w:val="28"/>
          <w:highlight w:val="none"/>
          <w:lang w:eastAsia="zh-CN"/>
        </w:rPr>
        <w:t>作</w:t>
      </w:r>
      <w:r>
        <w:rPr>
          <w:rFonts w:hint="eastAsia" w:ascii="仿宋" w:hAnsi="仿宋" w:eastAsia="仿宋" w:cs="仿宋"/>
          <w:color w:val="auto"/>
          <w:sz w:val="28"/>
          <w:szCs w:val="28"/>
          <w:highlight w:val="none"/>
        </w:rPr>
        <w:t>任何调整</w:t>
      </w:r>
      <w:r>
        <w:rPr>
          <w:rFonts w:hint="eastAsia" w:ascii="仿宋" w:hAnsi="仿宋" w:eastAsia="仿宋" w:cs="仿宋"/>
          <w:color w:val="auto"/>
          <w:sz w:val="28"/>
          <w:szCs w:val="28"/>
          <w:highlight w:val="none"/>
          <w:lang w:eastAsia="zh-CN"/>
        </w:rPr>
        <w:t>。</w:t>
      </w:r>
    </w:p>
    <w:p w14:paraId="37527046">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1.2本合同暂定总价为人民币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元，其中不含税暂定总价</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元，增值税税金为人民币</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元。合同暂定总价仅供参考，不作结算用途。</w:t>
      </w:r>
      <w:r>
        <w:rPr>
          <w:rFonts w:hint="eastAsia" w:ascii="仿宋" w:hAnsi="仿宋" w:eastAsia="仿宋" w:cs="仿宋"/>
          <w:color w:val="auto"/>
          <w:sz w:val="28"/>
          <w:szCs w:val="28"/>
          <w:highlight w:val="none"/>
        </w:rPr>
        <w:t>乙方的送货数量由甲方决定，乙方无条件配合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产品购销数量按甲方实际</w:t>
      </w:r>
      <w:r>
        <w:rPr>
          <w:rFonts w:hint="eastAsia" w:ascii="仿宋" w:hAnsi="仿宋" w:eastAsia="仿宋" w:cs="仿宋"/>
          <w:color w:val="auto"/>
          <w:sz w:val="28"/>
          <w:szCs w:val="28"/>
          <w:highlight w:val="none"/>
          <w:lang w:val="en-US" w:eastAsia="zh-CN"/>
        </w:rPr>
        <w:t>接收并</w:t>
      </w:r>
      <w:r>
        <w:rPr>
          <w:rFonts w:hint="eastAsia" w:ascii="仿宋" w:hAnsi="仿宋" w:eastAsia="仿宋" w:cs="仿宋"/>
          <w:color w:val="auto"/>
          <w:sz w:val="28"/>
          <w:szCs w:val="28"/>
          <w:highlight w:val="none"/>
        </w:rPr>
        <w:t>验收合格的数量结算</w:t>
      </w:r>
      <w:r>
        <w:rPr>
          <w:rFonts w:hint="eastAsia" w:ascii="仿宋" w:hAnsi="仿宋" w:eastAsia="仿宋" w:cs="仿宋"/>
          <w:color w:val="auto"/>
          <w:sz w:val="28"/>
          <w:szCs w:val="28"/>
          <w:highlight w:val="none"/>
          <w:lang w:eastAsia="zh-CN"/>
        </w:rPr>
        <w:t>。</w:t>
      </w:r>
    </w:p>
    <w:p w14:paraId="23D756C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乙方根据甲方需要提供现场临时指导和培训，费用已包含在合同单价中，不另计费。</w:t>
      </w:r>
    </w:p>
    <w:p w14:paraId="32C0C76B">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合同单价有效期为：本合同生效之日起至本项目所需产品全部供应完毕为止。</w:t>
      </w:r>
      <w:r>
        <w:rPr>
          <w:rFonts w:hint="eastAsia" w:ascii="仿宋" w:hAnsi="仿宋" w:eastAsia="仿宋" w:cs="仿宋"/>
          <w:color w:val="auto"/>
          <w:sz w:val="28"/>
          <w:szCs w:val="28"/>
          <w:highlight w:val="none"/>
          <w:lang w:val="en-US" w:eastAsia="zh-CN"/>
        </w:rPr>
        <w:t>对附件《报价清单》所列产品，按该清单及本合同所列办法确定结算单价。</w:t>
      </w:r>
    </w:p>
    <w:p w14:paraId="51D59B4B">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lang w:eastAsia="zh-CN"/>
        </w:rPr>
        <w:t>合同单价已包含各种保险费用，乙方不得另计保险而向甲方索要费用。</w:t>
      </w:r>
    </w:p>
    <w:p w14:paraId="5CEE527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48" w:name="_Toc3935"/>
      <w:r>
        <w:rPr>
          <w:rFonts w:hint="eastAsia" w:ascii="仿宋" w:hAnsi="仿宋" w:eastAsia="仿宋" w:cs="仿宋"/>
          <w:b/>
          <w:bCs/>
          <w:color w:val="auto"/>
          <w:sz w:val="28"/>
          <w:szCs w:val="28"/>
          <w:highlight w:val="none"/>
          <w:lang w:val="en-US" w:eastAsia="zh-CN"/>
        </w:rPr>
        <w:t>第二章、计量方法</w:t>
      </w:r>
      <w:bookmarkEnd w:id="48"/>
    </w:p>
    <w:p w14:paraId="5FB7FE13">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2.1湿拌砂浆计量方法</w:t>
      </w:r>
    </w:p>
    <w:p w14:paraId="60DFE06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2.1.1计量单位：立方米（m³）；取值：四舍五入小数点后取两位。运输方式：车运。产品须在本项目现场过磅称重验收。</w:t>
      </w:r>
    </w:p>
    <w:p w14:paraId="4B5DF43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2.1.2数量计算公式：净重÷容重比=数量（例：某车规格WMM5湿拌砂浆过磅净重17000Kg，则该车产品结算数量：17000Kg÷1900Kg/m³=8.95m³）。</w:t>
      </w:r>
    </w:p>
    <w:p w14:paraId="32EAA6C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2.1.3容重比标准：按表一执行。</w:t>
      </w:r>
    </w:p>
    <w:p w14:paraId="3845E71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jc w:val="center"/>
        <w:textAlignment w:val="auto"/>
        <w:rPr>
          <w:rFonts w:hint="default" w:ascii="仿宋" w:hAnsi="仿宋" w:eastAsia="仿宋" w:cs="仿宋"/>
          <w:color w:val="auto"/>
          <w:highlight w:val="none"/>
          <w:lang w:val="en-US"/>
        </w:rPr>
      </w:pPr>
      <w:r>
        <w:rPr>
          <w:rFonts w:hint="eastAsia" w:ascii="仿宋" w:hAnsi="仿宋" w:eastAsia="仿宋" w:cs="仿宋"/>
          <w:color w:val="auto"/>
          <w:sz w:val="28"/>
          <w:szCs w:val="28"/>
          <w:highlight w:val="none"/>
          <w:lang w:val="en-US" w:eastAsia="zh-CN"/>
        </w:rPr>
        <w:t>表一</w:t>
      </w:r>
    </w:p>
    <w:tbl>
      <w:tblPr>
        <w:tblStyle w:val="10"/>
        <w:tblW w:w="31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0"/>
        <w:gridCol w:w="3701"/>
      </w:tblGrid>
      <w:tr w14:paraId="64A9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4" w:type="pct"/>
            <w:noWrap w:val="0"/>
            <w:vAlign w:val="center"/>
          </w:tcPr>
          <w:p w14:paraId="49D8E6AC">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强度等级</w:t>
            </w:r>
          </w:p>
        </w:tc>
        <w:tc>
          <w:tcPr>
            <w:tcW w:w="2955" w:type="pct"/>
            <w:noWrap w:val="0"/>
            <w:vAlign w:val="center"/>
          </w:tcPr>
          <w:p w14:paraId="7875528C">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容重比（Kg/m³）</w:t>
            </w:r>
          </w:p>
        </w:tc>
      </w:tr>
      <w:tr w14:paraId="0F9A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44" w:type="pct"/>
            <w:shd w:val="clear" w:color="auto" w:fill="auto"/>
            <w:noWrap w:val="0"/>
            <w:vAlign w:val="center"/>
          </w:tcPr>
          <w:p w14:paraId="3DD2493F">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湿拌砂浆</w:t>
            </w:r>
          </w:p>
        </w:tc>
        <w:tc>
          <w:tcPr>
            <w:tcW w:w="2955" w:type="pct"/>
            <w:shd w:val="clear" w:color="auto" w:fill="auto"/>
            <w:noWrap w:val="0"/>
            <w:vAlign w:val="center"/>
          </w:tcPr>
          <w:p w14:paraId="715B2C05">
            <w:pPr>
              <w:keepNext w:val="0"/>
              <w:keepLines w:val="0"/>
              <w:pageBreakBefore w:val="0"/>
              <w:widowControl w:val="0"/>
              <w:kinsoku/>
              <w:wordWrap/>
              <w:overflowPunct/>
              <w:topLinePunct w:val="0"/>
              <w:autoSpaceDE/>
              <w:autoSpaceDN/>
              <w:bidi w:val="0"/>
              <w:adjustRightInd/>
              <w:snapToGrid w:val="0"/>
              <w:spacing w:line="520" w:lineRule="exact"/>
              <w:ind w:left="0" w:leftChars="0" w:firstLine="0" w:firstLineChars="0"/>
              <w:jc w:val="center"/>
              <w:textAlignment w:val="auto"/>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1900</w:t>
            </w:r>
          </w:p>
        </w:tc>
      </w:tr>
    </w:tbl>
    <w:p w14:paraId="6D5B155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2.1.4甲方将在本项目现场以1立方米/次随机抽样三次进行过磅，其平均值作为当批次砂浆的容重校核值，并与本合同第2.2条和第2.3条对比，以大值作为容重计量依据。</w:t>
      </w:r>
    </w:p>
    <w:p w14:paraId="1D2BAED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2.1.5如任意一车产品数量差额在（国标允许范围）±2%内，该车产品以乙方送货单所示数量结算；反之，则以“本项目过磅净重数量”与“乙方送货单所示数量”两者比较数值低的为结算数量。</w:t>
      </w:r>
    </w:p>
    <w:p w14:paraId="7A1C8C1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2.1.6数量差额计算公式：（本项目过磅净重数量-乙方送货单所示数量）÷乙方送货单所示数量</w:t>
      </w:r>
      <w:r>
        <w:rPr>
          <w:rFonts w:hint="eastAsia" w:ascii="宋体" w:hAnsi="宋体" w:eastAsia="宋体" w:cs="宋体"/>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100%=数量差额。</w:t>
      </w:r>
    </w:p>
    <w:p w14:paraId="5D36BA06">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sz w:val="28"/>
          <w:szCs w:val="28"/>
          <w:highlight w:val="none"/>
          <w:u w:val="none"/>
          <w:lang w:val="en-US" w:eastAsia="zh-CN"/>
        </w:rPr>
      </w:pPr>
      <w:bookmarkStart w:id="49" w:name="_Toc9886"/>
      <w:r>
        <w:rPr>
          <w:rFonts w:hint="eastAsia" w:ascii="仿宋" w:hAnsi="仿宋" w:eastAsia="仿宋" w:cs="仿宋"/>
          <w:color w:val="auto"/>
          <w:sz w:val="28"/>
          <w:szCs w:val="28"/>
          <w:highlight w:val="none"/>
          <w:u w:val="none"/>
          <w:lang w:val="en-US" w:eastAsia="zh-CN"/>
        </w:rPr>
        <w:t>2.1.7任意一批产品（用于同一浇筑施工段的产品，以甲方当次订购的数量及部位定义为同一批次）如有三车以上（含三车）数量差额超出（详见前述约定）±2%的，属乙方违约，按（1+本批次数量差额最低三车的平均值）</w:t>
      </w:r>
      <w:r>
        <w:rPr>
          <w:rFonts w:hint="eastAsia" w:ascii="宋体" w:hAnsi="宋体" w:eastAsia="宋体" w:cs="宋体"/>
          <w:color w:val="auto"/>
          <w:sz w:val="28"/>
          <w:szCs w:val="28"/>
          <w:highlight w:val="none"/>
          <w:u w:val="none"/>
          <w:lang w:val="en-US" w:eastAsia="zh-CN"/>
        </w:rPr>
        <w:t>×</w:t>
      </w:r>
      <w:r>
        <w:rPr>
          <w:rFonts w:hint="eastAsia" w:ascii="仿宋" w:hAnsi="仿宋" w:eastAsia="仿宋" w:cs="仿宋"/>
          <w:color w:val="auto"/>
          <w:sz w:val="28"/>
          <w:szCs w:val="28"/>
          <w:highlight w:val="none"/>
          <w:u w:val="none"/>
          <w:lang w:val="en-US" w:eastAsia="zh-CN"/>
        </w:rPr>
        <w:t>本批次数量（按本合同第2.4条约定计量）的比例结算，乙方就该批次的违约承担违约金1万元</w:t>
      </w:r>
      <w:r>
        <w:rPr>
          <w:rFonts w:hint="eastAsia" w:ascii="宋体" w:hAnsi="宋体" w:eastAsia="宋体" w:cs="宋体"/>
          <w:color w:val="auto"/>
          <w:sz w:val="28"/>
          <w:szCs w:val="28"/>
          <w:highlight w:val="none"/>
          <w:u w:val="none"/>
          <w:lang w:val="en-US" w:eastAsia="zh-CN"/>
        </w:rPr>
        <w:t>～</w:t>
      </w:r>
      <w:r>
        <w:rPr>
          <w:rFonts w:hint="eastAsia" w:ascii="仿宋" w:hAnsi="仿宋" w:eastAsia="仿宋" w:cs="仿宋"/>
          <w:color w:val="auto"/>
          <w:sz w:val="28"/>
          <w:szCs w:val="28"/>
          <w:highlight w:val="none"/>
          <w:u w:val="none"/>
          <w:lang w:val="en-US" w:eastAsia="zh-CN"/>
        </w:rPr>
        <w:t>10万元/批（视实际相差数量，违约金额由甲方确定），且甲方可以从乙方任意一批货款中扣款。</w:t>
      </w:r>
      <w:bookmarkEnd w:id="49"/>
    </w:p>
    <w:p w14:paraId="08E2F2C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2.2干混砂浆计量方法</w:t>
      </w:r>
    </w:p>
    <w:p w14:paraId="7532465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2.2.1乙方供应的产品须在甲方自建的本项目地磅过磅（须甲乙双方人员共同见证），由甲方出具过磅单。若在本项目地磅的过磅重量与乙方送货单所列重量之差在±0.3%以内（以乙方送货单所列重量为基数，下同），以乙方送货单所列重量结算；若在本项目地磅的过磅重量与乙方送货单所列重量之差超出或等于±0.3%，双方共同选择第三方公磅进行复磅（公磅选择标准：符合技术监督局检验合格且距交货地点距离较近的公磅），公磅所列重量与乙方送货单所列重量之差在±0.3%以内的，按乙方送货单所列重量结算，公磅费由甲方承担；若公磅所列重量与乙方送货单所列重量之差超出或等于±0.3%，按公磅所列重量结算,公磅费由乙方承担。</w:t>
      </w:r>
    </w:p>
    <w:p w14:paraId="37292C46">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2.2.2如甲方未自建本项目地磅，则到甲乙双方认可的第三方公磅进行过磅，并以该磅过磅单的所列重量结算。</w:t>
      </w:r>
    </w:p>
    <w:p w14:paraId="46E1A1D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2.2.3产品在本项目地磅过磅产生的过磅单及第三方公磅产生的过磅单，乙方送货人员须签名确认，否则甲方不予支付相关费用。</w:t>
      </w:r>
    </w:p>
    <w:p w14:paraId="579EE843">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50" w:name="_Toc25960"/>
      <w:bookmarkStart w:id="51" w:name="_Toc8210"/>
      <w:bookmarkStart w:id="52" w:name="_Toc27359"/>
      <w:bookmarkStart w:id="53" w:name="_Toc5237"/>
      <w:bookmarkStart w:id="54" w:name="_Toc13656"/>
      <w:r>
        <w:rPr>
          <w:rFonts w:hint="eastAsia" w:ascii="仿宋" w:hAnsi="仿宋" w:eastAsia="仿宋" w:cs="仿宋"/>
          <w:b/>
          <w:bCs/>
          <w:color w:val="auto"/>
          <w:sz w:val="28"/>
          <w:szCs w:val="28"/>
          <w:highlight w:val="none"/>
          <w:lang w:val="en-US" w:eastAsia="zh-CN"/>
        </w:rPr>
        <w:t>第三章、付款方式</w:t>
      </w:r>
      <w:bookmarkEnd w:id="50"/>
      <w:bookmarkEnd w:id="51"/>
      <w:bookmarkEnd w:id="52"/>
      <w:bookmarkEnd w:id="53"/>
      <w:bookmarkEnd w:id="54"/>
    </w:p>
    <w:p w14:paraId="63887F3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□办法一</w:t>
      </w:r>
    </w:p>
    <w:p w14:paraId="1D3965BD">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3.1每月货款在该月起的第五个月底前付清（即五月份付一月份的货款，六月份付二月份的货款，依此类推）。乙方按合同约定的时间交齐当月对账资料且与甲方完成对账的，甲方则按合同约定时限完成付款，若乙方逾期交齐对账资料或完成对账，甲方付款时间则按完成对账月对应的付款节点支付。甲乙双方须每月对账并确认对账结果，对账结果须经甲方项目成本管理员签认。</w:t>
      </w:r>
    </w:p>
    <w:p w14:paraId="39828AD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对账日期：每月3日至每月8日，乙方在每月3日前一次性提交上月供货的对账资料至甲方项目部，双方在每月8日前（遇节假日则顺延）完成对账，如乙方逾期交齐对账资料，则对账日期顺延至次月的3日至8日，次月乙方对账的同时须提供“同意延迟付款声明函”（格式详见附件）给，依此类推。(例：乙方在6月3日前交齐5月份货款的对账资料给甲方对账人员并在6月8日完成对账的，则甲方在9月30日前支付5月份货款；若乙方6月9日交齐5月份货款的对账资料给甲方，则对账期顺延至7月3日至7月8日，付款顺延至10月31日底前支付。)</w:t>
      </w:r>
    </w:p>
    <w:p w14:paraId="6C9E4BE3">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w:t>
      </w:r>
      <w:r>
        <w:rPr>
          <w:rFonts w:hint="eastAsia" w:ascii="仿宋" w:hAnsi="仿宋" w:eastAsia="仿宋" w:cs="仿宋"/>
          <w:b/>
          <w:bCs/>
          <w:color w:val="auto"/>
          <w:sz w:val="28"/>
          <w:szCs w:val="28"/>
          <w:highlight w:val="none"/>
          <w:u w:val="none"/>
          <w:lang w:val="en-US" w:eastAsia="zh-CN"/>
        </w:rPr>
        <w:t>办法二</w:t>
      </w:r>
    </w:p>
    <w:p w14:paraId="19762069">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u w:val="none"/>
          <w:lang w:val="en-US" w:eastAsia="zh-CN"/>
        </w:rPr>
        <w:t>3.1</w:t>
      </w:r>
      <w:r>
        <w:rPr>
          <w:rFonts w:hint="eastAsia" w:ascii="仿宋" w:hAnsi="仿宋" w:eastAsia="仿宋" w:cs="仿宋"/>
          <w:b w:val="0"/>
          <w:bCs w:val="0"/>
          <w:color w:val="auto"/>
          <w:sz w:val="28"/>
          <w:highlight w:val="none"/>
          <w:u w:val="none"/>
          <w:lang w:val="en-US" w:eastAsia="zh-CN"/>
        </w:rPr>
        <w:t>每月货款下月支付。乙方按合同约定将甲方每月所需产品送齐到交货地点，经甲方形式验收合格并移交甲方，且乙方按合同约定的时间交齐上月货款对账资料并与甲方完成对账后，甲方付清上月货款。乙方逾期交齐对账资料或完成对账的，付款日期顺延至货款完成对账月份的下月底前。甲乙双方须每月对账并确认对账结果，对账结果须经甲方项目成本管理员签认方为有效。</w:t>
      </w:r>
    </w:p>
    <w:p w14:paraId="2825F3DF">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对账日期：乙方在每月25日前一次性交齐上月25日至本月24日供货产品的对账资料至甲方项目部，并在本月28日前（遇节假日则顺延）完成对账，本月31日（如本月无31日，以本月30日为准）前开具齐发票给甲方。如乙方逾期交齐对账资料，则对账日期顺延至次月的25日至28日，次月乙方对账还须提供“延迟付款声明函”（格式详见附件）给甲方。依此类推。（例：乙方在5月25日前交齐4月25日至5月24日货款的对账资料给甲方项目部并在5月28日前完成对账，且在5月31日前甲方收到开票金额与对账金额一致的发票后，则甲方在6月30日前支付4月25日至5月24日货款的100%。若乙方5月26日（或更迟）交齐4月25日至5月24日货款的对账资料给甲方，则4月25日至5月24日货款的对账时间顺延至6月25日至28日，付款时间顺延至7月31日前。依此类推。)</w:t>
      </w:r>
    </w:p>
    <w:p w14:paraId="54EE0C5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u w:val="none"/>
          <w:lang w:val="en-US" w:eastAsia="zh-CN"/>
        </w:rPr>
        <w:t>3.2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7F3D476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3.3乙方对账及请款资料：甲方下料订单(即甲方发出的《物料申购单》,格式详见附件)、乙方对账单原件(结算单)、本合同复印件(含调价函，如有)、材料签收单原件（绿联，格式详见附件）、乙方送货单(发货单)原件、产品收货水印照片、材料款申报确认表原件、付款台账汇总表原件、供应商月度对账单原件(格式详见附件)、结清承诺书原件、发票（双方对账一致后2个日历天内，乙方交齐给甲方项目部对账人员）。</w:t>
      </w:r>
    </w:p>
    <w:p w14:paraId="2C5E12C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3.3.1对账资料具体要求：</w:t>
      </w:r>
    </w:p>
    <w:p w14:paraId="5C2BDDEF">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①乙方对账单（结算单）：该单据须乙方盖章及乙方人员签名和签注日期，经甲方人员（甲方合同执行联系人、甲方材料员）核对无误后签名和签注日期，原则上款项内容处填写的对账日期应与签注的日期一致。</w:t>
      </w:r>
    </w:p>
    <w:p w14:paraId="1F70092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②本合同复印件（含调价函、合同约定的送货当期“信息价”复印件）：合同复印件以双方签章完毕的为准，包括本合同及附属补充协议；调价函及调税率函以适用的为准（须加盖双方公章），过期或者不适用的不附，如不调价/调税，则无需提供。合同约定的送货当期“信息价”复印件须加盖乙方公章。</w:t>
      </w:r>
    </w:p>
    <w:p w14:paraId="33CDC06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③材料签收单（格式详见附件）：须注明产品所用项目、地块、第几期，并如实的正确填写日期、乙方全称、产品名称、品牌、规格、型号、数量及金额等信息，此单据必须有本合同约定的甲方合同执行联系人、甲方产品签收人、乙方送货员、乙方合同授权代表共同亲笔签名确认，否则无效且甲方有权不付款。此单据内容不得随意修改、涂划，若确需修改、涂划，则被修正、涂划的内容旁须有甲方合同执行联系人、甲方材料员共同签名确认，否则无效。关于甲乙双方人员（甲方合同执行联系人、甲方产品签收人、乙方送货员、乙方合同授权代表）的签名确认，甲方如有规定则按相关规定办理。甲方付款的前提条件之一是收齐符合本合同约定的材料签收单原件（即一式三联均由甲方收齐），否则甲方有权不付款。</w:t>
      </w:r>
    </w:p>
    <w:p w14:paraId="1F1B501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④乙方送货单（发货单）：此单据须乙方盖章及甲乙双方人员（甲方合同执行联系人、甲方材料员、乙方送货员、乙方合同授权代表）签字，具体按甲方《</w:t>
      </w:r>
      <w:r>
        <w:rPr>
          <w:rFonts w:hint="eastAsia" w:ascii="仿宋" w:hAnsi="仿宋" w:eastAsia="仿宋" w:cs="仿宋"/>
          <w:b w:val="0"/>
          <w:bCs w:val="0"/>
          <w:color w:val="auto"/>
          <w:sz w:val="28"/>
          <w:szCs w:val="28"/>
          <w:highlight w:val="none"/>
          <w:u w:val="none"/>
          <w:lang w:val="en-US" w:eastAsia="zh-CN"/>
        </w:rPr>
        <w:fldChar w:fldCharType="begin"/>
      </w:r>
      <w:r>
        <w:rPr>
          <w:rFonts w:hint="eastAsia" w:ascii="仿宋" w:hAnsi="仿宋" w:eastAsia="仿宋" w:cs="仿宋"/>
          <w:b w:val="0"/>
          <w:bCs w:val="0"/>
          <w:color w:val="auto"/>
          <w:sz w:val="28"/>
          <w:szCs w:val="28"/>
          <w:highlight w:val="none"/>
          <w:u w:val="none"/>
          <w:lang w:val="en-US" w:eastAsia="zh-CN"/>
        </w:rPr>
        <w:instrText xml:space="preserve"> HYPERLINK "javascript:openFullWindowForXtable('DocDsp.jsp?id=111204&amp;meetingid=0&amp;votingId=0&amp;versionId=123347&amp;imagefileId=138428&amp;from=&amp;userCategory=0&amp;isFromAccessory=true');" </w:instrText>
      </w:r>
      <w:r>
        <w:rPr>
          <w:rFonts w:hint="eastAsia" w:ascii="仿宋" w:hAnsi="仿宋" w:eastAsia="仿宋" w:cs="仿宋"/>
          <w:b w:val="0"/>
          <w:bCs w:val="0"/>
          <w:color w:val="auto"/>
          <w:sz w:val="28"/>
          <w:szCs w:val="28"/>
          <w:highlight w:val="none"/>
          <w:u w:val="none"/>
          <w:lang w:val="en-US" w:eastAsia="zh-CN"/>
        </w:rPr>
        <w:fldChar w:fldCharType="separate"/>
      </w:r>
      <w:r>
        <w:rPr>
          <w:rFonts w:hint="eastAsia" w:ascii="仿宋" w:hAnsi="仿宋" w:eastAsia="仿宋" w:cs="仿宋"/>
          <w:b w:val="0"/>
          <w:bCs w:val="0"/>
          <w:color w:val="auto"/>
          <w:sz w:val="28"/>
          <w:szCs w:val="28"/>
          <w:highlight w:val="none"/>
          <w:u w:val="none"/>
          <w:lang w:val="en-US" w:eastAsia="zh-CN"/>
        </w:rPr>
        <w:t>商品混凝土、砂浆验收管理制度</w:t>
      </w:r>
      <w:r>
        <w:rPr>
          <w:rFonts w:hint="eastAsia" w:ascii="仿宋" w:hAnsi="仿宋" w:eastAsia="仿宋" w:cs="仿宋"/>
          <w:b w:val="0"/>
          <w:bCs w:val="0"/>
          <w:color w:val="auto"/>
          <w:sz w:val="28"/>
          <w:szCs w:val="28"/>
          <w:highlight w:val="none"/>
          <w:u w:val="none"/>
          <w:lang w:val="en-US" w:eastAsia="zh-CN"/>
        </w:rPr>
        <w:fldChar w:fldCharType="end"/>
      </w:r>
      <w:r>
        <w:rPr>
          <w:rFonts w:hint="eastAsia" w:ascii="仿宋" w:hAnsi="仿宋" w:eastAsia="仿宋" w:cs="仿宋"/>
          <w:b w:val="0"/>
          <w:bCs w:val="0"/>
          <w:color w:val="auto"/>
          <w:sz w:val="28"/>
          <w:szCs w:val="28"/>
          <w:highlight w:val="none"/>
          <w:u w:val="none"/>
          <w:lang w:val="en-US" w:eastAsia="zh-CN"/>
        </w:rPr>
        <w:t>》规定的验收组人员执行。</w:t>
      </w:r>
    </w:p>
    <w:p w14:paraId="745CC26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⑤产品收货水印照片：含甲乙双方参加签收人员的留影，产品卸货前后对比照，产品实物规格、品牌等参数照，车辆、车牌信息照，卸货现场工程背景照，所有照片均须有水印备注，水印须有项目地址定位和拍照时间、日期。</w:t>
      </w:r>
    </w:p>
    <w:p w14:paraId="019000F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⑥材料款申报确认表：格式详见附件。</w:t>
      </w:r>
    </w:p>
    <w:p w14:paraId="6981EFA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⑦付款台账汇总表：格式详见附件。</w:t>
      </w:r>
    </w:p>
    <w:p w14:paraId="1FAB0483">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⑧结清承诺书：格式详见附件。</w:t>
      </w:r>
    </w:p>
    <w:p w14:paraId="78D7714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3.4付款形式：优先使用网银、银行承兑汇票（乙方接受银行承兑汇票的百分比为100%并承担贴现费用）等，支票、电汇视情况而定。甲方选择其中任意一种支付形式给乙方合同款，均视为乙方收到该款。</w:t>
      </w:r>
    </w:p>
    <w:p w14:paraId="13E50425">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3.5发票要求：甲乙双方对账完成后2日内，乙方开票并提交至甲方项目部，否则甲方不予付款且不视为违约，乙方开具的发票内容须与合同约定内容一致。乙方每次开票金额必须与当次对账金额一致而非与当次请款金额一致，并按甲方要求分项目、分地块、分楼栋分别开具发票，否则视为乙方逾期提供发票给甲方，属乙方违约，甲方有权不付款。乙方逾期提供合格发票的，在提供合格发票时须同时提供“延迟付款声明函”（格式详见附件），同时甲方按签收合格发票之日起顺延相应日历天付款，不属甲方违约。甲方付款顺延相应日历天数=甲方实际签收合格发票日-甲方约定签收合格发票日。</w:t>
      </w:r>
    </w:p>
    <w:p w14:paraId="72428B66">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如甲方因特殊原因未收发票却已付款，但乙方逾期提供发票的，每逾期1个日历天按合同暂定总价的1%向甲方支付违约金；如乙方经甲方书面催告后、超过5个日历天仍不提供的，乙方另按合同暂定总价的10%向甲方支付违约金。</w:t>
      </w:r>
    </w:p>
    <w:p w14:paraId="0E8448F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3.6乙方收款账户开户名称须与本合同乙方名称、收款发票开具单位名称一致，否则甲方有权不付款且不违约，直到乙方提供甲方认可的发票后才开始计算付款周期。如甲方发现乙方开具假发票，属乙方违约，乙方须书面向甲方承认开具假发票行为并重新开具合法发票，若乙方发生开具假发票行为则视乙方逾期提供发票，按第3.5条逾期提供发票支付违约金给甲方。因乙方提供假发票行为导致的不良后果（包括但不限于行政处罚或使甲方遭受损失等所有费用及损失）由乙方全部承担。</w:t>
      </w:r>
    </w:p>
    <w:p w14:paraId="1E46E53D">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3.7乙方必须按税法规定的四流合一执行合同，即合同流、货物流、发票流、资金流一致，否则视为乙方违约，且由乙方承担所有责任及损失，直至满足四流合一，甲方方才付款。</w:t>
      </w:r>
    </w:p>
    <w:p w14:paraId="2AB06C6F">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3.8乙方每次向甲方请款时，须按甲方要求注明该次请款所含的每个组团、每个地块、每栋楼具体金额，否则甲方有权不付款且不违约。</w:t>
      </w:r>
    </w:p>
    <w:p w14:paraId="233E94A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3.9如甲乙双方对付款金额/结算金额产生争议，甲方有权暂缓付款且不违约，甲方无需向乙方支付违约金或利息，直至双方达成一致意见，方可按甲方相应流程办理付款手续。</w:t>
      </w:r>
    </w:p>
    <w:p w14:paraId="3A07363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3.10甲方支付完任一批次货款或双方完成本项目货款结算或合同款支付完毕后，视为乙方关于除质保金（如有）外的合同款收付事宜的全部权利全部消灭，乙方不得基于合同款收付事宜向甲方提出任何权利主张或追索任何费用。</w:t>
      </w:r>
    </w:p>
    <w:p w14:paraId="4879AC4F">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3.11乙方每次收取合同款时，当期乙方如有未付清给甲方的款项（如：罚款、违约金、代付款、赔偿金、押金等），乙方须一次性付清后，甲方方才支付当期合同款，如乙方未付清所有当期应向甲方支付的款额，则甲方付款周期顺延且属乙方违约，直至乙方付清为止。  </w:t>
      </w:r>
    </w:p>
    <w:p w14:paraId="06E55F9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3.12合同履约保证金及违约责任</w:t>
      </w:r>
    </w:p>
    <w:p w14:paraId="165F728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3.12.1本合同履约保证为人民币</w:t>
      </w:r>
      <w:r>
        <w:rPr>
          <w:rFonts w:hint="default"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single"/>
          <w:lang w:val="en-US" w:eastAsia="zh-CN"/>
        </w:rPr>
        <w:t>/</w:t>
      </w:r>
      <w:r>
        <w:rPr>
          <w:rFonts w:hint="default"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元整（由乙方的投标保证金无息转成），此履约保证金与甲乙双方签订的下述合同共用：</w:t>
      </w:r>
    </w:p>
    <w:tbl>
      <w:tblPr>
        <w:tblStyle w:val="10"/>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8"/>
      </w:tblGrid>
      <w:tr w14:paraId="5522E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8" w:type="dxa"/>
          </w:tcPr>
          <w:p w14:paraId="28ACDA0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outlineLvl w:val="1"/>
              <w:rPr>
                <w:rFonts w:hint="eastAsia" w:ascii="仿宋" w:hAnsi="仿宋" w:eastAsia="仿宋" w:cs="仿宋"/>
                <w:b w:val="0"/>
                <w:bCs w:val="0"/>
                <w:color w:val="auto"/>
                <w:kern w:val="2"/>
                <w:sz w:val="24"/>
                <w:szCs w:val="24"/>
                <w:highlight w:val="none"/>
                <w:u w:val="none"/>
                <w:shd w:val="clear" w:color="auto" w:fill="auto"/>
                <w:vertAlign w:val="baseline"/>
                <w:lang w:val="en-US" w:eastAsia="zh-CN" w:bidi="ar-SA"/>
              </w:rPr>
            </w:pPr>
            <w:r>
              <w:rPr>
                <w:rFonts w:hint="default" w:ascii="仿宋" w:hAnsi="仿宋" w:eastAsia="仿宋" w:cs="仿宋"/>
                <w:color w:val="auto"/>
                <w:sz w:val="24"/>
                <w:szCs w:val="24"/>
                <w:highlight w:val="none"/>
                <w:u w:val="none"/>
                <w:lang w:val="en-US" w:eastAsia="zh-CN"/>
              </w:rPr>
              <w:t>玉林(福绵)节能环保产业园南部工业供水厂建设项目(二期5万吨/天)</w:t>
            </w:r>
            <w:r>
              <w:rPr>
                <w:rFonts w:hint="eastAsia" w:ascii="仿宋" w:hAnsi="仿宋" w:eastAsia="仿宋" w:cs="仿宋"/>
                <w:color w:val="auto"/>
                <w:sz w:val="24"/>
                <w:szCs w:val="24"/>
                <w:highlight w:val="none"/>
                <w:u w:val="none"/>
                <w:lang w:val="en-US" w:eastAsia="zh-CN"/>
              </w:rPr>
              <w:t>预拌砂浆购销合同</w:t>
            </w:r>
          </w:p>
        </w:tc>
      </w:tr>
      <w:tr w14:paraId="3C5D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8" w:type="dxa"/>
          </w:tcPr>
          <w:p w14:paraId="7E404F6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textAlignment w:val="auto"/>
              <w:outlineLvl w:val="1"/>
              <w:rPr>
                <w:rFonts w:hint="eastAsia" w:ascii="仿宋" w:hAnsi="仿宋" w:eastAsia="仿宋" w:cs="仿宋"/>
                <w:b w:val="0"/>
                <w:bCs w:val="0"/>
                <w:color w:val="auto"/>
                <w:kern w:val="2"/>
                <w:sz w:val="24"/>
                <w:szCs w:val="24"/>
                <w:highlight w:val="none"/>
                <w:u w:val="none"/>
                <w:shd w:val="clear" w:color="auto" w:fill="auto"/>
                <w:vertAlign w:val="baseline"/>
                <w:lang w:val="en-US" w:eastAsia="zh-CN" w:bidi="ar-SA"/>
              </w:rPr>
            </w:pPr>
            <w:r>
              <w:rPr>
                <w:rFonts w:hint="default" w:ascii="仿宋" w:hAnsi="仿宋" w:eastAsia="仿宋" w:cs="仿宋"/>
                <w:color w:val="auto"/>
                <w:sz w:val="24"/>
                <w:szCs w:val="24"/>
                <w:highlight w:val="none"/>
                <w:u w:val="none"/>
                <w:lang w:val="en-US" w:eastAsia="zh-CN"/>
              </w:rPr>
              <w:t>玉林（福绵）节能环保产业园南部污水处理厂及中水回用设施建设项目（一期二标段5万吨/天）</w:t>
            </w:r>
            <w:r>
              <w:rPr>
                <w:rFonts w:hint="eastAsia" w:ascii="仿宋" w:hAnsi="仿宋" w:eastAsia="仿宋" w:cs="仿宋"/>
                <w:color w:val="auto"/>
                <w:sz w:val="24"/>
                <w:szCs w:val="24"/>
                <w:highlight w:val="none"/>
                <w:u w:val="none"/>
                <w:lang w:val="en-US" w:eastAsia="zh-CN"/>
              </w:rPr>
              <w:t>预拌砂浆购销合同</w:t>
            </w:r>
          </w:p>
        </w:tc>
      </w:tr>
    </w:tbl>
    <w:p w14:paraId="4B004BBB">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3.12.</w:t>
      </w:r>
      <w:r>
        <w:rPr>
          <w:rFonts w:hint="eastAsia" w:ascii="仿宋" w:hAnsi="仿宋" w:eastAsia="仿宋" w:cs="仿宋"/>
          <w:color w:val="auto"/>
          <w:sz w:val="28"/>
          <w:highlight w:val="none"/>
          <w:u w:val="none"/>
          <w:lang w:val="en-US" w:eastAsia="zh-CN"/>
        </w:rPr>
        <w:t>2乙方履行上述任一合同出现违约情形时，甲方有权在本合同履约保证金内提取相应款项作为违约金（若履约保证金不足，乙方须自甲方要求之日起十天内向甲方补足）。如乙方原因致使上述任一合同无法履行，本合同履约保证金全额不予返还，且甲方有权立即单方解除上述合同，乙方须承担因此产生的一切法律后果及赔偿甲方所有的经济损失。如乙方在合同履行期间无违约行为，则上述最晚进行首次交货的合同完成首批产品收货、验收合格后，甲方无息原路退回剩</w:t>
      </w:r>
      <w:r>
        <w:rPr>
          <w:rFonts w:hint="eastAsia" w:ascii="仿宋" w:hAnsi="仿宋" w:eastAsia="仿宋" w:cs="仿宋"/>
          <w:b w:val="0"/>
          <w:bCs w:val="0"/>
          <w:color w:val="auto"/>
          <w:sz w:val="28"/>
          <w:szCs w:val="28"/>
          <w:highlight w:val="none"/>
          <w:u w:val="none"/>
          <w:lang w:val="en-US" w:eastAsia="zh-CN"/>
        </w:rPr>
        <w:t>余的履约保证金。</w:t>
      </w:r>
    </w:p>
    <w:p w14:paraId="7FE8FE6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 xml:space="preserve">2.4.3乙方履行上述任一合同出现违约情形时，甲方可从本合同的合同款中扣款作为被违约合同的违约金给甲方。当甲方单方终止上述任一合同时，甲方有权同时单方终止本合同，由此产生的所有损失和后果由乙方承担。                                                                           </w:t>
      </w:r>
    </w:p>
    <w:p w14:paraId="1E7F748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55" w:name="_Toc13709"/>
      <w:bookmarkStart w:id="56" w:name="_Toc17081"/>
      <w:bookmarkStart w:id="57" w:name="_Toc2057"/>
      <w:bookmarkStart w:id="58" w:name="_Toc29397"/>
      <w:bookmarkStart w:id="59" w:name="_Toc9375"/>
      <w:r>
        <w:rPr>
          <w:rFonts w:hint="eastAsia" w:ascii="仿宋" w:hAnsi="仿宋" w:eastAsia="仿宋" w:cs="仿宋"/>
          <w:b/>
          <w:bCs/>
          <w:color w:val="auto"/>
          <w:sz w:val="28"/>
          <w:szCs w:val="28"/>
          <w:highlight w:val="none"/>
          <w:lang w:val="en-US" w:eastAsia="zh-CN"/>
        </w:rPr>
        <w:t>第四章、产品质量</w:t>
      </w:r>
      <w:bookmarkEnd w:id="55"/>
      <w:bookmarkEnd w:id="56"/>
      <w:r>
        <w:rPr>
          <w:rFonts w:hint="eastAsia" w:ascii="仿宋" w:hAnsi="仿宋" w:eastAsia="仿宋" w:cs="仿宋"/>
          <w:b/>
          <w:bCs/>
          <w:color w:val="auto"/>
          <w:sz w:val="28"/>
          <w:szCs w:val="28"/>
          <w:highlight w:val="none"/>
          <w:lang w:val="en-US" w:eastAsia="zh-CN"/>
        </w:rPr>
        <w:t>要求</w:t>
      </w:r>
      <w:bookmarkEnd w:id="57"/>
      <w:bookmarkEnd w:id="58"/>
      <w:bookmarkEnd w:id="59"/>
    </w:p>
    <w:p w14:paraId="567F7E2B">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bookmarkStart w:id="60" w:name="_Toc23033"/>
      <w:bookmarkStart w:id="61" w:name="_Toc4462"/>
      <w:r>
        <w:rPr>
          <w:rFonts w:hint="eastAsia" w:ascii="仿宋" w:hAnsi="仿宋" w:eastAsia="仿宋" w:cs="仿宋"/>
          <w:color w:val="auto"/>
          <w:sz w:val="28"/>
          <w:szCs w:val="28"/>
          <w:highlight w:val="none"/>
          <w:lang w:val="en-US" w:eastAsia="zh-CN"/>
        </w:rPr>
        <w:t>4.1乙方所供产品须满足合同约定、甲方验收要求且符合本项目所在地政府主管部门相关质量验收规范标准和文件要求。产品型号详见附件《报价清单》。</w:t>
      </w:r>
    </w:p>
    <w:p w14:paraId="207E312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4.2乙方提供的产品质量须符合最新的国家标准（如《预拌砂浆》GB/T 25181等）行业和地方标准，并向甲方提供相应的技术资料（包括出厂质量证明书等），以满足并符合本项目当地住建主管部门要求为准。</w:t>
      </w:r>
    </w:p>
    <w:p w14:paraId="09E6298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乙方供应的产品质量不符合本合同要求的，乙方承担补救费用并赔偿甲方因此造成的损失（包括但不限于：甲方拆除不合格施工部位、重新施工、甲方向第三方采购产生的差价、甲方因此延误工期而向建设单位承担的违约责任、赔偿责任等损失）。</w:t>
      </w:r>
    </w:p>
    <w:p w14:paraId="4F3C1A3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4.4乙方送错产品或产品质量问题造成甲方损失的，乙方全额赔偿甲方损失。      </w:t>
      </w:r>
    </w:p>
    <w:p w14:paraId="4C489859">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62" w:name="_Toc7396"/>
      <w:bookmarkStart w:id="63" w:name="_Toc17591"/>
      <w:bookmarkStart w:id="64" w:name="_Toc3949"/>
      <w:r>
        <w:rPr>
          <w:rFonts w:hint="eastAsia" w:ascii="仿宋" w:hAnsi="仿宋" w:eastAsia="仿宋" w:cs="仿宋"/>
          <w:b/>
          <w:bCs/>
          <w:color w:val="auto"/>
          <w:sz w:val="28"/>
          <w:szCs w:val="28"/>
          <w:highlight w:val="none"/>
          <w:lang w:val="en-US" w:eastAsia="zh-CN"/>
        </w:rPr>
        <w:t>第五章、订货、交货</w:t>
      </w:r>
      <w:bookmarkEnd w:id="60"/>
      <w:bookmarkEnd w:id="61"/>
      <w:r>
        <w:rPr>
          <w:rFonts w:hint="eastAsia" w:ascii="仿宋" w:hAnsi="仿宋" w:eastAsia="仿宋" w:cs="仿宋"/>
          <w:b/>
          <w:bCs/>
          <w:color w:val="auto"/>
          <w:sz w:val="28"/>
          <w:szCs w:val="28"/>
          <w:highlight w:val="none"/>
          <w:lang w:val="en-US" w:eastAsia="zh-CN"/>
        </w:rPr>
        <w:t>、验收</w:t>
      </w:r>
      <w:bookmarkEnd w:id="62"/>
      <w:bookmarkEnd w:id="63"/>
      <w:bookmarkEnd w:id="64"/>
    </w:p>
    <w:p w14:paraId="0256421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5.1</w:t>
      </w:r>
      <w:r>
        <w:rPr>
          <w:rFonts w:hint="eastAsia" w:ascii="仿宋" w:hAnsi="仿宋" w:eastAsia="仿宋" w:cs="仿宋"/>
          <w:color w:val="auto"/>
          <w:sz w:val="28"/>
          <w:szCs w:val="28"/>
          <w:highlight w:val="none"/>
          <w:lang w:eastAsia="zh-CN"/>
        </w:rPr>
        <w:t>订单确认方式：</w:t>
      </w:r>
      <w:r>
        <w:rPr>
          <w:rFonts w:hint="eastAsia" w:ascii="仿宋" w:hAnsi="仿宋" w:eastAsia="仿宋" w:cs="仿宋"/>
          <w:color w:val="auto"/>
          <w:sz w:val="28"/>
          <w:szCs w:val="28"/>
          <w:highlight w:val="none"/>
          <w:lang w:val="en-US" w:eastAsia="zh-CN"/>
        </w:rPr>
        <w:t>甲方</w:t>
      </w:r>
      <w:r>
        <w:rPr>
          <w:rFonts w:hint="eastAsia" w:ascii="仿宋" w:hAnsi="仿宋" w:eastAsia="仿宋" w:cs="仿宋"/>
          <w:color w:val="auto"/>
          <w:sz w:val="28"/>
          <w:szCs w:val="28"/>
          <w:highlight w:val="none"/>
          <w:lang w:eastAsia="zh-CN"/>
        </w:rPr>
        <w:t>在产品</w:t>
      </w:r>
      <w:r>
        <w:rPr>
          <w:rFonts w:hint="eastAsia" w:ascii="仿宋" w:hAnsi="仿宋" w:eastAsia="仿宋" w:cs="仿宋"/>
          <w:color w:val="auto"/>
          <w:sz w:val="28"/>
          <w:szCs w:val="28"/>
          <w:highlight w:val="none"/>
          <w:lang w:val="en-US" w:eastAsia="zh-CN"/>
        </w:rPr>
        <w:t>使用之日的前</w:t>
      </w:r>
      <w:r>
        <w:rPr>
          <w:rFonts w:hint="eastAsia" w:ascii="仿宋" w:hAnsi="仿宋" w:eastAsia="仿宋" w:cs="仿宋"/>
          <w:color w:val="auto"/>
          <w:sz w:val="28"/>
          <w:szCs w:val="28"/>
          <w:highlight w:val="none"/>
          <w:u w:val="none"/>
          <w:lang w:val="en-US" w:eastAsia="zh-CN"/>
        </w:rPr>
        <w:t>一个日历天17</w:t>
      </w:r>
      <w:r>
        <w:rPr>
          <w:rFonts w:hint="eastAsia" w:ascii="仿宋" w:hAnsi="仿宋" w:eastAsia="仿宋" w:cs="仿宋"/>
          <w:color w:val="auto"/>
          <w:sz w:val="28"/>
          <w:szCs w:val="28"/>
          <w:highlight w:val="none"/>
          <w:u w:val="none"/>
          <w:lang w:eastAsia="zh-CN"/>
        </w:rPr>
        <w:t>：00</w:t>
      </w:r>
      <w:r>
        <w:rPr>
          <w:rFonts w:hint="eastAsia" w:ascii="仿宋" w:hAnsi="仿宋" w:eastAsia="仿宋" w:cs="仿宋"/>
          <w:color w:val="auto"/>
          <w:sz w:val="28"/>
          <w:szCs w:val="28"/>
          <w:highlight w:val="none"/>
          <w:u w:val="none"/>
          <w:lang w:val="en-US" w:eastAsia="zh-CN"/>
        </w:rPr>
        <w:t>前，将符合甲方相关制度规定、有甲方本合同执行联系人、材料员</w:t>
      </w:r>
      <w:r>
        <w:rPr>
          <w:rFonts w:hint="eastAsia" w:ascii="仿宋" w:hAnsi="仿宋" w:eastAsia="仿宋" w:cs="仿宋"/>
          <w:color w:val="auto"/>
          <w:sz w:val="28"/>
          <w:highlight w:val="none"/>
          <w:u w:val="single"/>
          <w:lang w:val="en-US" w:eastAsia="zh-CN"/>
        </w:rPr>
        <w:t>等相关岗位人员</w:t>
      </w:r>
      <w:r>
        <w:rPr>
          <w:rFonts w:hint="eastAsia" w:ascii="仿宋" w:hAnsi="仿宋" w:eastAsia="仿宋" w:cs="仿宋"/>
          <w:color w:val="auto"/>
          <w:sz w:val="28"/>
          <w:szCs w:val="28"/>
          <w:highlight w:val="none"/>
          <w:u w:val="none"/>
          <w:lang w:val="en-US" w:eastAsia="zh-CN"/>
        </w:rPr>
        <w:t>签字的“物料申购单”（格式详见附件）发送给</w:t>
      </w:r>
      <w:r>
        <w:rPr>
          <w:rFonts w:hint="eastAsia" w:ascii="仿宋" w:hAnsi="仿宋" w:eastAsia="仿宋" w:cs="仿宋"/>
          <w:color w:val="auto"/>
          <w:sz w:val="28"/>
          <w:szCs w:val="28"/>
          <w:highlight w:val="none"/>
          <w:lang w:val="en-US" w:eastAsia="zh-CN"/>
        </w:rPr>
        <w:t>合同约定的乙方合同</w:t>
      </w:r>
      <w:r>
        <w:rPr>
          <w:rFonts w:hint="eastAsia" w:ascii="仿宋" w:hAnsi="仿宋" w:eastAsia="仿宋" w:cs="仿宋"/>
          <w:color w:val="auto"/>
          <w:sz w:val="28"/>
          <w:szCs w:val="28"/>
          <w:highlight w:val="none"/>
          <w:lang w:eastAsia="zh-CN"/>
        </w:rPr>
        <w:t>执行</w:t>
      </w:r>
      <w:r>
        <w:rPr>
          <w:rFonts w:hint="eastAsia" w:ascii="仿宋" w:hAnsi="仿宋" w:eastAsia="仿宋" w:cs="仿宋"/>
          <w:color w:val="auto"/>
          <w:sz w:val="28"/>
          <w:szCs w:val="28"/>
          <w:highlight w:val="none"/>
          <w:lang w:val="en-US" w:eastAsia="zh-CN"/>
        </w:rPr>
        <w:t>代表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甲方发送方式</w:t>
      </w:r>
      <w:r>
        <w:rPr>
          <w:rFonts w:hint="eastAsia" w:ascii="仿宋" w:hAnsi="仿宋" w:eastAsia="仿宋" w:cs="仿宋"/>
          <w:color w:val="auto"/>
          <w:sz w:val="28"/>
          <w:szCs w:val="28"/>
          <w:highlight w:val="none"/>
          <w:lang w:eastAsia="zh-CN"/>
        </w:rPr>
        <w:t>包括但不限于传真、</w:t>
      </w:r>
      <w:r>
        <w:rPr>
          <w:rFonts w:hint="eastAsia" w:ascii="仿宋" w:hAnsi="仿宋" w:eastAsia="仿宋" w:cs="仿宋"/>
          <w:color w:val="auto"/>
          <w:sz w:val="28"/>
          <w:szCs w:val="28"/>
          <w:highlight w:val="none"/>
          <w:lang w:val="en-US" w:eastAsia="zh-CN"/>
        </w:rPr>
        <w:t>短信</w:t>
      </w:r>
      <w:r>
        <w:rPr>
          <w:rFonts w:hint="eastAsia" w:ascii="仿宋" w:hAnsi="仿宋" w:eastAsia="仿宋" w:cs="仿宋"/>
          <w:color w:val="auto"/>
          <w:sz w:val="28"/>
          <w:szCs w:val="28"/>
          <w:highlight w:val="none"/>
          <w:lang w:eastAsia="zh-CN"/>
        </w:rPr>
        <w:t>、微信等方式。</w:t>
      </w:r>
    </w:p>
    <w:p w14:paraId="31B0D604">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w:t>
      </w:r>
      <w:r>
        <w:rPr>
          <w:rFonts w:hint="eastAsia" w:ascii="仿宋" w:hAnsi="仿宋" w:eastAsia="仿宋" w:cs="仿宋"/>
          <w:color w:val="auto"/>
          <w:sz w:val="28"/>
          <w:szCs w:val="28"/>
          <w:highlight w:val="none"/>
        </w:rPr>
        <w:t>交货地点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广西玉林福绵区</w:t>
      </w:r>
      <w:r>
        <w:rPr>
          <w:rFonts w:hint="eastAsia" w:ascii="仿宋" w:hAnsi="仿宋" w:eastAsia="仿宋" w:cs="仿宋"/>
          <w:b w:val="0"/>
          <w:bCs w:val="0"/>
          <w:color w:val="auto"/>
          <w:sz w:val="28"/>
          <w:szCs w:val="28"/>
          <w:highlight w:val="none"/>
          <w:u w:val="single"/>
          <w:lang w:val="en-US" w:eastAsia="zh-CN"/>
        </w:rPr>
        <w:t>玉林(福绵)节能环保产业园项目</w:t>
      </w:r>
      <w:r>
        <w:rPr>
          <w:rFonts w:hint="eastAsia" w:ascii="仿宋" w:hAnsi="仿宋" w:eastAsia="仿宋" w:cs="仿宋"/>
          <w:b w:val="0"/>
          <w:bCs w:val="0"/>
          <w:color w:val="auto"/>
          <w:sz w:val="28"/>
          <w:szCs w:val="28"/>
          <w:highlight w:val="none"/>
          <w:u w:val="single"/>
          <w:lang w:eastAsia="zh-CN"/>
        </w:rPr>
        <w:t>甲方指定地点</w:t>
      </w:r>
      <w:r>
        <w:rPr>
          <w:rFonts w:hint="eastAsia" w:ascii="仿宋" w:hAnsi="仿宋" w:eastAsia="仿宋" w:cs="仿宋"/>
          <w:b w:val="0"/>
          <w:bCs w:val="0"/>
          <w:color w:val="auto"/>
          <w:sz w:val="28"/>
          <w:szCs w:val="28"/>
          <w:highlight w:val="none"/>
          <w:lang w:val="en-US" w:eastAsia="zh-CN"/>
        </w:rPr>
        <w:t>。</w:t>
      </w:r>
    </w:p>
    <w:p w14:paraId="375D4CD9">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w:t>
      </w:r>
      <w:r>
        <w:rPr>
          <w:rFonts w:hint="eastAsia" w:ascii="仿宋" w:hAnsi="仿宋" w:eastAsia="仿宋" w:cs="仿宋"/>
          <w:color w:val="auto"/>
          <w:sz w:val="28"/>
          <w:szCs w:val="28"/>
          <w:highlight w:val="none"/>
        </w:rPr>
        <w:t>交货期限</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lang w:eastAsia="zh-CN"/>
        </w:rPr>
        <w:t>乙方自</w:t>
      </w:r>
      <w:r>
        <w:rPr>
          <w:rFonts w:hint="eastAsia" w:ascii="仿宋" w:hAnsi="仿宋" w:eastAsia="仿宋" w:cs="仿宋"/>
          <w:b w:val="0"/>
          <w:bCs w:val="0"/>
          <w:color w:val="auto"/>
          <w:sz w:val="28"/>
          <w:szCs w:val="28"/>
          <w:highlight w:val="none"/>
          <w:lang w:val="en-US" w:eastAsia="zh-CN"/>
        </w:rPr>
        <w:t>甲方发出订单起</w:t>
      </w:r>
      <w:r>
        <w:rPr>
          <w:rFonts w:hint="eastAsia" w:ascii="仿宋" w:hAnsi="仿宋" w:eastAsia="仿宋" w:cs="仿宋"/>
          <w:b w:val="0"/>
          <w:bCs w:val="0"/>
          <w:color w:val="auto"/>
          <w:sz w:val="28"/>
          <w:szCs w:val="28"/>
          <w:highlight w:val="none"/>
          <w:u w:val="single"/>
          <w:lang w:val="en-US" w:eastAsia="zh-CN"/>
        </w:rPr>
        <w:t xml:space="preserve"> 1 </w:t>
      </w:r>
      <w:r>
        <w:rPr>
          <w:rFonts w:hint="eastAsia" w:ascii="仿宋" w:hAnsi="仿宋" w:eastAsia="仿宋" w:cs="仿宋"/>
          <w:b w:val="0"/>
          <w:bCs w:val="0"/>
          <w:color w:val="auto"/>
          <w:sz w:val="28"/>
          <w:szCs w:val="28"/>
          <w:highlight w:val="none"/>
          <w:u w:val="none"/>
          <w:lang w:val="en-US" w:eastAsia="zh-CN"/>
        </w:rPr>
        <w:t>小时</w:t>
      </w:r>
      <w:r>
        <w:rPr>
          <w:rFonts w:hint="eastAsia" w:ascii="仿宋" w:hAnsi="仿宋" w:eastAsia="仿宋" w:cs="仿宋"/>
          <w:b w:val="0"/>
          <w:bCs w:val="0"/>
          <w:color w:val="auto"/>
          <w:sz w:val="28"/>
          <w:szCs w:val="28"/>
          <w:highlight w:val="none"/>
        </w:rPr>
        <w:t>内</w:t>
      </w:r>
      <w:r>
        <w:rPr>
          <w:rFonts w:hint="eastAsia" w:ascii="仿宋" w:hAnsi="仿宋" w:eastAsia="仿宋" w:cs="仿宋"/>
          <w:b w:val="0"/>
          <w:bCs w:val="0"/>
          <w:color w:val="auto"/>
          <w:sz w:val="28"/>
          <w:szCs w:val="28"/>
          <w:highlight w:val="none"/>
          <w:lang w:eastAsia="zh-CN"/>
        </w:rPr>
        <w:t>把</w:t>
      </w:r>
      <w:r>
        <w:rPr>
          <w:rFonts w:hint="eastAsia" w:ascii="仿宋" w:hAnsi="仿宋" w:eastAsia="仿宋" w:cs="仿宋"/>
          <w:b w:val="0"/>
          <w:bCs w:val="0"/>
          <w:color w:val="auto"/>
          <w:sz w:val="28"/>
          <w:szCs w:val="28"/>
          <w:highlight w:val="none"/>
          <w:lang w:val="en-US" w:eastAsia="zh-CN"/>
        </w:rPr>
        <w:t>该订单对应的</w:t>
      </w:r>
      <w:r>
        <w:rPr>
          <w:rFonts w:hint="eastAsia" w:ascii="仿宋" w:hAnsi="仿宋" w:eastAsia="仿宋" w:cs="仿宋"/>
          <w:b w:val="0"/>
          <w:bCs w:val="0"/>
          <w:color w:val="auto"/>
          <w:sz w:val="28"/>
          <w:szCs w:val="28"/>
          <w:highlight w:val="none"/>
          <w:lang w:eastAsia="zh-CN"/>
        </w:rPr>
        <w:t>产品按照甲方要求送齐至甲方指定地点</w:t>
      </w:r>
      <w:r>
        <w:rPr>
          <w:rFonts w:hint="eastAsia" w:ascii="仿宋" w:hAnsi="仿宋" w:eastAsia="仿宋" w:cs="仿宋"/>
          <w:b w:val="0"/>
          <w:bCs w:val="0"/>
          <w:color w:val="auto"/>
          <w:sz w:val="28"/>
          <w:szCs w:val="28"/>
          <w:highlight w:val="none"/>
          <w:lang w:val="en-US" w:eastAsia="zh-CN"/>
        </w:rPr>
        <w:t>。</w:t>
      </w:r>
    </w:p>
    <w:p w14:paraId="722B1B4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5.4双方联系人及权限：</w:t>
      </w:r>
    </w:p>
    <w:p w14:paraId="7265B13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5.4.1甲方指定</w:t>
      </w:r>
      <w:r>
        <w:rPr>
          <w:rFonts w:hint="eastAsia" w:ascii="仿宋" w:hAnsi="仿宋" w:eastAsia="仿宋" w:cs="仿宋"/>
          <w:b w:val="0"/>
          <w:bCs w:val="0"/>
          <w:color w:val="auto"/>
          <w:sz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莫龙（联系电话：13751400863</w:t>
      </w:r>
      <w:r>
        <w:rPr>
          <w:rFonts w:hint="eastAsia" w:ascii="仿宋" w:hAnsi="仿宋" w:eastAsia="仿宋" w:cs="仿宋"/>
          <w:color w:val="auto"/>
          <w:sz w:val="28"/>
          <w:highlight w:val="none"/>
          <w:u w:val="single"/>
          <w:lang w:val="en-US" w:eastAsia="zh-CN"/>
        </w:rPr>
        <w:t>）</w:t>
      </w:r>
      <w:r>
        <w:rPr>
          <w:rFonts w:hint="eastAsia" w:ascii="仿宋" w:hAnsi="仿宋" w:eastAsia="仿宋" w:cs="仿宋"/>
          <w:b w:val="0"/>
          <w:bCs w:val="0"/>
          <w:color w:val="auto"/>
          <w:sz w:val="28"/>
          <w:highlight w:val="none"/>
          <w:lang w:val="en-US" w:eastAsia="zh-CN"/>
        </w:rPr>
        <w:t>为本合同甲方执行联系人；指定</w:t>
      </w:r>
      <w:r>
        <w:rPr>
          <w:rFonts w:hint="eastAsia" w:ascii="仿宋" w:hAnsi="仿宋" w:eastAsia="仿宋" w:cs="仿宋"/>
          <w:b w:val="0"/>
          <w:bCs w:val="0"/>
          <w:color w:val="auto"/>
          <w:sz w:val="28"/>
          <w:highlight w:val="none"/>
          <w:u w:val="single"/>
          <w:lang w:val="en-US" w:eastAsia="zh-CN"/>
        </w:rPr>
        <w:t xml:space="preserve"> 滕繁深（材料员）</w:t>
      </w:r>
      <w:r>
        <w:rPr>
          <w:rFonts w:hint="eastAsia" w:ascii="仿宋" w:hAnsi="仿宋" w:eastAsia="仿宋" w:cs="仿宋"/>
          <w:b w:val="0"/>
          <w:bCs w:val="0"/>
          <w:color w:val="auto"/>
          <w:sz w:val="28"/>
          <w:highlight w:val="none"/>
          <w:u w:val="none"/>
          <w:lang w:val="en-US" w:eastAsia="zh-CN"/>
        </w:rPr>
        <w:t>为产品签收人，联系电话：</w:t>
      </w:r>
      <w:r>
        <w:rPr>
          <w:rFonts w:hint="eastAsia" w:ascii="仿宋" w:hAnsi="仿宋" w:eastAsia="仿宋" w:cs="仿宋"/>
          <w:b w:val="0"/>
          <w:bCs w:val="0"/>
          <w:color w:val="auto"/>
          <w:sz w:val="28"/>
          <w:highlight w:val="none"/>
          <w:u w:val="single"/>
          <w:lang w:val="en-US" w:eastAsia="zh-CN"/>
        </w:rPr>
        <w:t>13977165304</w:t>
      </w:r>
      <w:r>
        <w:rPr>
          <w:rFonts w:hint="eastAsia"/>
          <w:color w:val="auto"/>
          <w:highlight w:val="none"/>
          <w:lang w:eastAsia="zh-CN"/>
        </w:rPr>
        <w:t>。</w:t>
      </w:r>
      <w:r>
        <w:rPr>
          <w:rFonts w:hint="eastAsia" w:ascii="仿宋" w:hAnsi="仿宋" w:eastAsia="仿宋" w:cs="仿宋"/>
          <w:b w:val="0"/>
          <w:bCs w:val="0"/>
          <w:color w:val="auto"/>
          <w:sz w:val="28"/>
          <w:highlight w:val="none"/>
          <w:lang w:val="en-US" w:eastAsia="zh-CN"/>
        </w:rPr>
        <w:t>未经甲方加盖公章确认，甲方项目负责人及合同执行联系人、签约代表及其他职员均无权代表甲方做出减损、放弃甲方权利、乙方义务、乙方责任的行为，也无权做出增加甲方义务、责任的行为。甲方对乙方发出的业务通知等文件，须经甲方项目负责人及合同执行联系人签名并加盖甲方项目章方为有效，否则为无效文件，仅盖章或者仅签名的文件亦无效。甲方项目负责人、合同执行联系人变更的，甲方以书面形式通知乙方。</w:t>
      </w:r>
    </w:p>
    <w:p w14:paraId="09839B4A">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520" w:lineRule="exact"/>
        <w:ind w:left="218" w:leftChars="104"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0865079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5.4.1.1签订合同；</w:t>
      </w:r>
    </w:p>
    <w:p w14:paraId="7A701A3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5.4.1.2任何类型的欠条或收据；</w:t>
      </w:r>
    </w:p>
    <w:p w14:paraId="63641BC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5.4.1.3任何形式的经济结算凭证；</w:t>
      </w:r>
    </w:p>
    <w:p w14:paraId="17DC015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5.4.1.4为他人或他单位提供任何形式的担保；</w:t>
      </w:r>
    </w:p>
    <w:p w14:paraId="48254B1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5.4.1.5确认任何形式的包含权利义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4F3CC70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5.4.2</w:t>
      </w:r>
      <w:r>
        <w:rPr>
          <w:rFonts w:hint="eastAsia" w:ascii="仿宋" w:hAnsi="仿宋" w:eastAsia="仿宋" w:cs="仿宋"/>
          <w:b w:val="0"/>
          <w:bCs w:val="0"/>
          <w:i w:val="0"/>
          <w:iCs w:val="0"/>
          <w:color w:val="auto"/>
          <w:sz w:val="28"/>
          <w:szCs w:val="28"/>
          <w:highlight w:val="none"/>
          <w:shd w:val="clear" w:color="auto" w:fill="auto"/>
          <w:lang w:eastAsia="zh-CN"/>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highlight w:val="none"/>
          <w:u w:val="single"/>
          <w:lang w:val="en-US" w:eastAsia="zh-CN"/>
        </w:rPr>
        <w:t xml:space="preserve">  (身份证号码:  ；手机/微信号码：    ；电子邮箱：    )</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3E4D9CF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5.5除甲方合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合同执行联系人在履行本合同过程中，对涉及费用的所有文件、资料审批权限为不超过三千元/次（含税）。三千元/次以该联系人负责管理的项目为最小单位，不得分地块、分期、分楼栋、分部位拆分使用权限。涉及费用超过三千元的文件、资料，无论甲方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3A6826A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5.6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0AE814E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5.7收货验收流程</w:t>
      </w:r>
      <w:r>
        <w:rPr>
          <w:rFonts w:hint="eastAsia" w:ascii="仿宋" w:hAnsi="仿宋" w:eastAsia="仿宋" w:cs="仿宋"/>
          <w:color w:val="auto"/>
          <w:sz w:val="28"/>
          <w:highlight w:val="none"/>
          <w:u w:val="none"/>
          <w:shd w:val="clear" w:color="auto" w:fill="auto"/>
          <w:lang w:val="en-US" w:eastAsia="zh-CN"/>
        </w:rPr>
        <w:t>及标准：</w:t>
      </w:r>
    </w:p>
    <w:p w14:paraId="40B7762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5.7.1乙方送货前须提前向甲方项目部告知送货司机的姓名、联系电话、车辆规格、车牌号，乙方送货单须盖乙方公章。</w:t>
      </w:r>
    </w:p>
    <w:p w14:paraId="658CD90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5.7.2产品进场时乙方须向甲方提供产品出厂合格证、出厂质量证明书等相关资料并在当天移交甲方存档。</w:t>
      </w:r>
    </w:p>
    <w:p w14:paraId="7A94945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5.7.3甲方项目施工员在产品进场时，有权对品牌、规格、型号、质量等进行全检并拍照留存。</w:t>
      </w:r>
    </w:p>
    <w:p w14:paraId="7E66742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5.7.4产品如与合同约定不符（如产品的品牌、厂地、规格、型号、质量等），甲方本合同执行联系人按合同要求直接拒收、退场并做好记录备查，甲方不折价签收不符合合同要求的产品，且乙方向甲方支付违约金（违约金额等于不符合合同约定的产品金额的三倍且最少不低于伍仟元/次），甲方有权在任意一笔应付乙方的合同款中自行扣取违约金。</w:t>
      </w:r>
    </w:p>
    <w:p w14:paraId="1BA58ED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5.8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w:t>
      </w:r>
      <w:r>
        <w:rPr>
          <w:rFonts w:hint="eastAsia" w:ascii="仿宋" w:hAnsi="仿宋" w:eastAsia="仿宋" w:cs="仿宋"/>
          <w:b w:val="0"/>
          <w:bCs w:val="0"/>
          <w:color w:val="auto"/>
          <w:sz w:val="28"/>
          <w:highlight w:val="none"/>
          <w:u w:val="none"/>
          <w:lang w:val="en-US" w:eastAsia="zh-CN"/>
        </w:rPr>
        <w:t>2</w:t>
      </w:r>
      <w:r>
        <w:rPr>
          <w:rFonts w:hint="eastAsia" w:ascii="仿宋" w:hAnsi="仿宋" w:eastAsia="仿宋" w:cs="仿宋"/>
          <w:b w:val="0"/>
          <w:bCs w:val="0"/>
          <w:color w:val="auto"/>
          <w:sz w:val="28"/>
          <w:highlight w:val="none"/>
          <w:u w:val="none"/>
          <w:lang w:eastAsia="zh-CN"/>
        </w:rPr>
        <w:t>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送货金额（以乙方送货单金额为准）的10%支付违约金并赔偿甲方损失。甲方验收完成后，如对产品数量、质量等级等再次复查，乙方须无条件配合，且复查结果可作为结算依据，复查程序等按甲方规定执行。乙方指派人员配合、参与甲方验收、复查，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0D2870B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5.</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w:t>
      </w:r>
      <w:r>
        <w:rPr>
          <w:rFonts w:hint="eastAsia" w:ascii="仿宋" w:hAnsi="仿宋" w:eastAsia="仿宋" w:cs="仿宋"/>
          <w:b w:val="0"/>
          <w:bCs w:val="0"/>
          <w:color w:val="auto"/>
          <w:sz w:val="28"/>
          <w:highlight w:val="none"/>
          <w:u w:val="none"/>
          <w:lang w:val="en-US" w:eastAsia="zh-CN"/>
        </w:rPr>
        <w:t>否</w:t>
      </w:r>
      <w:r>
        <w:rPr>
          <w:rFonts w:hint="eastAsia" w:ascii="仿宋" w:hAnsi="仿宋" w:eastAsia="仿宋" w:cs="仿宋"/>
          <w:b w:val="0"/>
          <w:bCs w:val="0"/>
          <w:color w:val="auto"/>
          <w:sz w:val="28"/>
          <w:highlight w:val="none"/>
          <w:u w:val="none"/>
          <w:lang w:eastAsia="zh-CN"/>
        </w:rPr>
        <w:t>则由乙方承担且乙方承担由此产生的责任、费用并无条件将该批产品自甲方要求之日起两个日历天内更换为合格产品，同时甲方有权单方终止合同且不付款；如甲方单方终止合同，乙方须按该批产品总价的10%支付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0CCB0D7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5.</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数量结算依据为甲方合同执行联系人和验收组人员共同签名的签收单及甲方认可的相关资料。</w:t>
      </w:r>
    </w:p>
    <w:p w14:paraId="65304322">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5.11由甲方材料员对进场产品组织验收，如甲方栋号施工员不能第一时间进行验收，由甲方材料员组织保安组长共同进行验收并签名，栋号施工员在产品进场后12小时内进行复验，验收完成后在材料签收单签名。</w:t>
      </w:r>
    </w:p>
    <w:p w14:paraId="7569F3F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5.12甲方材料员按甲方规定开具材料签收单，一式三联，白联由甲方项目部留底，红联交至甲方财务部，绿联交乙方用于请款。</w:t>
      </w:r>
    </w:p>
    <w:p w14:paraId="15C842F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所有票据、资料必须经办人亲自签名，严禁他人代签名，一旦发现则乙方向甲方支付违约金（违约金额等于代签票据所列材料金额的三倍但最少不低于二千元/次），甲方有权在应付乙方的任意合同款中自行扣取违约金。</w:t>
      </w:r>
    </w:p>
    <w:p w14:paraId="7E675B9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5.14产品送至交货地点后，尽管现场表观验收结果合格，如果有下列情形之一，则由乙方承担全部责任、损失及费用：</w:t>
      </w:r>
    </w:p>
    <w:p w14:paraId="7DB2658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5.15.1砂浆使用原材料不合格，砂浆质量不符合国家相关规范规定及地方标准文件要求；</w:t>
      </w:r>
    </w:p>
    <w:p w14:paraId="7F753B9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5.15.2砂浆配合比设计或实际使用的生产配比有误；</w:t>
      </w:r>
    </w:p>
    <w:p w14:paraId="594CAB8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5.15.3乙方送错料或砂浆本身质量有问题；</w:t>
      </w:r>
    </w:p>
    <w:p w14:paraId="6D42031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5.15.4砂浆在使用过程中出现离析现象等质量问题；</w:t>
      </w:r>
    </w:p>
    <w:p w14:paraId="34C69EB1">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5.15.5乙方在其原材料检验检测、施工配合比设计、生产过程中不按国家相关规范执行。</w:t>
      </w:r>
    </w:p>
    <w:p w14:paraId="248A2C8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5.15乙方每次的送货数量、品牌、规格由甲方决定，乙方无条件配合，否则甲方有权单方取消该批订单或解除本合同且不违约。乙方每次送货时须在送货单上注明该批产品的品牌、规格、数量，否则甲方有权自行决定该批产品的结算价格。产品购销数量按甲方实际接收并验收合格的产品数量结算。乙方必须按甲方要求现场办理签收单确认收货入库数量的签字手续，乙方逾期办理的视同乙方违约，按违约条款处理。</w:t>
      </w:r>
    </w:p>
    <w:p w14:paraId="25D5D253">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5.16乙方承诺按照合同约定的供货时间按时足量供货，如遇特殊情况需调整供货计划，乙方应至少提前10个工作日书面通知甲方，双方协商一致后方可变更。</w:t>
      </w:r>
    </w:p>
    <w:p w14:paraId="365952C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65" w:name="_Toc7651"/>
      <w:bookmarkStart w:id="66" w:name="_Toc7486"/>
      <w:bookmarkStart w:id="67" w:name="_Toc20634"/>
      <w:bookmarkStart w:id="68" w:name="_Toc3158"/>
      <w:bookmarkStart w:id="69" w:name="_Toc6644"/>
      <w:r>
        <w:rPr>
          <w:rFonts w:hint="eastAsia" w:ascii="仿宋" w:hAnsi="仿宋" w:eastAsia="仿宋" w:cs="仿宋"/>
          <w:b/>
          <w:bCs/>
          <w:color w:val="auto"/>
          <w:sz w:val="28"/>
          <w:szCs w:val="28"/>
          <w:highlight w:val="none"/>
          <w:lang w:val="en-US" w:eastAsia="zh-CN"/>
        </w:rPr>
        <w:t>第六章、</w:t>
      </w:r>
      <w:bookmarkEnd w:id="65"/>
      <w:r>
        <w:rPr>
          <w:rFonts w:hint="eastAsia" w:ascii="仿宋" w:hAnsi="仿宋" w:eastAsia="仿宋" w:cs="仿宋"/>
          <w:b/>
          <w:bCs/>
          <w:color w:val="auto"/>
          <w:sz w:val="28"/>
          <w:szCs w:val="28"/>
          <w:highlight w:val="none"/>
          <w:lang w:val="en-US" w:eastAsia="zh-CN"/>
        </w:rPr>
        <w:t>质保</w:t>
      </w:r>
      <w:bookmarkEnd w:id="66"/>
      <w:bookmarkEnd w:id="67"/>
      <w:bookmarkEnd w:id="68"/>
      <w:bookmarkEnd w:id="69"/>
    </w:p>
    <w:p w14:paraId="7577F875">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按法律、法规和国家有关规定对产品在质保期内承担质保责任</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质保期内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如产品不能使用</w:t>
      </w:r>
      <w:r>
        <w:rPr>
          <w:rFonts w:hint="eastAsia" w:ascii="仿宋" w:hAnsi="仿宋" w:eastAsia="仿宋" w:cs="仿宋"/>
          <w:color w:val="auto"/>
          <w:sz w:val="28"/>
          <w:szCs w:val="28"/>
          <w:highlight w:val="none"/>
          <w:lang w:val="en-US" w:eastAsia="zh-CN"/>
        </w:rPr>
        <w:t>需</w:t>
      </w:r>
      <w:r>
        <w:rPr>
          <w:rFonts w:hint="eastAsia" w:ascii="仿宋" w:hAnsi="仿宋" w:eastAsia="仿宋" w:cs="仿宋"/>
          <w:color w:val="auto"/>
          <w:sz w:val="28"/>
          <w:szCs w:val="28"/>
          <w:highlight w:val="none"/>
        </w:rPr>
        <w:t>更换，则该</w:t>
      </w:r>
      <w:r>
        <w:rPr>
          <w:rFonts w:hint="eastAsia" w:ascii="仿宋" w:hAnsi="仿宋" w:eastAsia="仿宋" w:cs="仿宋"/>
          <w:color w:val="auto"/>
          <w:sz w:val="28"/>
          <w:szCs w:val="28"/>
          <w:highlight w:val="none"/>
          <w:lang w:val="en-US" w:eastAsia="zh-CN"/>
        </w:rPr>
        <w:t>部位</w:t>
      </w:r>
      <w:r>
        <w:rPr>
          <w:rFonts w:hint="eastAsia" w:ascii="仿宋" w:hAnsi="仿宋" w:eastAsia="仿宋" w:cs="仿宋"/>
          <w:color w:val="auto"/>
          <w:sz w:val="28"/>
          <w:szCs w:val="28"/>
          <w:highlight w:val="none"/>
        </w:rPr>
        <w:t>产品质保期自更换之日起重新计算。 </w:t>
      </w:r>
    </w:p>
    <w:p w14:paraId="40F5985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对产品实行</w:t>
      </w:r>
      <w:r>
        <w:rPr>
          <w:rFonts w:hint="eastAsia" w:ascii="仿宋" w:hAnsi="仿宋" w:eastAsia="仿宋" w:cs="仿宋"/>
          <w:color w:val="auto"/>
          <w:sz w:val="28"/>
          <w:szCs w:val="28"/>
          <w:highlight w:val="none"/>
          <w:u w:val="single"/>
          <w:lang w:val="en-US" w:eastAsia="zh-CN"/>
        </w:rPr>
        <w:t xml:space="preserve"> 2 </w:t>
      </w:r>
      <w:r>
        <w:rPr>
          <w:rFonts w:hint="eastAsia" w:ascii="仿宋" w:hAnsi="仿宋" w:eastAsia="仿宋" w:cs="仿宋"/>
          <w:color w:val="auto"/>
          <w:sz w:val="28"/>
          <w:szCs w:val="28"/>
          <w:highlight w:val="none"/>
        </w:rPr>
        <w:t>年免费质保(</w:t>
      </w:r>
      <w:r>
        <w:rPr>
          <w:rFonts w:hint="eastAsia" w:ascii="仿宋" w:hAnsi="仿宋" w:eastAsia="仿宋" w:cs="仿宋"/>
          <w:color w:val="auto"/>
          <w:sz w:val="28"/>
          <w:szCs w:val="28"/>
          <w:highlight w:val="none"/>
          <w:lang w:val="en-US" w:eastAsia="zh-CN"/>
        </w:rPr>
        <w:t>政府主管部门</w:t>
      </w:r>
      <w:r>
        <w:rPr>
          <w:rFonts w:hint="eastAsia" w:ascii="仿宋" w:hAnsi="仿宋" w:eastAsia="仿宋" w:cs="仿宋"/>
          <w:color w:val="auto"/>
          <w:sz w:val="28"/>
          <w:szCs w:val="28"/>
          <w:highlight w:val="none"/>
        </w:rPr>
        <w:t>另有更长质保</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rPr>
        <w:t>规定的，从其规定)，质保期自</w:t>
      </w:r>
      <w:r>
        <w:rPr>
          <w:rFonts w:hint="eastAsia" w:ascii="仿宋" w:hAnsi="仿宋" w:eastAsia="仿宋" w:cs="仿宋"/>
          <w:color w:val="auto"/>
          <w:sz w:val="28"/>
          <w:szCs w:val="28"/>
          <w:highlight w:val="none"/>
          <w:lang w:eastAsia="zh-CN"/>
        </w:rPr>
        <w:t>产品经甲方</w:t>
      </w:r>
      <w:r>
        <w:rPr>
          <w:rFonts w:hint="eastAsia" w:ascii="仿宋" w:hAnsi="仿宋" w:eastAsia="仿宋" w:cs="仿宋"/>
          <w:color w:val="auto"/>
          <w:sz w:val="28"/>
          <w:szCs w:val="28"/>
          <w:highlight w:val="none"/>
        </w:rPr>
        <w:t>验收合格</w:t>
      </w:r>
      <w:r>
        <w:rPr>
          <w:rFonts w:hint="eastAsia" w:ascii="仿宋" w:hAnsi="仿宋" w:eastAsia="仿宋" w:cs="仿宋"/>
          <w:color w:val="auto"/>
          <w:sz w:val="28"/>
          <w:szCs w:val="28"/>
          <w:highlight w:val="none"/>
          <w:lang w:eastAsia="zh-CN"/>
        </w:rPr>
        <w:t>并</w:t>
      </w:r>
      <w:r>
        <w:rPr>
          <w:rFonts w:hint="eastAsia" w:ascii="仿宋" w:hAnsi="仿宋" w:eastAsia="仿宋" w:cs="仿宋"/>
          <w:color w:val="auto"/>
          <w:sz w:val="28"/>
          <w:szCs w:val="28"/>
          <w:highlight w:val="none"/>
        </w:rPr>
        <w:t>移交</w:t>
      </w:r>
      <w:r>
        <w:rPr>
          <w:rFonts w:hint="eastAsia" w:ascii="仿宋" w:hAnsi="仿宋" w:eastAsia="仿宋" w:cs="仿宋"/>
          <w:color w:val="auto"/>
          <w:sz w:val="28"/>
          <w:szCs w:val="28"/>
          <w:highlight w:val="none"/>
          <w:lang w:val="en-US" w:eastAsia="zh-CN"/>
        </w:rPr>
        <w:t>建设单位</w:t>
      </w:r>
      <w:r>
        <w:rPr>
          <w:rFonts w:hint="eastAsia" w:ascii="仿宋" w:hAnsi="仿宋" w:eastAsia="仿宋" w:cs="仿宋"/>
          <w:color w:val="auto"/>
          <w:sz w:val="28"/>
          <w:szCs w:val="28"/>
          <w:highlight w:val="none"/>
        </w:rPr>
        <w:t>之日起计。</w:t>
      </w:r>
    </w:p>
    <w:p w14:paraId="1E3A7077">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6.3</w:t>
      </w:r>
      <w:r>
        <w:rPr>
          <w:rFonts w:hint="eastAsia" w:ascii="仿宋" w:hAnsi="仿宋" w:eastAsia="仿宋" w:cs="仿宋"/>
          <w:color w:val="auto"/>
          <w:sz w:val="28"/>
          <w:szCs w:val="28"/>
          <w:highlight w:val="none"/>
        </w:rPr>
        <w:t>质保期内，若产品出现质量问题，</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在收到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或使用</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通知后24小时内必须到达现场进行</w:t>
      </w:r>
      <w:r>
        <w:rPr>
          <w:rFonts w:hint="eastAsia" w:ascii="仿宋" w:hAnsi="仿宋" w:eastAsia="仿宋" w:cs="仿宋"/>
          <w:color w:val="auto"/>
          <w:sz w:val="28"/>
          <w:szCs w:val="28"/>
          <w:highlight w:val="none"/>
          <w:lang w:val="en-US" w:eastAsia="zh-CN"/>
        </w:rPr>
        <w:t>处理</w:t>
      </w:r>
      <w:r>
        <w:rPr>
          <w:rFonts w:hint="eastAsia" w:ascii="仿宋" w:hAnsi="仿宋" w:eastAsia="仿宋" w:cs="仿宋"/>
          <w:color w:val="auto"/>
          <w:sz w:val="28"/>
          <w:szCs w:val="28"/>
          <w:highlight w:val="none"/>
        </w:rPr>
        <w:t>。如甲乙双方共同确认非</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原因导致问题发生，</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仍应提供</w:t>
      </w:r>
      <w:r>
        <w:rPr>
          <w:rFonts w:hint="eastAsia" w:ascii="仿宋" w:hAnsi="仿宋" w:eastAsia="仿宋" w:cs="仿宋"/>
          <w:color w:val="auto"/>
          <w:sz w:val="28"/>
          <w:szCs w:val="28"/>
          <w:highlight w:val="none"/>
          <w:lang w:val="en-US" w:eastAsia="zh-CN"/>
        </w:rPr>
        <w:t>售后</w:t>
      </w:r>
      <w:r>
        <w:rPr>
          <w:rFonts w:hint="eastAsia" w:ascii="仿宋" w:hAnsi="仿宋" w:eastAsia="仿宋" w:cs="仿宋"/>
          <w:color w:val="auto"/>
          <w:sz w:val="28"/>
          <w:szCs w:val="28"/>
          <w:highlight w:val="none"/>
        </w:rPr>
        <w:t>服务，相关费用经双方商定后由</w:t>
      </w:r>
      <w:r>
        <w:rPr>
          <w:rFonts w:hint="eastAsia" w:ascii="仿宋" w:hAnsi="仿宋" w:eastAsia="仿宋" w:cs="仿宋"/>
          <w:color w:val="auto"/>
          <w:sz w:val="28"/>
          <w:szCs w:val="28"/>
          <w:highlight w:val="none"/>
          <w:lang w:val="en-US" w:eastAsia="zh-CN"/>
        </w:rPr>
        <w:t>责任</w:t>
      </w:r>
      <w:r>
        <w:rPr>
          <w:rFonts w:hint="eastAsia" w:ascii="仿宋" w:hAnsi="仿宋" w:eastAsia="仿宋" w:cs="仿宋"/>
          <w:color w:val="auto"/>
          <w:sz w:val="28"/>
          <w:szCs w:val="28"/>
          <w:highlight w:val="none"/>
          <w:lang w:eastAsia="zh-CN"/>
        </w:rPr>
        <w:t>方</w:t>
      </w:r>
      <w:r>
        <w:rPr>
          <w:rFonts w:hint="eastAsia" w:ascii="仿宋" w:hAnsi="仿宋" w:eastAsia="仿宋" w:cs="仿宋"/>
          <w:color w:val="auto"/>
          <w:sz w:val="28"/>
          <w:szCs w:val="28"/>
          <w:highlight w:val="none"/>
        </w:rPr>
        <w:t>承担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甲方负责协调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未准时到达现场，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可自行处理，</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同时承担违约责任。</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自行处理所耗费用</w:t>
      </w:r>
      <w:r>
        <w:rPr>
          <w:rFonts w:hint="eastAsia" w:ascii="仿宋" w:hAnsi="仿宋" w:eastAsia="仿宋" w:cs="仿宋"/>
          <w:color w:val="auto"/>
          <w:sz w:val="28"/>
          <w:szCs w:val="28"/>
          <w:highlight w:val="none"/>
          <w:lang w:eastAsia="zh-CN"/>
        </w:rPr>
        <w:t>另加</w:t>
      </w:r>
      <w:r>
        <w:rPr>
          <w:rFonts w:hint="eastAsia" w:ascii="仿宋" w:hAnsi="仿宋" w:eastAsia="仿宋" w:cs="仿宋"/>
          <w:color w:val="auto"/>
          <w:sz w:val="28"/>
          <w:szCs w:val="28"/>
          <w:highlight w:val="none"/>
          <w:lang w:val="en-US" w:eastAsia="zh-CN"/>
        </w:rPr>
        <w:t>50%</w:t>
      </w:r>
      <w:r>
        <w:rPr>
          <w:rFonts w:hint="eastAsia" w:ascii="仿宋" w:hAnsi="仿宋" w:eastAsia="仿宋" w:cs="仿宋"/>
          <w:color w:val="auto"/>
          <w:sz w:val="28"/>
          <w:szCs w:val="28"/>
          <w:highlight w:val="none"/>
        </w:rPr>
        <w:t>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收到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通知之日起</w:t>
      </w:r>
      <w:r>
        <w:rPr>
          <w:rFonts w:hint="eastAsia" w:ascii="仿宋" w:hAnsi="仿宋" w:eastAsia="仿宋" w:cs="仿宋"/>
          <w:color w:val="auto"/>
          <w:sz w:val="28"/>
          <w:szCs w:val="28"/>
          <w:highlight w:val="none"/>
          <w:lang w:val="en-US" w:eastAsia="zh-CN"/>
        </w:rPr>
        <w:t>10个</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eastAsia="zh-CN"/>
        </w:rPr>
        <w:t>历天</w:t>
      </w:r>
      <w:r>
        <w:rPr>
          <w:rFonts w:hint="eastAsia" w:ascii="仿宋" w:hAnsi="仿宋" w:eastAsia="仿宋" w:cs="仿宋"/>
          <w:color w:val="auto"/>
          <w:sz w:val="28"/>
          <w:szCs w:val="28"/>
          <w:highlight w:val="none"/>
        </w:rPr>
        <w:t>内支付</w:t>
      </w:r>
      <w:r>
        <w:rPr>
          <w:rFonts w:hint="eastAsia" w:ascii="仿宋" w:hAnsi="仿宋" w:eastAsia="仿宋" w:cs="仿宋"/>
          <w:color w:val="auto"/>
          <w:sz w:val="28"/>
          <w:szCs w:val="28"/>
          <w:highlight w:val="none"/>
          <w:lang w:eastAsia="zh-CN"/>
        </w:rPr>
        <w:t>给甲方</w:t>
      </w:r>
      <w:r>
        <w:rPr>
          <w:rFonts w:hint="eastAsia" w:ascii="仿宋" w:hAnsi="仿宋" w:eastAsia="仿宋" w:cs="仿宋"/>
          <w:color w:val="auto"/>
          <w:sz w:val="28"/>
          <w:szCs w:val="28"/>
          <w:highlight w:val="none"/>
        </w:rPr>
        <w:t>，因此造成的损失由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负责全额赔偿。</w:t>
      </w:r>
      <w:r>
        <w:rPr>
          <w:rFonts w:hint="eastAsia" w:ascii="仿宋" w:hAnsi="仿宋" w:eastAsia="仿宋" w:cs="仿宋"/>
          <w:color w:val="auto"/>
          <w:sz w:val="28"/>
          <w:szCs w:val="28"/>
          <w:highlight w:val="none"/>
          <w:lang w:eastAsia="zh-CN"/>
        </w:rPr>
        <w:t>乙方未在</w:t>
      </w:r>
      <w:r>
        <w:rPr>
          <w:rFonts w:hint="eastAsia" w:ascii="仿宋" w:hAnsi="仿宋" w:eastAsia="仿宋" w:cs="仿宋"/>
          <w:color w:val="auto"/>
          <w:sz w:val="28"/>
          <w:szCs w:val="28"/>
          <w:highlight w:val="none"/>
          <w:lang w:val="en-US" w:eastAsia="zh-CN"/>
        </w:rPr>
        <w:t>24小时内到达现场的，出现的质量问题一律视为乙方原因导致。</w:t>
      </w:r>
      <w:r>
        <w:rPr>
          <w:rFonts w:hint="eastAsia" w:ascii="仿宋" w:hAnsi="仿宋" w:eastAsia="仿宋" w:cs="仿宋"/>
          <w:color w:val="auto"/>
          <w:sz w:val="28"/>
          <w:szCs w:val="28"/>
          <w:highlight w:val="none"/>
        </w:rPr>
        <w:t>质保期内，由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原因造成的缺陷和事故，</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w:t>
      </w:r>
      <w:r>
        <w:rPr>
          <w:rFonts w:hint="eastAsia" w:ascii="仿宋" w:hAnsi="仿宋" w:eastAsia="仿宋" w:cs="仿宋"/>
          <w:color w:val="auto"/>
          <w:sz w:val="28"/>
          <w:szCs w:val="28"/>
          <w:highlight w:val="none"/>
          <w:lang w:eastAsia="zh-CN"/>
        </w:rPr>
        <w:t>缺陷和事故所产生的</w:t>
      </w:r>
      <w:r>
        <w:rPr>
          <w:rFonts w:hint="eastAsia" w:ascii="仿宋" w:hAnsi="仿宋" w:eastAsia="仿宋" w:cs="仿宋"/>
          <w:color w:val="auto"/>
          <w:sz w:val="28"/>
          <w:szCs w:val="28"/>
          <w:highlight w:val="none"/>
        </w:rPr>
        <w:t>全部费用。如</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不维修也不承担费用，由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承担违约责任及</w:t>
      </w:r>
      <w:r>
        <w:rPr>
          <w:rFonts w:hint="eastAsia" w:ascii="仿宋" w:hAnsi="仿宋" w:eastAsia="仿宋" w:cs="仿宋"/>
          <w:color w:val="auto"/>
          <w:sz w:val="28"/>
          <w:szCs w:val="28"/>
          <w:highlight w:val="none"/>
          <w:lang w:eastAsia="zh-CN"/>
        </w:rPr>
        <w:t>赔偿损失的</w:t>
      </w:r>
      <w:r>
        <w:rPr>
          <w:rFonts w:hint="eastAsia" w:ascii="仿宋" w:hAnsi="仿宋" w:eastAsia="仿宋" w:cs="仿宋"/>
          <w:color w:val="auto"/>
          <w:sz w:val="28"/>
          <w:szCs w:val="28"/>
          <w:highlight w:val="none"/>
        </w:rPr>
        <w:t>责任。</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维修并承担相应费用后，不免除对</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/第三方的损失赔偿责任。</w:t>
      </w:r>
    </w:p>
    <w:p w14:paraId="2C602106">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6.4</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或使用</w:t>
      </w:r>
      <w:r>
        <w:rPr>
          <w:rFonts w:hint="eastAsia" w:ascii="仿宋" w:hAnsi="仿宋" w:eastAsia="仿宋" w:cs="仿宋"/>
          <w:color w:val="auto"/>
          <w:sz w:val="28"/>
          <w:szCs w:val="28"/>
          <w:highlight w:val="none"/>
          <w:lang w:eastAsia="zh-CN"/>
        </w:rPr>
        <w:t>单位在</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eastAsia="zh-CN"/>
        </w:rPr>
        <w:t>使用过程</w:t>
      </w:r>
      <w:r>
        <w:rPr>
          <w:rFonts w:hint="eastAsia" w:ascii="仿宋" w:hAnsi="仿宋" w:eastAsia="仿宋" w:cs="仿宋"/>
          <w:color w:val="auto"/>
          <w:sz w:val="28"/>
          <w:szCs w:val="28"/>
          <w:highlight w:val="none"/>
        </w:rPr>
        <w:t>中遇到的问题，</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须随时提供电话答疑（答疑负责人及其电话在质保书里注明）。凡与产品相关的一切问题（如操作、产品的保养及维护等）都属于答疑范围</w:t>
      </w:r>
      <w:r>
        <w:rPr>
          <w:rFonts w:hint="eastAsia" w:ascii="仿宋" w:hAnsi="仿宋" w:eastAsia="仿宋" w:cs="仿宋"/>
          <w:color w:val="auto"/>
          <w:sz w:val="28"/>
          <w:szCs w:val="28"/>
          <w:highlight w:val="none"/>
          <w:lang w:eastAsia="zh-CN"/>
        </w:rPr>
        <w:t>，所需费用已包含在合同</w:t>
      </w:r>
      <w:r>
        <w:rPr>
          <w:rFonts w:hint="eastAsia" w:ascii="仿宋" w:hAnsi="仿宋" w:eastAsia="仿宋" w:cs="仿宋"/>
          <w:color w:val="auto"/>
          <w:sz w:val="28"/>
          <w:szCs w:val="28"/>
          <w:highlight w:val="none"/>
          <w:lang w:val="en-US" w:eastAsia="zh-CN"/>
        </w:rPr>
        <w:t>单</w:t>
      </w:r>
      <w:r>
        <w:rPr>
          <w:rFonts w:hint="eastAsia" w:ascii="仿宋" w:hAnsi="仿宋" w:eastAsia="仿宋" w:cs="仿宋"/>
          <w:color w:val="auto"/>
          <w:sz w:val="28"/>
          <w:szCs w:val="28"/>
          <w:highlight w:val="none"/>
          <w:lang w:eastAsia="zh-CN"/>
        </w:rPr>
        <w:t>价中，不另计费。</w:t>
      </w:r>
    </w:p>
    <w:p w14:paraId="1E2049F3">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6.5</w:t>
      </w:r>
      <w:r>
        <w:rPr>
          <w:rFonts w:hint="eastAsia" w:ascii="仿宋" w:hAnsi="仿宋" w:eastAsia="仿宋" w:cs="仿宋"/>
          <w:color w:val="auto"/>
          <w:sz w:val="28"/>
          <w:szCs w:val="28"/>
          <w:highlight w:val="none"/>
        </w:rPr>
        <w:t>质保期</w:t>
      </w:r>
      <w:r>
        <w:rPr>
          <w:rFonts w:hint="eastAsia" w:ascii="仿宋" w:hAnsi="仿宋" w:eastAsia="仿宋" w:cs="仿宋"/>
          <w:color w:val="auto"/>
          <w:sz w:val="28"/>
          <w:szCs w:val="28"/>
          <w:highlight w:val="none"/>
          <w:lang w:val="en-US" w:eastAsia="zh-CN"/>
        </w:rPr>
        <w:t>届满后</w:t>
      </w:r>
      <w:r>
        <w:rPr>
          <w:rFonts w:hint="eastAsia" w:ascii="仿宋" w:hAnsi="仿宋" w:eastAsia="仿宋" w:cs="仿宋"/>
          <w:color w:val="auto"/>
          <w:sz w:val="28"/>
          <w:szCs w:val="28"/>
          <w:highlight w:val="none"/>
        </w:rPr>
        <w:t>，甲乙双方对产品进行全面检查。</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自费负责对检查中发现的问题予以及时处理和解决。如产品在</w:t>
      </w:r>
      <w:r>
        <w:rPr>
          <w:rFonts w:hint="eastAsia" w:ascii="仿宋" w:hAnsi="仿宋" w:eastAsia="仿宋" w:cs="仿宋"/>
          <w:color w:val="auto"/>
          <w:sz w:val="28"/>
          <w:szCs w:val="28"/>
          <w:highlight w:val="none"/>
          <w:lang w:val="en-US" w:eastAsia="zh-CN"/>
        </w:rPr>
        <w:t>质保</w:t>
      </w:r>
      <w:r>
        <w:rPr>
          <w:rFonts w:hint="eastAsia" w:ascii="仿宋" w:hAnsi="仿宋" w:eastAsia="仿宋" w:cs="仿宋"/>
          <w:color w:val="auto"/>
          <w:sz w:val="28"/>
          <w:szCs w:val="28"/>
          <w:highlight w:val="none"/>
        </w:rPr>
        <w:t>期满后发现乙方原因导致的质量问题或缺陷，乙方仍须承担修复责任，必须按甲方要求修复并赔偿甲方因此遭受的损失，否则甲方有权另行安排第三方修复，同时乙方同意甲方从与乙方签订的其他合同款项中直接扣款用于抵扣上述修复费用和损失。甲乙双方特别约定本条款不因本合同终止而失效。</w:t>
      </w:r>
    </w:p>
    <w:p w14:paraId="6DFE7F5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bookmarkStart w:id="70" w:name="_Toc28932"/>
      <w:bookmarkStart w:id="71" w:name="_Toc22390"/>
      <w:bookmarkStart w:id="72" w:name="_Toc23822"/>
      <w:bookmarkStart w:id="73" w:name="_Toc30305"/>
      <w:bookmarkStart w:id="74" w:name="_Toc24834"/>
      <w:r>
        <w:rPr>
          <w:rFonts w:hint="eastAsia" w:ascii="仿宋" w:hAnsi="仿宋" w:eastAsia="仿宋" w:cs="仿宋"/>
          <w:b/>
          <w:bCs/>
          <w:color w:val="auto"/>
          <w:sz w:val="28"/>
          <w:szCs w:val="28"/>
          <w:highlight w:val="none"/>
          <w:lang w:val="en-US" w:eastAsia="zh-CN"/>
        </w:rPr>
        <w:t>第七章、违约责任</w:t>
      </w:r>
      <w:bookmarkEnd w:id="70"/>
      <w:bookmarkEnd w:id="71"/>
      <w:bookmarkEnd w:id="72"/>
      <w:bookmarkEnd w:id="73"/>
      <w:bookmarkEnd w:id="74"/>
    </w:p>
    <w:p w14:paraId="481C698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7.1</w:t>
      </w:r>
      <w:r>
        <w:rPr>
          <w:rFonts w:hint="eastAsia" w:ascii="仿宋" w:hAnsi="仿宋" w:eastAsia="仿宋" w:cs="仿宋"/>
          <w:color w:val="auto"/>
          <w:sz w:val="28"/>
          <w:highlight w:val="none"/>
          <w:u w:val="none"/>
          <w:lang w:eastAsia="zh-CN"/>
        </w:rPr>
        <w:t>乙方逾期交齐任意一批合格产品（含随品、配件、产品说明书、操作手册、质量证明资料等）给甲方的，每逾期一个日历天（不可抗力因素除外），属乙方违约，乙方向甲方支付金额等于合同暂定总价1%的违约金且不少于壹仟元；逾期五个日历天及以上的，属乙方严重违约，甲方有权不通知乙方即另行向他人购销该批产品，同时甲方有权单方解除合同，乙方还应赔偿甲方因此遭受的损失。</w:t>
      </w:r>
    </w:p>
    <w:p w14:paraId="2D13D92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7.2乙方产品出现质量问题或缺陷的，除按本合同约定进行更换、维修外，每出现一次，乙方向甲方支付不少于壹仟元违约金，且甲方有权退货、解除合同，产生的全部责任和经济损失由乙方承担；因乙方产品问题造成的人身、财产损害赔偿责任或刑事、行政责任等均由乙方承担</w:t>
      </w:r>
      <w:r>
        <w:rPr>
          <w:rFonts w:hint="eastAsia" w:ascii="仿宋" w:hAnsi="仿宋" w:eastAsia="仿宋" w:cs="仿宋"/>
          <w:color w:val="auto"/>
          <w:sz w:val="28"/>
          <w:highlight w:val="none"/>
          <w:u w:val="none"/>
          <w:lang w:eastAsia="zh-CN"/>
        </w:rPr>
        <w:t>。</w:t>
      </w:r>
    </w:p>
    <w:p w14:paraId="5366BDA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7.3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456B042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7.4</w:t>
      </w:r>
      <w:r>
        <w:rPr>
          <w:rFonts w:hint="default" w:ascii="仿宋" w:hAnsi="仿宋" w:eastAsia="仿宋" w:cs="仿宋"/>
          <w:b w:val="0"/>
          <w:bCs w:val="0"/>
          <w:color w:val="auto"/>
          <w:sz w:val="28"/>
          <w:highlight w:val="none"/>
          <w:u w:val="none"/>
          <w:lang w:val="en-US" w:eastAsia="zh-CN"/>
        </w:rPr>
        <w:t>乙方在履约过程中如存在弄虚作假等欺骗行为，甲方有权要求乙方赔偿因此造成的全部实际损失（包括但不限于调查费用、律师费、第三方索赔等）。同时，乙方应按以下标准向甲方支付违约金：违约金金额为合同暂定总价的5%</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3D746B0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u w:val="none"/>
          <w:lang w:val="en-US" w:eastAsia="zh-CN"/>
        </w:rPr>
        <w:t>7.5</w:t>
      </w:r>
      <w:r>
        <w:rPr>
          <w:rFonts w:hint="eastAsia" w:ascii="仿宋" w:hAnsi="仿宋" w:eastAsia="仿宋" w:cs="仿宋"/>
          <w:b w:val="0"/>
          <w:bCs w:val="0"/>
          <w:color w:val="auto"/>
          <w:sz w:val="28"/>
          <w:highlight w:val="none"/>
          <w:u w:val="none"/>
          <w:lang w:val="en-US" w:eastAsia="zh-CN"/>
        </w:rPr>
        <w:t>如乙方无正当理由未按约定供货，应按以下标准承担违约责任：</w:t>
      </w:r>
    </w:p>
    <w:p w14:paraId="079AF60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7.5.1首次违约：支付相当于当次供货金额10%的违约金；</w:t>
      </w:r>
    </w:p>
    <w:p w14:paraId="7896199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7.5.2累计违约达3次或单次违约超过3日：支付相当于当次供货金额30%的违约金，且甲方有权解除合同。</w:t>
      </w:r>
    </w:p>
    <w:p w14:paraId="7BD1266A">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上述第7.5条违约金总额不超过合同总金额的20%。</w:t>
      </w:r>
    </w:p>
    <w:p w14:paraId="46304D4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7.6乙方违反本合同任何约定均属违约，乙方除按相应条款承担包括但不限于上述违约责任外，甲方可随时单方解除合同，同时乙方赔偿甲方因此遭受的损失。</w:t>
      </w:r>
    </w:p>
    <w:p w14:paraId="58E62B1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7.7乙方违反本合同约定给甲方造成损失的，除按本合同约定承担违约责任外，甲方有权直接从任意合同款中直接扣除乙方应承担的违约金、罚款等费用，如合同款及乙方支付的违约金、罚款不足补偿甲方损失，乙方在甲方通知之日起七个日历天内补齐给甲方，且甲方向乙方追偿责任所产生的律师费、差旅费、诉讼费、鉴定费、财产保全及相关担保费由乙方全额承担。</w:t>
      </w:r>
    </w:p>
    <w:p w14:paraId="61D054F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7.8基于本项目的特殊性，乙方已充分了解其供货责任并自愿承担相应风险，合同所约定的违约金标准经双方友好协商确定，乙方同意不对违约金标准提出任何主张或抗辩。</w:t>
      </w:r>
    </w:p>
    <w:p w14:paraId="7DAEF73F">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7.9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中对争议管辖、赔偿和违约责任等文字内容与本合同约定不一致的，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以本合同为准，但如单据、小票的文字内容所述乙方赔偿和违约责任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227AF4B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7.10</w:t>
      </w:r>
      <w:r>
        <w:rPr>
          <w:rFonts w:hint="default" w:ascii="仿宋" w:hAnsi="仿宋" w:eastAsia="仿宋" w:cs="仿宋"/>
          <w:b w:val="0"/>
          <w:bCs w:val="0"/>
          <w:color w:val="auto"/>
          <w:sz w:val="28"/>
          <w:highlight w:val="none"/>
          <w:u w:val="none"/>
          <w:lang w:val="en-US" w:eastAsia="zh-CN"/>
        </w:rPr>
        <w:t>本合同履行过程中，因乙方原因造成产品质量、安全文明措施等无法满足甲方及规范要求的，乙方须提供不属于其责任的证明并得到甲方的书面认可，否则乙方违约并</w:t>
      </w:r>
      <w:r>
        <w:rPr>
          <w:rFonts w:hint="eastAsia" w:ascii="仿宋" w:hAnsi="仿宋" w:eastAsia="仿宋" w:cs="仿宋"/>
          <w:b w:val="0"/>
          <w:bCs w:val="0"/>
          <w:color w:val="auto"/>
          <w:sz w:val="28"/>
          <w:highlight w:val="none"/>
          <w:u w:val="none"/>
          <w:lang w:val="en-US" w:eastAsia="zh-CN"/>
        </w:rPr>
        <w:t>支付</w:t>
      </w:r>
      <w:r>
        <w:rPr>
          <w:rFonts w:hint="default" w:ascii="仿宋" w:hAnsi="仿宋" w:eastAsia="仿宋" w:cs="仿宋"/>
          <w:b w:val="0"/>
          <w:bCs w:val="0"/>
          <w:color w:val="auto"/>
          <w:sz w:val="28"/>
          <w:highlight w:val="none"/>
          <w:u w:val="none"/>
          <w:lang w:val="en-US" w:eastAsia="zh-CN"/>
        </w:rPr>
        <w:t>贰仟元以上/次的违约金，全部责任、费用和损失由乙方承担。如果乙方因此对本项目停止供货，属严重违约，乙方支付不低于壹万元/次的违约金给甲方，甲方可以从乙方任一笔款项中扣除。同时，甲方有权解除合同，产生的全部损失由乙方承担</w:t>
      </w:r>
      <w:r>
        <w:rPr>
          <w:rFonts w:hint="eastAsia" w:ascii="仿宋" w:hAnsi="仿宋" w:eastAsia="仿宋" w:cs="仿宋"/>
          <w:b w:val="0"/>
          <w:bCs w:val="0"/>
          <w:color w:val="auto"/>
          <w:sz w:val="28"/>
          <w:highlight w:val="none"/>
          <w:u w:val="none"/>
          <w:lang w:eastAsia="zh-CN"/>
        </w:rPr>
        <w:t>。</w:t>
      </w:r>
    </w:p>
    <w:p w14:paraId="686B747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7.11合同有效期内，乙方无条件执行甲方与建设单位签订的本项目施工现场管理规定，因乙方原因导致建设单位或其他部门对甲方进行处罚扣款的，乙方按该处罚金额的2倍向甲方支付违约金。</w:t>
      </w:r>
    </w:p>
    <w:p w14:paraId="70C2DAE8">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7.12</w:t>
      </w:r>
      <w:r>
        <w:rPr>
          <w:rFonts w:hint="default" w:ascii="仿宋" w:hAnsi="仿宋" w:eastAsia="仿宋" w:cs="仿宋"/>
          <w:b w:val="0"/>
          <w:bCs w:val="0"/>
          <w:color w:val="auto"/>
          <w:sz w:val="28"/>
          <w:highlight w:val="none"/>
          <w:u w:val="none"/>
          <w:lang w:val="en-US" w:eastAsia="zh-CN"/>
        </w:rPr>
        <w:t>乙方未及时发放工人工资或及时支付货款，导致影响甲方或本项目的，每发生一次劳资纠纷或货款纠纷事件，乙方向甲方另行支付违约金叁万元；若因乙方拖欠工人工资或货款，导致媒体曝光或政府部门介入的，乙方另向甲方支付违约金不少于</w:t>
      </w:r>
      <w:r>
        <w:rPr>
          <w:rFonts w:hint="eastAsia" w:ascii="仿宋" w:hAnsi="仿宋" w:eastAsia="仿宋" w:cs="仿宋"/>
          <w:b w:val="0"/>
          <w:bCs w:val="0"/>
          <w:color w:val="auto"/>
          <w:sz w:val="28"/>
          <w:highlight w:val="none"/>
          <w:u w:val="none"/>
          <w:lang w:val="en-US" w:eastAsia="zh-CN"/>
        </w:rPr>
        <w:t>十万</w:t>
      </w:r>
      <w:r>
        <w:rPr>
          <w:rFonts w:hint="default" w:ascii="仿宋" w:hAnsi="仿宋" w:eastAsia="仿宋" w:cs="仿宋"/>
          <w:b w:val="0"/>
          <w:bCs w:val="0"/>
          <w:color w:val="auto"/>
          <w:sz w:val="28"/>
          <w:highlight w:val="none"/>
          <w:u w:val="none"/>
          <w:lang w:val="en-US" w:eastAsia="zh-CN"/>
        </w:rPr>
        <w:t>元/次。</w:t>
      </w:r>
    </w:p>
    <w:p w14:paraId="7386DA2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default" w:ascii="仿宋" w:hAnsi="仿宋" w:eastAsia="仿宋" w:cs="仿宋"/>
          <w:b w:val="0"/>
          <w:bCs w:val="0"/>
          <w:color w:val="auto"/>
          <w:sz w:val="28"/>
          <w:highlight w:val="none"/>
          <w:u w:val="none"/>
          <w:lang w:val="en-US" w:eastAsia="zh-CN"/>
        </w:rPr>
        <w:t>无论乙方实际是否欠薪或欠货款，乙方人员或供应商每发起一次欠薪或欠货款纠纷，涉及甲方的，乙方均须向甲方支付违约金十万元/次；若因此导致媒体曝光或政府部门介入，乙方须另向甲方支付违约金十万元/次。</w:t>
      </w:r>
    </w:p>
    <w:p w14:paraId="476FC15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7.13</w:t>
      </w:r>
      <w:r>
        <w:rPr>
          <w:rFonts w:hint="default" w:ascii="仿宋" w:hAnsi="仿宋" w:eastAsia="仿宋" w:cs="仿宋"/>
          <w:b w:val="0"/>
          <w:bCs w:val="0"/>
          <w:color w:val="auto"/>
          <w:sz w:val="28"/>
          <w:highlight w:val="none"/>
          <w:u w:val="none"/>
          <w:lang w:val="en-US" w:eastAsia="zh-CN"/>
        </w:rPr>
        <w:t>因乙方原因导致甲方被起诉的，乙方除赔偿甲方损失外，甲方每被起诉一次，乙方向甲方支付五万元违约金。若乙方导致甲方资金账户被冻结，乙方还须按同期全国银行间同业拆借中心公布的贷款市场报价利率LPR的4倍向甲方支付利息，乙方同时赔偿甲方遭受的所有损失，并按账户被冻结次数每次额外向甲方</w:t>
      </w:r>
      <w:r>
        <w:rPr>
          <w:rFonts w:hint="eastAsia" w:ascii="仿宋" w:hAnsi="仿宋" w:eastAsia="仿宋" w:cs="仿宋"/>
          <w:b w:val="0"/>
          <w:bCs w:val="0"/>
          <w:color w:val="auto"/>
          <w:sz w:val="28"/>
          <w:highlight w:val="none"/>
          <w:u w:val="none"/>
          <w:lang w:val="en-US" w:eastAsia="zh-CN"/>
        </w:rPr>
        <w:t>支付</w:t>
      </w:r>
      <w:r>
        <w:rPr>
          <w:rFonts w:hint="default" w:ascii="仿宋" w:hAnsi="仿宋" w:eastAsia="仿宋" w:cs="仿宋"/>
          <w:b w:val="0"/>
          <w:bCs w:val="0"/>
          <w:color w:val="auto"/>
          <w:sz w:val="28"/>
          <w:highlight w:val="none"/>
          <w:u w:val="none"/>
          <w:lang w:val="en-US" w:eastAsia="zh-CN"/>
        </w:rPr>
        <w:t>50000元违约金。</w:t>
      </w:r>
    </w:p>
    <w:p w14:paraId="394D9F7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7.14乙方与第三人签订的劳动、租赁、买卖等一切合同，与甲方无关。乙方在本合同有效期内发生的与第三方一切合同债务，由乙方全责处理并承担责任。</w:t>
      </w:r>
    </w:p>
    <w:p w14:paraId="2043E2A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7.15乙方与第三方发生的任何经济往来、债务纠纷均与甲方无关。乙方须保证所供产品无权属上的瑕疵且无知识产权的争议，若因此对甲方造成损失，乙方全责赔偿。</w:t>
      </w:r>
    </w:p>
    <w:p w14:paraId="2D9F77CE">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7.16乙方负责协调、处理产品供货涉及的各类关系（包括但不限于政府主管部门、周边居民等关系），确保进退场及施工过程中合法、合规、不扰民，相关费用已包含在合同单价内，不另行计取。</w:t>
      </w:r>
    </w:p>
    <w:p w14:paraId="224147E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7.17乙方原因造成工程质量达不到合同约定的质量标准或出现影响使用功能和工程结构安全，即使通过技术整改措施仍然无法达到设计要求等永久质量问题的，无论是否在保修期内，乙方须无条件返工至合格为止，并赔偿甲方因此遭受的一切损失。若该永久质量问题无法满足设计及合同约定质量标准，但甲方和建设单位接受现状质量的，乙方仍须承担违约责任，向甲方支付不合格部位造价20%的违约金。本条所述违约金，甲方有权从任意应付乙方的款项中直接扣除，应付乙方的款项不足以赔偿甲方损失的，由乙方在甲方通知起5个日历天内向甲方付清差额。</w:t>
      </w:r>
    </w:p>
    <w:p w14:paraId="5DCA5AC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color w:val="auto"/>
          <w:sz w:val="28"/>
          <w:szCs w:val="28"/>
          <w:highlight w:val="none"/>
        </w:rPr>
      </w:pPr>
      <w:bookmarkStart w:id="75" w:name="_Toc29740"/>
      <w:bookmarkStart w:id="76" w:name="_Toc15930"/>
      <w:bookmarkStart w:id="77" w:name="_Toc310"/>
      <w:bookmarkStart w:id="78" w:name="_Toc6546"/>
      <w:bookmarkStart w:id="79" w:name="_Toc23375"/>
      <w:bookmarkStart w:id="80" w:name="_Toc12904"/>
      <w:bookmarkStart w:id="81" w:name="_Toc28370"/>
      <w:r>
        <w:rPr>
          <w:rFonts w:hint="eastAsia" w:ascii="仿宋" w:hAnsi="仿宋" w:eastAsia="仿宋" w:cs="仿宋"/>
          <w:b/>
          <w:bCs/>
          <w:color w:val="auto"/>
          <w:sz w:val="28"/>
          <w:szCs w:val="28"/>
          <w:highlight w:val="none"/>
          <w:lang w:val="en-US" w:eastAsia="zh-CN"/>
        </w:rPr>
        <w:t>第八章、廉洁条款</w:t>
      </w:r>
      <w:bookmarkEnd w:id="75"/>
      <w:bookmarkEnd w:id="76"/>
      <w:bookmarkEnd w:id="77"/>
      <w:bookmarkEnd w:id="78"/>
      <w:bookmarkEnd w:id="79"/>
      <w:bookmarkEnd w:id="80"/>
      <w:bookmarkEnd w:id="81"/>
      <w:r>
        <w:rPr>
          <w:rFonts w:hint="eastAsia" w:ascii="仿宋" w:hAnsi="仿宋" w:eastAsia="仿宋" w:cs="仿宋"/>
          <w:b/>
          <w:bCs/>
          <w:color w:val="auto"/>
          <w:sz w:val="28"/>
          <w:szCs w:val="28"/>
          <w:highlight w:val="none"/>
          <w:lang w:val="en-US" w:eastAsia="zh-CN"/>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ab/>
      </w:r>
    </w:p>
    <w:p w14:paraId="72F7692B">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bookmarkStart w:id="82" w:name="_Toc25006"/>
      <w:bookmarkStart w:id="83" w:name="_Toc15812"/>
      <w:bookmarkStart w:id="84" w:name="_Toc7857"/>
      <w:bookmarkStart w:id="85" w:name="_Toc9972"/>
      <w:bookmarkStart w:id="86" w:name="_Toc2216"/>
      <w:bookmarkStart w:id="87" w:name="_Toc9078"/>
      <w:r>
        <w:rPr>
          <w:rFonts w:hint="eastAsia" w:ascii="仿宋" w:hAnsi="仿宋" w:eastAsia="仿宋" w:cs="仿宋"/>
          <w:color w:val="auto"/>
          <w:sz w:val="28"/>
          <w:highlight w:val="none"/>
          <w:lang w:val="en-US" w:eastAsia="zh-CN"/>
        </w:rPr>
        <w:t>8.1乙方在与甲方合作期间（包括本合同招采、签约、履约期间），不得向甲方职员提供请吃、送礼、旅游、色情服务、行贿、回扣或其他</w:t>
      </w:r>
      <w:r>
        <w:rPr>
          <w:rFonts w:hint="eastAsia" w:ascii="仿宋" w:hAnsi="仿宋" w:eastAsia="仿宋" w:cs="仿宋"/>
          <w:color w:val="auto"/>
          <w:sz w:val="28"/>
          <w:szCs w:val="28"/>
          <w:highlight w:val="none"/>
          <w:lang w:eastAsia="zh-CN"/>
        </w:rPr>
        <w:t>非法利益</w:t>
      </w:r>
      <w:r>
        <w:rPr>
          <w:rFonts w:hint="eastAsia" w:ascii="仿宋" w:hAnsi="仿宋" w:eastAsia="仿宋" w:cs="仿宋"/>
          <w:color w:val="auto"/>
          <w:sz w:val="28"/>
          <w:highlight w:val="none"/>
          <w:lang w:val="en-US" w:eastAsia="zh-CN"/>
        </w:rPr>
        <w:t>，如有违反，乙方每次向甲方支付人民币十万元作为违约金（甲方可从任意一笔合同款中扣款），造成甲方经济或其他损失的，乙方全额赔偿，且甲方有权单方解除本合同。</w:t>
      </w:r>
    </w:p>
    <w:p w14:paraId="508F4FF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8.2甲乙双方管理人员有权拒绝执行合同以外的违法要求。甲方发现乙方向甲方人员或甲方委托的其他人员行贿或输送不正当利益的，甲方有权对乙方收取违约金并单方解除合同，对所发生的工程量/工作量不予结算及不支付费用。</w:t>
      </w:r>
    </w:p>
    <w:p w14:paraId="16F9EC7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8.3如甲方发现乙方可能存在违反廉洁条款的行为，甲方有权暂扣违约金/争议材料款/处罚款等对应等额的合同款，直至调查完毕后根据调查结果再作处理，甲方暂不付款的行为不违约。</w:t>
      </w:r>
    </w:p>
    <w:bookmarkEnd w:id="82"/>
    <w:p w14:paraId="2086D5C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第九章、其他</w:t>
      </w:r>
      <w:bookmarkEnd w:id="83"/>
      <w:bookmarkEnd w:id="84"/>
      <w:bookmarkEnd w:id="85"/>
      <w:bookmarkEnd w:id="86"/>
      <w:bookmarkEnd w:id="87"/>
    </w:p>
    <w:p w14:paraId="367B0B99">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9.1合同单价及合同条款已考虑突发疫情等流行疾病影响因素，乙方不以疫情防控为由要求甲方对合同单价、合同结算办法及工期等合同条款进行调整，防疫措施的一切费用已包含在合同单价内，不另计费。</w:t>
      </w:r>
    </w:p>
    <w:p w14:paraId="27E7EFE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9.2乙方人员在合同有效期内发生的安全事故，均由乙方承担费用及损失，对甲方造成损失的则由乙方赔偿甲方。</w:t>
      </w:r>
    </w:p>
    <w:p w14:paraId="75129B0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9.3甲、乙双方对产品质量有争议的，由产品使用地点的、国家规定的质量检测机构鉴定，所需费用及因此造成的损失由责任方承担，如双方均有</w:t>
      </w:r>
      <w:r>
        <w:rPr>
          <w:rFonts w:hint="eastAsia" w:ascii="仿宋" w:hAnsi="仿宋" w:eastAsia="仿宋" w:cs="仿宋"/>
          <w:color w:val="auto"/>
          <w:sz w:val="28"/>
          <w:szCs w:val="28"/>
          <w:highlight w:val="none"/>
          <w:lang w:val="en-US" w:eastAsia="zh-CN"/>
        </w:rPr>
        <w:t>责</w:t>
      </w:r>
      <w:r>
        <w:rPr>
          <w:rFonts w:hint="eastAsia" w:ascii="仿宋" w:hAnsi="仿宋" w:eastAsia="仿宋" w:cs="仿宋"/>
          <w:color w:val="auto"/>
          <w:sz w:val="28"/>
          <w:highlight w:val="none"/>
          <w:lang w:val="en-US" w:eastAsia="zh-CN"/>
        </w:rPr>
        <w:t>任，由双方根据各自责任分别承担。不可抗力的情形按国家相应规定执行。</w:t>
      </w:r>
    </w:p>
    <w:p w14:paraId="0F6C4FC7">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9.4甲方因参与本合同履行而发出、或与乙方达成合意所形成的一切相关文件，均须同时具备甲方公章及法定代表人（或授权代表人）签名，否则均不对甲方产生约束力，除非事后获得甲方另行追认。</w:t>
      </w:r>
    </w:p>
    <w:p w14:paraId="21B8CAB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9.5本合同各条款相互矛盾、表达含糊的，按最有利于甲方的条款执行。</w:t>
      </w:r>
    </w:p>
    <w:p w14:paraId="4F11E385">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9.6专利技术及特殊工艺 </w:t>
      </w:r>
    </w:p>
    <w:p w14:paraId="03E95336">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 xml:space="preserve">9.6.1乙方须保障甲方在使用其提供的产品、服务不受到第三方关于侵权的指控。如果出现此类情况，由乙方与第三方交涉并承担一切费用和责任，如造成甲方损失的，乙方向甲方赔偿。 </w:t>
      </w:r>
    </w:p>
    <w:p w14:paraId="6074E9E4">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9.6.2乙方擅自使用他人专利技术，侵犯他人专利权的，乙方依法承担相应责任。</w:t>
      </w:r>
    </w:p>
    <w:p w14:paraId="3503B8B0">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9.7乙方如进行企业名称变更，须提前5个日历天书面报告甲方并随附工商登记主管部门核发的相应证明文件，否则甲方有权中止合同付款义务，直至乙方就该变更事宜提交有效证明文件并配合甲方完成对乙方主体身份的核验，其过程所耽误的付款时间属乙方责任，其损失由乙方全部承担。如乙方自身主体被工商登记主管部门注销，甲方有权不履行合同付款义务且属乙方责任，一切损失由乙方承担，甲方无须承担任何违约责任和费用。</w:t>
      </w:r>
    </w:p>
    <w:p w14:paraId="004637FC">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9.8签订本合同后，乙方只是取得产品供应资格且向甲方确定了可接受的交易条件，并不意味着双方的成交，能否向甲方销售产品以甲方发出的书面通知为准。甲方随时有权另向第三方交易。在甲方未向乙方发出具体的订货通知之前，乙方无权以本合同为由要求甲方进行交易。</w:t>
      </w:r>
    </w:p>
    <w:p w14:paraId="2F6EFDCD">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left="218" w:leftChars="104" w:firstLine="560" w:firstLineChars="200"/>
        <w:jc w:val="left"/>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9.9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p>
    <w:p w14:paraId="439BB67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highlight w:val="none"/>
          <w:lang w:val="en-US" w:eastAsia="zh-CN"/>
        </w:rPr>
        <w:t>9.10</w:t>
      </w:r>
      <w:r>
        <w:rPr>
          <w:rFonts w:hint="eastAsia" w:ascii="仿宋" w:hAnsi="仿宋" w:eastAsia="仿宋" w:cs="仿宋"/>
          <w:color w:val="auto"/>
          <w:sz w:val="28"/>
          <w:szCs w:val="28"/>
          <w:highlight w:val="none"/>
          <w:lang w:val="en-US" w:eastAsia="zh-CN"/>
        </w:rPr>
        <w:t>甲方编制的《商品混凝土、砂浆验收管理制度》为本合同不可分割的组成部分，与合同正文具有同等效力，乙方须照章供应。该类文件及本合同附件表格格式以交货当期甲方提供的最新版为准，最终解释权归甲方所有。</w:t>
      </w:r>
    </w:p>
    <w:p w14:paraId="1A8450D9">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9.11本合同履行期间，甲方制度文件如有更新，按甲方最新版要求执行，最终解释权归甲方所有。</w:t>
      </w:r>
    </w:p>
    <w:p w14:paraId="139D1035">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9.12</w:t>
      </w:r>
      <w:r>
        <w:rPr>
          <w:rFonts w:hint="eastAsia" w:ascii="仿宋" w:hAnsi="仿宋" w:eastAsia="仿宋" w:cs="仿宋"/>
          <w:color w:val="auto"/>
          <w:sz w:val="28"/>
          <w:highlight w:val="none"/>
          <w:lang w:val="en-US" w:eastAsia="zh-CN"/>
        </w:rPr>
        <w:t>以下文件均为合同有效组成部分，各文件互相解释，互为说明。当前后合同文件、资料等出现不一致或矛盾时，以下排列顺序为合同文件的优先解释顺序，同一类文件以最新（近）时间为优先</w:t>
      </w:r>
      <w:r>
        <w:rPr>
          <w:rFonts w:hint="eastAsia" w:ascii="仿宋" w:hAnsi="仿宋" w:eastAsia="仿宋" w:cs="仿宋"/>
          <w:color w:val="auto"/>
          <w:sz w:val="28"/>
          <w:szCs w:val="28"/>
          <w:highlight w:val="none"/>
          <w:lang w:val="en-US" w:eastAsia="zh-CN"/>
        </w:rPr>
        <w:t>：</w:t>
      </w:r>
    </w:p>
    <w:p w14:paraId="2C0ECBAB">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 合同履行过程中，双方法人代表或授权人签字并加盖公章的补充协议；</w:t>
      </w:r>
    </w:p>
    <w:p w14:paraId="652ED24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 本合同书（含附件）；</w:t>
      </w:r>
    </w:p>
    <w:p w14:paraId="18595B52">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 经甲方确认的方案及相关设计变更；</w:t>
      </w:r>
    </w:p>
    <w:p w14:paraId="6E9C0C3A">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 本合同对应的招采文件（含相关答疑、补充通知等）；</w:t>
      </w:r>
    </w:p>
    <w:p w14:paraId="34BEC06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⑤ 乙方发出的、经甲方确认的本合同对应的投标报价文件及相关澄清文件；</w:t>
      </w:r>
    </w:p>
    <w:p w14:paraId="13B44A8E">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⑥ 本项目所在地现行法律、法规、标准、规范及政府主管部门的强制性要求。</w:t>
      </w:r>
    </w:p>
    <w:p w14:paraId="763DB8BF">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9.13本合同正文为清洁打印文本，如双方对此合同有任何修改及补充均应另行签订补充协议。合同正文中任何非打印的文字或者图形，除非经双方确认同意，否则不产生约束力。</w:t>
      </w:r>
    </w:p>
    <w:p w14:paraId="080DECA1">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9.14甲乙双方均确认已经审阅并理解本合同全部条款，且已经就条款相关的任何疑问得到满意的解释，并确认本合同的条款为双方本着诚信互利的原则友好协商一致的结果，不属于任何一方的格式条款。</w:t>
      </w:r>
    </w:p>
    <w:p w14:paraId="61289588">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9.15本合同壹式叁份，甲方执贰份，乙方执壹份，均具同等效力。</w:t>
      </w:r>
    </w:p>
    <w:p w14:paraId="7681923D">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9.16本合同自甲乙双方法定代表人或其书面授权的代理人签字并加盖公司公章(或合同专用章)之日起生效，双方履行完合同义务、责任之日终止。</w:t>
      </w:r>
    </w:p>
    <w:p w14:paraId="0E753E90">
      <w:pPr>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b/>
          <w:bCs/>
          <w:color w:val="auto"/>
          <w:sz w:val="28"/>
          <w:szCs w:val="28"/>
          <w:highlight w:val="none"/>
          <w:lang w:eastAsia="zh-CN"/>
        </w:rPr>
        <w:t>以下无正文</w:t>
      </w:r>
      <w:r>
        <w:rPr>
          <w:rFonts w:hint="eastAsia" w:ascii="仿宋" w:hAnsi="仿宋" w:eastAsia="仿宋" w:cs="仿宋"/>
          <w:color w:val="auto"/>
          <w:sz w:val="28"/>
          <w:szCs w:val="28"/>
          <w:highlight w:val="none"/>
          <w:lang w:eastAsia="zh-CN"/>
        </w:rPr>
        <w:t>）</w:t>
      </w:r>
    </w:p>
    <w:p w14:paraId="222AA787">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2" w:firstLineChars="200"/>
        <w:textAlignment w:val="auto"/>
        <w:outlineLvl w:val="0"/>
        <w:rPr>
          <w:rFonts w:hint="default" w:ascii="仿宋" w:hAnsi="仿宋" w:eastAsia="仿宋" w:cs="仿宋"/>
          <w:b/>
          <w:bCs/>
          <w:color w:val="auto"/>
          <w:kern w:val="2"/>
          <w:sz w:val="28"/>
          <w:szCs w:val="28"/>
          <w:highlight w:val="none"/>
          <w:lang w:val="en-US" w:eastAsia="zh-CN" w:bidi="ar-SA"/>
        </w:rPr>
      </w:pPr>
      <w:bookmarkStart w:id="88" w:name="_Toc32087"/>
      <w:bookmarkStart w:id="89" w:name="_Toc22179"/>
      <w:bookmarkStart w:id="90" w:name="_Toc14654"/>
      <w:bookmarkStart w:id="91" w:name="_Toc29817"/>
      <w:bookmarkStart w:id="92" w:name="_Toc16084"/>
      <w:bookmarkStart w:id="93" w:name="_Toc19282"/>
      <w:bookmarkStart w:id="94" w:name="_Toc7325"/>
      <w:bookmarkStart w:id="95" w:name="_Toc31119"/>
      <w:bookmarkStart w:id="96" w:name="_Toc21875"/>
      <w:bookmarkStart w:id="97" w:name="_Toc21822"/>
      <w:r>
        <w:rPr>
          <w:rFonts w:hint="eastAsia" w:ascii="仿宋" w:hAnsi="仿宋" w:eastAsia="仿宋" w:cs="仿宋"/>
          <w:b/>
          <w:bCs/>
          <w:color w:val="auto"/>
          <w:kern w:val="2"/>
          <w:sz w:val="28"/>
          <w:szCs w:val="28"/>
          <w:highlight w:val="none"/>
          <w:lang w:val="en-US" w:eastAsia="zh-CN" w:bidi="ar-SA"/>
        </w:rPr>
        <w:t>合同附件：</w:t>
      </w:r>
    </w:p>
    <w:p w14:paraId="3A0E00B9">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附件一《甲方项目章》样式；</w:t>
      </w:r>
      <w:bookmarkEnd w:id="88"/>
      <w:bookmarkEnd w:id="89"/>
      <w:bookmarkEnd w:id="90"/>
      <w:bookmarkEnd w:id="91"/>
      <w:bookmarkEnd w:id="92"/>
      <w:bookmarkEnd w:id="93"/>
      <w:bookmarkEnd w:id="94"/>
      <w:bookmarkEnd w:id="95"/>
    </w:p>
    <w:p w14:paraId="0A7C0B52">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bookmarkStart w:id="98" w:name="_Toc28675"/>
      <w:bookmarkStart w:id="99" w:name="_Toc8794"/>
      <w:bookmarkStart w:id="100" w:name="_Toc17039"/>
      <w:bookmarkStart w:id="101" w:name="_Toc22820"/>
      <w:bookmarkStart w:id="102" w:name="_Toc30545"/>
      <w:bookmarkStart w:id="103" w:name="_Toc20875"/>
      <w:bookmarkStart w:id="104" w:name="_Toc11622"/>
      <w:bookmarkStart w:id="105" w:name="_Toc23821"/>
      <w:r>
        <w:rPr>
          <w:rFonts w:hint="eastAsia" w:ascii="仿宋" w:hAnsi="仿宋" w:eastAsia="仿宋" w:cs="仿宋"/>
          <w:color w:val="auto"/>
          <w:kern w:val="2"/>
          <w:sz w:val="28"/>
          <w:szCs w:val="28"/>
          <w:highlight w:val="none"/>
          <w:lang w:val="en-US" w:eastAsia="zh-CN" w:bidi="ar-SA"/>
        </w:rPr>
        <w:t>附件二《延迟付款声明函》格式</w:t>
      </w:r>
      <w:bookmarkEnd w:id="96"/>
      <w:bookmarkEnd w:id="97"/>
      <w:r>
        <w:rPr>
          <w:rFonts w:hint="eastAsia" w:ascii="仿宋" w:hAnsi="仿宋" w:eastAsia="仿宋" w:cs="仿宋"/>
          <w:color w:val="auto"/>
          <w:kern w:val="2"/>
          <w:sz w:val="28"/>
          <w:szCs w:val="28"/>
          <w:highlight w:val="none"/>
          <w:lang w:val="en-US" w:eastAsia="zh-CN" w:bidi="ar-SA"/>
        </w:rPr>
        <w:t>；</w:t>
      </w:r>
      <w:bookmarkEnd w:id="98"/>
      <w:bookmarkEnd w:id="99"/>
      <w:bookmarkEnd w:id="100"/>
      <w:bookmarkEnd w:id="101"/>
      <w:bookmarkEnd w:id="102"/>
      <w:bookmarkEnd w:id="103"/>
      <w:bookmarkEnd w:id="104"/>
      <w:bookmarkEnd w:id="105"/>
    </w:p>
    <w:p w14:paraId="201B152B">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bookmarkStart w:id="106" w:name="_Toc13445"/>
      <w:bookmarkStart w:id="107" w:name="_Toc12464"/>
      <w:bookmarkStart w:id="108" w:name="_Toc541"/>
      <w:bookmarkStart w:id="109" w:name="_Toc3654"/>
      <w:bookmarkStart w:id="110" w:name="_Toc21260"/>
      <w:bookmarkStart w:id="111" w:name="_Toc12629"/>
      <w:bookmarkStart w:id="112" w:name="_Toc6857"/>
      <w:bookmarkStart w:id="113" w:name="_Toc31961"/>
      <w:bookmarkStart w:id="114" w:name="_Toc18716"/>
      <w:bookmarkStart w:id="115" w:name="_Toc846"/>
      <w:r>
        <w:rPr>
          <w:rFonts w:hint="eastAsia" w:ascii="仿宋" w:hAnsi="仿宋" w:eastAsia="仿宋" w:cs="仿宋"/>
          <w:color w:val="auto"/>
          <w:kern w:val="2"/>
          <w:sz w:val="28"/>
          <w:szCs w:val="28"/>
          <w:highlight w:val="none"/>
          <w:lang w:val="en-US" w:eastAsia="zh-CN" w:bidi="ar-SA"/>
        </w:rPr>
        <w:t>附件三《材料款申报确认表》格式；</w:t>
      </w:r>
      <w:bookmarkEnd w:id="106"/>
      <w:bookmarkEnd w:id="107"/>
      <w:bookmarkEnd w:id="108"/>
      <w:bookmarkEnd w:id="109"/>
      <w:bookmarkEnd w:id="110"/>
      <w:bookmarkEnd w:id="111"/>
      <w:bookmarkEnd w:id="112"/>
      <w:bookmarkEnd w:id="113"/>
      <w:r>
        <w:rPr>
          <w:rFonts w:hint="eastAsia" w:ascii="仿宋" w:hAnsi="仿宋" w:eastAsia="仿宋" w:cs="仿宋"/>
          <w:color w:val="auto"/>
          <w:kern w:val="2"/>
          <w:sz w:val="28"/>
          <w:szCs w:val="28"/>
          <w:highlight w:val="none"/>
          <w:lang w:val="en-US" w:eastAsia="zh-CN" w:bidi="ar-SA"/>
        </w:rPr>
        <w:t xml:space="preserve">      </w:t>
      </w:r>
    </w:p>
    <w:p w14:paraId="6AC9919A">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bookmarkStart w:id="116" w:name="_Toc30943"/>
      <w:bookmarkStart w:id="117" w:name="_Toc20988"/>
      <w:bookmarkStart w:id="118" w:name="_Toc23496"/>
      <w:bookmarkStart w:id="119" w:name="_Toc2523"/>
      <w:bookmarkStart w:id="120" w:name="_Toc21317"/>
      <w:bookmarkStart w:id="121" w:name="_Toc5880"/>
      <w:bookmarkStart w:id="122" w:name="_Toc31684"/>
      <w:bookmarkStart w:id="123" w:name="_Toc562"/>
      <w:r>
        <w:rPr>
          <w:rFonts w:hint="eastAsia" w:ascii="仿宋" w:hAnsi="仿宋" w:eastAsia="仿宋" w:cs="仿宋"/>
          <w:color w:val="auto"/>
          <w:kern w:val="2"/>
          <w:sz w:val="28"/>
          <w:szCs w:val="28"/>
          <w:highlight w:val="none"/>
          <w:lang w:val="en-US" w:eastAsia="zh-CN" w:bidi="ar-SA"/>
        </w:rPr>
        <w:t>附件四《付款台账汇总表》格式</w:t>
      </w:r>
      <w:bookmarkEnd w:id="114"/>
      <w:bookmarkEnd w:id="115"/>
      <w:bookmarkStart w:id="124" w:name="_Toc10096"/>
      <w:bookmarkStart w:id="125" w:name="_Toc19217"/>
      <w:r>
        <w:rPr>
          <w:rFonts w:hint="eastAsia" w:ascii="仿宋" w:hAnsi="仿宋" w:eastAsia="仿宋" w:cs="仿宋"/>
          <w:color w:val="auto"/>
          <w:kern w:val="2"/>
          <w:sz w:val="28"/>
          <w:szCs w:val="28"/>
          <w:highlight w:val="none"/>
          <w:lang w:val="en-US" w:eastAsia="zh-CN" w:bidi="ar-SA"/>
        </w:rPr>
        <w:t>；</w:t>
      </w:r>
      <w:bookmarkEnd w:id="116"/>
      <w:bookmarkEnd w:id="117"/>
      <w:bookmarkEnd w:id="118"/>
      <w:bookmarkEnd w:id="119"/>
      <w:bookmarkEnd w:id="120"/>
      <w:bookmarkEnd w:id="121"/>
      <w:bookmarkEnd w:id="122"/>
      <w:bookmarkEnd w:id="123"/>
    </w:p>
    <w:p w14:paraId="42730E1F">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bookmarkStart w:id="126" w:name="_Toc5013"/>
      <w:bookmarkStart w:id="127" w:name="_Toc31238"/>
      <w:bookmarkStart w:id="128" w:name="_Toc29519"/>
      <w:bookmarkStart w:id="129" w:name="_Toc26804"/>
      <w:bookmarkStart w:id="130" w:name="_Toc6998"/>
      <w:bookmarkStart w:id="131" w:name="_Toc2349"/>
      <w:bookmarkStart w:id="132" w:name="_Toc8459"/>
      <w:bookmarkStart w:id="133" w:name="_Toc25762"/>
      <w:r>
        <w:rPr>
          <w:rFonts w:hint="eastAsia" w:ascii="仿宋" w:hAnsi="仿宋" w:eastAsia="仿宋" w:cs="仿宋"/>
          <w:color w:val="auto"/>
          <w:kern w:val="2"/>
          <w:sz w:val="28"/>
          <w:szCs w:val="28"/>
          <w:highlight w:val="none"/>
          <w:lang w:val="en-US" w:eastAsia="zh-CN" w:bidi="ar-SA"/>
        </w:rPr>
        <w:t>附件五《结清承诺书》格式</w:t>
      </w:r>
      <w:bookmarkEnd w:id="124"/>
      <w:bookmarkEnd w:id="125"/>
      <w:r>
        <w:rPr>
          <w:rFonts w:hint="eastAsia" w:ascii="仿宋" w:hAnsi="仿宋" w:eastAsia="仿宋" w:cs="仿宋"/>
          <w:color w:val="auto"/>
          <w:kern w:val="2"/>
          <w:sz w:val="28"/>
          <w:szCs w:val="28"/>
          <w:highlight w:val="none"/>
          <w:lang w:val="en-US" w:eastAsia="zh-CN" w:bidi="ar-SA"/>
        </w:rPr>
        <w:t>；</w:t>
      </w:r>
      <w:bookmarkEnd w:id="126"/>
      <w:bookmarkEnd w:id="127"/>
      <w:bookmarkEnd w:id="128"/>
      <w:bookmarkEnd w:id="129"/>
      <w:bookmarkEnd w:id="130"/>
      <w:bookmarkEnd w:id="131"/>
      <w:bookmarkEnd w:id="132"/>
      <w:bookmarkEnd w:id="133"/>
    </w:p>
    <w:p w14:paraId="274AEE0B">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default" w:ascii="仿宋" w:hAnsi="仿宋" w:eastAsia="仿宋" w:cs="仿宋"/>
          <w:color w:val="auto"/>
          <w:kern w:val="2"/>
          <w:sz w:val="28"/>
          <w:szCs w:val="28"/>
          <w:highlight w:val="none"/>
          <w:lang w:val="en-US" w:eastAsia="zh-CN" w:bidi="ar-SA"/>
        </w:rPr>
      </w:pPr>
      <w:bookmarkStart w:id="134" w:name="_Toc7367"/>
      <w:bookmarkStart w:id="135" w:name="_Toc9847"/>
      <w:bookmarkStart w:id="136" w:name="_Toc24747"/>
      <w:bookmarkStart w:id="137" w:name="_Toc19612"/>
      <w:bookmarkStart w:id="138" w:name="_Toc9256"/>
      <w:bookmarkStart w:id="139" w:name="_Toc27778"/>
      <w:bookmarkStart w:id="140" w:name="_Toc22264"/>
      <w:bookmarkStart w:id="141" w:name="_Toc27408"/>
      <w:r>
        <w:rPr>
          <w:rFonts w:hint="eastAsia" w:ascii="仿宋" w:hAnsi="仿宋" w:eastAsia="仿宋" w:cs="仿宋"/>
          <w:color w:val="auto"/>
          <w:kern w:val="2"/>
          <w:sz w:val="28"/>
          <w:szCs w:val="28"/>
          <w:highlight w:val="none"/>
          <w:lang w:val="en-US" w:eastAsia="zh-CN" w:bidi="ar-SA"/>
        </w:rPr>
        <w:t>附件六《材料签收单》格式；</w:t>
      </w:r>
    </w:p>
    <w:p w14:paraId="384D86FF">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附件七《供应商月度对账单》格式；</w:t>
      </w:r>
    </w:p>
    <w:p w14:paraId="5D77CD0A">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附件八《物料申请单》格式； </w:t>
      </w:r>
    </w:p>
    <w:p w14:paraId="0F3D6497">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附件九《报价清单》；</w:t>
      </w:r>
    </w:p>
    <w:p w14:paraId="772DC53B">
      <w:pPr>
        <w:pStyle w:val="8"/>
        <w:keepNext w:val="0"/>
        <w:keepLines w:val="0"/>
        <w:pageBreakBefore w:val="0"/>
        <w:widowControl w:val="0"/>
        <w:kinsoku/>
        <w:wordWrap/>
        <w:overflowPunct/>
        <w:topLinePunct w:val="0"/>
        <w:autoSpaceDE/>
        <w:autoSpaceDN/>
        <w:bidi w:val="0"/>
        <w:adjustRightInd/>
        <w:snapToGrid w:val="0"/>
        <w:spacing w:line="520" w:lineRule="exact"/>
        <w:ind w:left="218" w:leftChars="104" w:firstLine="560" w:firstLineChars="200"/>
        <w:textAlignment w:val="auto"/>
        <w:outlineLvl w:val="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附件十《乙方资质文件》。</w:t>
      </w:r>
    </w:p>
    <w:bookmarkEnd w:id="134"/>
    <w:bookmarkEnd w:id="135"/>
    <w:bookmarkEnd w:id="136"/>
    <w:bookmarkEnd w:id="137"/>
    <w:bookmarkEnd w:id="138"/>
    <w:bookmarkEnd w:id="139"/>
    <w:bookmarkEnd w:id="140"/>
    <w:bookmarkEnd w:id="141"/>
    <w:p w14:paraId="3FD58078">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p>
    <w:p w14:paraId="5F56A50B">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0"/>
        <w:rPr>
          <w:rFonts w:hint="eastAsia" w:ascii="仿宋" w:hAnsi="仿宋" w:eastAsia="仿宋" w:cs="仿宋"/>
          <w:color w:val="auto"/>
          <w:kern w:val="2"/>
          <w:sz w:val="28"/>
          <w:szCs w:val="28"/>
          <w:highlight w:val="none"/>
          <w:lang w:val="en-US" w:eastAsia="zh-CN" w:bidi="ar-SA"/>
        </w:rPr>
      </w:pPr>
    </w:p>
    <w:p w14:paraId="1C3E4B27">
      <w:pPr>
        <w:keepNext w:val="0"/>
        <w:keepLines w:val="0"/>
        <w:pageBreakBefore w:val="0"/>
        <w:widowControl w:val="0"/>
        <w:kinsoku/>
        <w:wordWrap/>
        <w:overflowPunct/>
        <w:topLinePunct w:val="0"/>
        <w:autoSpaceDE/>
        <w:autoSpaceDN/>
        <w:bidi w:val="0"/>
        <w:adjustRightInd w:val="0"/>
        <w:snapToGrid w:val="0"/>
        <w:spacing w:line="360" w:lineRule="auto"/>
        <w:ind w:left="6108" w:leftChars="0" w:right="-420" w:rightChars="-200" w:hanging="6108" w:hangingChars="2535"/>
        <w:textAlignment w:val="auto"/>
        <w:rPr>
          <w:rFonts w:hint="eastAsia" w:ascii="仿宋" w:hAnsi="仿宋" w:eastAsia="仿宋" w:cs="仿宋"/>
          <w:b/>
          <w:bCs/>
          <w:color w:val="auto"/>
          <w:sz w:val="24"/>
          <w:szCs w:val="24"/>
          <w:highlight w:val="none"/>
          <w:lang w:val="en-US" w:eastAsia="zh-CN"/>
        </w:rPr>
      </w:pPr>
      <w:bookmarkStart w:id="142" w:name="_Toc15436"/>
      <w:bookmarkStart w:id="143" w:name="_Toc27996"/>
      <w:bookmarkStart w:id="144" w:name="_Toc8317"/>
      <w:bookmarkStart w:id="145" w:name="_Toc30455"/>
      <w:bookmarkStart w:id="146" w:name="_Toc17953"/>
      <w:bookmarkStart w:id="147" w:name="_Toc9127"/>
      <w:bookmarkStart w:id="148" w:name="_Toc21267"/>
      <w:bookmarkStart w:id="149" w:name="_Toc11233"/>
      <w:bookmarkStart w:id="150" w:name="_Toc19000"/>
      <w:r>
        <w:rPr>
          <w:rFonts w:hint="eastAsia" w:ascii="仿宋" w:hAnsi="仿宋" w:eastAsia="仿宋" w:cs="仿宋"/>
          <w:b/>
          <w:bCs/>
          <w:color w:val="auto"/>
          <w:sz w:val="24"/>
          <w:szCs w:val="24"/>
          <w:highlight w:val="none"/>
        </w:rPr>
        <w:t xml:space="preserve">甲方(盖章):东莞市中泰建安工程有限公司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乙方(盖章): </w:t>
      </w:r>
    </w:p>
    <w:p w14:paraId="723E4A88">
      <w:pPr>
        <w:keepNext w:val="0"/>
        <w:keepLines w:val="0"/>
        <w:pageBreakBefore w:val="0"/>
        <w:widowControl w:val="0"/>
        <w:kinsoku/>
        <w:wordWrap/>
        <w:overflowPunct/>
        <w:topLinePunct w:val="0"/>
        <w:autoSpaceDE/>
        <w:autoSpaceDN/>
        <w:bidi w:val="0"/>
        <w:adjustRightInd w:val="0"/>
        <w:snapToGrid w:val="0"/>
        <w:spacing w:line="360" w:lineRule="auto"/>
        <w:ind w:left="6299" w:leftChars="2963" w:right="-420" w:rightChars="-200" w:hanging="77" w:hangingChars="32"/>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 </w:t>
      </w:r>
    </w:p>
    <w:p w14:paraId="3A5AC506">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6A69587C">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rPr>
      </w:pPr>
    </w:p>
    <w:p w14:paraId="51BBE5EE">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 xml:space="preserve"> </w:t>
      </w:r>
    </w:p>
    <w:p w14:paraId="7EA82D6F">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 xml:space="preserve">账  号：548000013639239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账  号：</w:t>
      </w:r>
      <w:r>
        <w:rPr>
          <w:rFonts w:hint="eastAsia" w:ascii="仿宋" w:hAnsi="仿宋" w:eastAsia="仿宋" w:cs="仿宋"/>
          <w:b/>
          <w:bCs/>
          <w:color w:val="auto"/>
          <w:sz w:val="24"/>
          <w:szCs w:val="24"/>
          <w:highlight w:val="none"/>
          <w:lang w:val="en-US" w:eastAsia="zh-CN"/>
        </w:rPr>
        <w:t xml:space="preserve"> </w:t>
      </w:r>
    </w:p>
    <w:p w14:paraId="7227CEED">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开户行：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5E301A36">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4"/>
          <w:szCs w:val="24"/>
          <w:highlight w:val="none"/>
        </w:rPr>
        <w:t xml:space="preserve">地 址：广东省东莞市南城街道鸿福路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地址：</w:t>
      </w:r>
      <w:r>
        <w:rPr>
          <w:rFonts w:hint="eastAsia" w:ascii="仿宋" w:hAnsi="仿宋" w:eastAsia="仿宋" w:cs="仿宋"/>
          <w:b/>
          <w:bCs/>
          <w:color w:val="auto"/>
          <w:sz w:val="22"/>
          <w:szCs w:val="22"/>
          <w:highlight w:val="none"/>
          <w:lang w:val="en-US" w:eastAsia="zh-CN"/>
        </w:rPr>
        <w:t xml:space="preserve"> </w:t>
      </w:r>
    </w:p>
    <w:p w14:paraId="762A0F9B">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w:t>
      </w:r>
    </w:p>
    <w:p w14:paraId="7677182D">
      <w:pPr>
        <w:keepNext w:val="0"/>
        <w:keepLines w:val="0"/>
        <w:pageBreakBefore w:val="0"/>
        <w:widowControl w:val="0"/>
        <w:kinsoku/>
        <w:wordWrap/>
        <w:overflowPunct/>
        <w:topLinePunct w:val="0"/>
        <w:autoSpaceDE/>
        <w:autoSpaceDN/>
        <w:bidi w:val="0"/>
        <w:adjustRightInd w:val="0"/>
        <w:snapToGrid w:val="0"/>
        <w:spacing w:line="360" w:lineRule="auto"/>
        <w:ind w:left="6108" w:leftChars="0" w:right="0" w:rightChars="0" w:hanging="6108" w:hangingChars="2535"/>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 xml:space="preserve">电  话：0769-22311322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 xml:space="preserve"> 电  话:</w:t>
      </w:r>
    </w:p>
    <w:p w14:paraId="26E374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【甲方人员如有营私舞弊、吃拿卡要等损害乙方合法权益的行为，乙方可拨打投诉专线 4000968086或发邮件至投诉邮箱:zhglzx@nanfeng.cn，也可至广东省东莞市南城街道鸿福路 106号南峰中心12楼内控中心办公室面诉。】</w:t>
      </w:r>
    </w:p>
    <w:p w14:paraId="7895EE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lang w:val="en-US" w:eastAsia="zh-CN"/>
        </w:rPr>
      </w:pPr>
    </w:p>
    <w:p w14:paraId="6F1DD59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outlineLvl w:val="0"/>
        <w:rPr>
          <w:rFonts w:hint="eastAsia" w:ascii="仿宋" w:hAnsi="仿宋" w:eastAsia="仿宋" w:cs="仿宋"/>
          <w:b/>
          <w:bCs/>
          <w:color w:val="auto"/>
          <w:sz w:val="44"/>
          <w:szCs w:val="44"/>
          <w:highlight w:val="none"/>
          <w:lang w:val="en-US" w:eastAsia="zh-CN"/>
        </w:rPr>
      </w:pPr>
      <w:bookmarkStart w:id="151" w:name="_Toc4081"/>
      <w:r>
        <w:rPr>
          <w:rFonts w:hint="eastAsia" w:ascii="仿宋" w:hAnsi="仿宋" w:eastAsia="仿宋" w:cs="仿宋"/>
          <w:b/>
          <w:bCs/>
          <w:color w:val="auto"/>
          <w:sz w:val="44"/>
          <w:szCs w:val="44"/>
          <w:highlight w:val="none"/>
          <w:lang w:val="en-US" w:eastAsia="zh-CN"/>
        </w:rPr>
        <w:t>附件一</w:t>
      </w:r>
      <w:bookmarkEnd w:id="142"/>
      <w:bookmarkEnd w:id="143"/>
      <w:bookmarkEnd w:id="144"/>
      <w:bookmarkEnd w:id="145"/>
      <w:bookmarkEnd w:id="146"/>
      <w:bookmarkEnd w:id="147"/>
      <w:bookmarkEnd w:id="148"/>
      <w:bookmarkEnd w:id="151"/>
    </w:p>
    <w:p w14:paraId="451E31D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58D33AB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6AC1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default" w:ascii="仿宋" w:hAnsi="仿宋" w:eastAsia="仿宋" w:cs="仿宋"/>
          <w:b/>
          <w:bCs/>
          <w:color w:val="auto"/>
          <w:sz w:val="48"/>
          <w:szCs w:val="48"/>
          <w:highlight w:val="none"/>
          <w:lang w:val="en-US" w:eastAsia="zh-CN"/>
        </w:rPr>
      </w:pPr>
      <w:bookmarkStart w:id="152" w:name="_Toc26767"/>
      <w:bookmarkStart w:id="153" w:name="_Toc13325"/>
      <w:bookmarkStart w:id="154" w:name="_Toc22046"/>
      <w:bookmarkStart w:id="155" w:name="_Toc2040"/>
      <w:bookmarkStart w:id="156" w:name="_Toc26990"/>
      <w:bookmarkStart w:id="157" w:name="_Toc19171"/>
      <w:bookmarkStart w:id="158" w:name="_Toc18773"/>
      <w:bookmarkStart w:id="159" w:name="_Toc32390"/>
      <w:r>
        <w:rPr>
          <w:rFonts w:hint="eastAsia" w:ascii="仿宋" w:hAnsi="仿宋" w:eastAsia="仿宋" w:cs="仿宋"/>
          <w:b/>
          <w:bCs/>
          <w:color w:val="auto"/>
          <w:sz w:val="48"/>
          <w:szCs w:val="48"/>
          <w:highlight w:val="none"/>
          <w:lang w:val="en-US" w:eastAsia="zh-CN"/>
        </w:rPr>
        <w:t>甲方项目章</w:t>
      </w:r>
      <w:bookmarkEnd w:id="149"/>
      <w:bookmarkEnd w:id="150"/>
      <w:r>
        <w:rPr>
          <w:rFonts w:hint="eastAsia" w:ascii="仿宋" w:hAnsi="仿宋" w:eastAsia="仿宋" w:cs="仿宋"/>
          <w:b/>
          <w:bCs/>
          <w:color w:val="auto"/>
          <w:sz w:val="48"/>
          <w:szCs w:val="48"/>
          <w:highlight w:val="none"/>
          <w:lang w:val="en-US" w:eastAsia="zh-CN"/>
        </w:rPr>
        <w:t>样式</w:t>
      </w:r>
      <w:bookmarkEnd w:id="152"/>
      <w:bookmarkEnd w:id="153"/>
      <w:bookmarkEnd w:id="154"/>
      <w:bookmarkEnd w:id="155"/>
      <w:bookmarkEnd w:id="156"/>
      <w:bookmarkEnd w:id="157"/>
      <w:bookmarkEnd w:id="158"/>
      <w:bookmarkEnd w:id="159"/>
    </w:p>
    <w:p w14:paraId="162971DE">
      <w:pPr>
        <w:pStyle w:val="8"/>
        <w:tabs>
          <w:tab w:val="left" w:pos="840"/>
        </w:tabs>
        <w:spacing w:line="360" w:lineRule="auto"/>
        <w:ind w:left="0" w:leftChars="0" w:firstLine="0" w:firstLineChars="0"/>
        <w:jc w:val="center"/>
        <w:rPr>
          <w:rFonts w:hint="eastAsia" w:ascii="宋体" w:hAnsi="宋体"/>
          <w:b/>
          <w:bCs/>
          <w:color w:val="auto"/>
          <w:sz w:val="36"/>
          <w:szCs w:val="36"/>
          <w:highlight w:val="none"/>
          <w:lang w:val="en-US" w:eastAsia="zh-CN"/>
        </w:rPr>
      </w:pPr>
      <w:r>
        <w:rPr>
          <w:color w:val="auto"/>
        </w:rPr>
        <w:drawing>
          <wp:inline distT="0" distB="0" distL="114300" distR="114300">
            <wp:extent cx="3802380" cy="2284730"/>
            <wp:effectExtent l="0" t="0" r="7620"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3802380" cy="2284730"/>
                    </a:xfrm>
                    <a:prstGeom prst="rect">
                      <a:avLst/>
                    </a:prstGeom>
                    <a:noFill/>
                    <a:ln>
                      <a:noFill/>
                    </a:ln>
                  </pic:spPr>
                </pic:pic>
              </a:graphicData>
            </a:graphic>
          </wp:inline>
        </w:drawing>
      </w:r>
      <w:r>
        <w:rPr>
          <w:rFonts w:hint="eastAsia" w:ascii="仿宋" w:hAnsi="仿宋" w:eastAsia="仿宋" w:cs="仿宋"/>
          <w:b/>
          <w:bCs w:val="0"/>
          <w:color w:val="auto"/>
          <w:sz w:val="40"/>
          <w:szCs w:val="40"/>
          <w:highlight w:val="none"/>
          <w:shd w:val="clear" w:color="auto" w:fill="auto"/>
          <w:lang w:val="en-US" w:eastAsia="zh-CN"/>
        </w:rPr>
        <w:drawing>
          <wp:inline distT="0" distB="0" distL="114300" distR="114300">
            <wp:extent cx="3090545" cy="2395220"/>
            <wp:effectExtent l="0" t="0" r="14605" b="5080"/>
            <wp:docPr id="2" name="图片 2" descr="e4bde7909474f57d42b6f14350460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4bde7909474f57d42b6f143504604e"/>
                    <pic:cNvPicPr>
                      <a:picLocks noChangeAspect="1"/>
                    </pic:cNvPicPr>
                  </pic:nvPicPr>
                  <pic:blipFill>
                    <a:blip r:embed="rId11"/>
                    <a:stretch>
                      <a:fillRect/>
                    </a:stretch>
                  </pic:blipFill>
                  <pic:spPr>
                    <a:xfrm>
                      <a:off x="0" y="0"/>
                      <a:ext cx="3090545" cy="2395220"/>
                    </a:xfrm>
                    <a:prstGeom prst="rect">
                      <a:avLst/>
                    </a:prstGeom>
                  </pic:spPr>
                </pic:pic>
              </a:graphicData>
            </a:graphic>
          </wp:inline>
        </w:drawing>
      </w:r>
    </w:p>
    <w:p w14:paraId="5BEF55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77C0F6B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D3095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C6086C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72E7E09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93317B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00D151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2AD93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68EAF7D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62A1F5F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0F2121E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0B5F44F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outlineLvl w:val="0"/>
        <w:rPr>
          <w:rFonts w:hint="eastAsia" w:ascii="仿宋" w:hAnsi="仿宋" w:eastAsia="仿宋" w:cs="仿宋"/>
          <w:b/>
          <w:bCs/>
          <w:color w:val="auto"/>
          <w:sz w:val="30"/>
          <w:highlight w:val="none"/>
          <w:lang w:val="en-US" w:eastAsia="zh-CN"/>
        </w:rPr>
      </w:pPr>
    </w:p>
    <w:p w14:paraId="4112002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right"/>
        <w:textAlignment w:val="auto"/>
        <w:rPr>
          <w:rFonts w:hint="eastAsia" w:ascii="仿宋" w:hAnsi="仿宋" w:eastAsia="仿宋" w:cs="仿宋"/>
          <w:b/>
          <w:bCs/>
          <w:color w:val="auto"/>
          <w:sz w:val="30"/>
          <w:highlight w:val="none"/>
          <w:lang w:val="en-US" w:eastAsia="zh-CN"/>
        </w:rPr>
      </w:pPr>
      <w:r>
        <w:rPr>
          <w:rFonts w:hint="eastAsia" w:ascii="仿宋" w:hAnsi="仿宋" w:eastAsia="仿宋" w:cs="仿宋"/>
          <w:b/>
          <w:bCs/>
          <w:color w:val="auto"/>
          <w:sz w:val="44"/>
          <w:szCs w:val="40"/>
          <w:highlight w:val="none"/>
          <w:lang w:val="en-US" w:eastAsia="zh-CN"/>
        </w:rPr>
        <w:t>附件二</w:t>
      </w:r>
    </w:p>
    <w:p w14:paraId="2C3162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lang w:val="en-US" w:eastAsia="zh-CN"/>
        </w:rPr>
      </w:pPr>
    </w:p>
    <w:p w14:paraId="51BAE6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延迟付款声明函</w:t>
      </w:r>
    </w:p>
    <w:p w14:paraId="49211D0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0"/>
          <w:szCs w:val="30"/>
          <w:highlight w:val="none"/>
          <w:lang w:val="en-US" w:eastAsia="zh-CN"/>
        </w:rPr>
      </w:pPr>
    </w:p>
    <w:p w14:paraId="79FADA95">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致东莞市中泰建安工程有限公司：</w:t>
      </w:r>
    </w:p>
    <w:p w14:paraId="5620FFD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按照贵我双方合同约定的时限与贵司完成对账并确定相应金额,属我司责任，与贵司无关。我司自愿接受按照合同约定延期收取该款项（即贵司有权延期付款），我司承担因此导致的所有责任和损失。</w:t>
      </w:r>
    </w:p>
    <w:p w14:paraId="38C72B56">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1F3DC5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color w:val="auto"/>
          <w:highlight w:val="none"/>
          <w:lang w:val="en-US" w:eastAsia="zh-CN"/>
        </w:rPr>
      </w:pPr>
    </w:p>
    <w:p w14:paraId="4DE53586">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46355A5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2F8A73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highlight w:val="none"/>
          <w:lang w:val="en-US" w:eastAsia="zh-CN"/>
        </w:rPr>
      </w:pPr>
    </w:p>
    <w:p w14:paraId="1BDC33C1">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15DA9B3A">
      <w:pPr>
        <w:keepNext w:val="0"/>
        <w:keepLines w:val="0"/>
        <w:pageBreakBefore w:val="0"/>
        <w:widowControl w:val="0"/>
        <w:kinsoku/>
        <w:wordWrap/>
        <w:overflowPunct/>
        <w:topLinePunct w:val="0"/>
        <w:autoSpaceDE/>
        <w:autoSpaceDN/>
        <w:bidi w:val="0"/>
        <w:adjustRightInd/>
        <w:snapToGrid/>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6735A65E">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righ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（加盖公章及法定代表人或授权代表签字）     </w:t>
      </w:r>
    </w:p>
    <w:p w14:paraId="1B7192C2">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center"/>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64760E4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A8997F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2F03C44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592570F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4CADCB3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120C66B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303F537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7B70732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bCs/>
          <w:color w:val="auto"/>
          <w:sz w:val="30"/>
          <w:highlight w:val="none"/>
          <w:lang w:val="en-US" w:eastAsia="zh-CN"/>
        </w:rPr>
      </w:pPr>
    </w:p>
    <w:p w14:paraId="6A0A7A8B">
      <w:pPr>
        <w:keepNext/>
        <w:keepLines/>
        <w:widowControl w:val="0"/>
        <w:spacing w:before="120"/>
        <w:jc w:val="right"/>
        <w:outlineLvl w:val="0"/>
        <w:rPr>
          <w:rFonts w:hint="eastAsia" w:ascii="仿宋" w:hAnsi="仿宋" w:eastAsia="仿宋" w:cs="仿宋"/>
          <w:color w:val="auto"/>
          <w:highlight w:val="none"/>
        </w:rPr>
      </w:pPr>
      <w:bookmarkStart w:id="160" w:name="_Toc2838"/>
      <w:bookmarkStart w:id="161" w:name="_Toc2870"/>
      <w:bookmarkStart w:id="162" w:name="_Toc4691"/>
      <w:bookmarkStart w:id="163" w:name="_Toc11341"/>
      <w:bookmarkStart w:id="164" w:name="_Toc25054"/>
      <w:bookmarkStart w:id="165" w:name="_Toc86334254"/>
      <w:bookmarkStart w:id="166" w:name="_Toc1127"/>
      <w:bookmarkStart w:id="167" w:name="_Toc18596"/>
      <w:bookmarkStart w:id="168" w:name="_Toc7796"/>
      <w:bookmarkStart w:id="169" w:name="_Toc3377"/>
      <w:bookmarkStart w:id="170" w:name="_Toc23013"/>
      <w:r>
        <w:rPr>
          <w:rFonts w:hint="eastAsia" w:ascii="仿宋" w:hAnsi="仿宋" w:eastAsia="仿宋" w:cs="仿宋"/>
          <w:b/>
          <w:bCs/>
          <w:color w:val="auto"/>
          <w:kern w:val="2"/>
          <w:sz w:val="44"/>
          <w:szCs w:val="48"/>
          <w:highlight w:val="none"/>
          <w:lang w:val="en-US" w:eastAsia="zh-CN" w:bidi="ar-SA"/>
        </w:rPr>
        <w:t>附件三</w:t>
      </w:r>
      <w:bookmarkEnd w:id="160"/>
      <w:bookmarkEnd w:id="161"/>
      <w:bookmarkEnd w:id="162"/>
      <w:bookmarkEnd w:id="163"/>
      <w:bookmarkEnd w:id="164"/>
      <w:bookmarkEnd w:id="165"/>
      <w:bookmarkEnd w:id="166"/>
      <w:bookmarkEnd w:id="167"/>
      <w:bookmarkEnd w:id="168"/>
      <w:bookmarkEnd w:id="169"/>
      <w:bookmarkEnd w:id="170"/>
    </w:p>
    <w:p w14:paraId="193A4393">
      <w:pPr>
        <w:tabs>
          <w:tab w:val="left" w:pos="720"/>
        </w:tabs>
        <w:adjustRightInd w:val="0"/>
        <w:snapToGrid w:val="0"/>
        <w:spacing w:line="360" w:lineRule="auto"/>
        <w:ind w:left="482" w:hanging="663" w:hangingChars="150"/>
        <w:jc w:val="center"/>
        <w:rPr>
          <w:rFonts w:hint="eastAsia" w:ascii="仿宋" w:hAnsi="仿宋" w:eastAsia="仿宋" w:cs="仿宋"/>
          <w:b/>
          <w:bCs w:val="0"/>
          <w:color w:val="auto"/>
          <w:sz w:val="44"/>
          <w:szCs w:val="44"/>
          <w:highlight w:val="none"/>
        </w:rPr>
      </w:pPr>
      <w:r>
        <w:rPr>
          <w:rFonts w:hint="eastAsia" w:ascii="仿宋" w:hAnsi="仿宋" w:eastAsia="仿宋" w:cs="仿宋"/>
          <w:b/>
          <w:bCs w:val="0"/>
          <w:color w:val="auto"/>
          <w:sz w:val="44"/>
          <w:szCs w:val="44"/>
          <w:highlight w:val="none"/>
        </w:rPr>
        <w:t>材料款申报</w:t>
      </w:r>
      <w:r>
        <w:rPr>
          <w:rFonts w:hint="eastAsia" w:ascii="仿宋" w:hAnsi="仿宋" w:eastAsia="仿宋" w:cs="仿宋"/>
          <w:b/>
          <w:bCs w:val="0"/>
          <w:color w:val="auto"/>
          <w:sz w:val="44"/>
          <w:szCs w:val="44"/>
          <w:highlight w:val="none"/>
          <w:lang w:val="en-US" w:eastAsia="zh-CN"/>
        </w:rPr>
        <w:t>审批</w:t>
      </w:r>
      <w:r>
        <w:rPr>
          <w:rFonts w:hint="eastAsia" w:ascii="仿宋" w:hAnsi="仿宋" w:eastAsia="仿宋" w:cs="仿宋"/>
          <w:b/>
          <w:bCs w:val="0"/>
          <w:color w:val="auto"/>
          <w:sz w:val="44"/>
          <w:szCs w:val="44"/>
          <w:highlight w:val="none"/>
        </w:rPr>
        <w:t>表</w:t>
      </w:r>
    </w:p>
    <w:tbl>
      <w:tblPr>
        <w:tblStyle w:val="9"/>
        <w:tblW w:w="0" w:type="auto"/>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3388"/>
        <w:gridCol w:w="1275"/>
        <w:gridCol w:w="3409"/>
      </w:tblGrid>
      <w:tr w14:paraId="798B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F6A3A9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工程名称</w:t>
            </w:r>
          </w:p>
        </w:tc>
        <w:tc>
          <w:tcPr>
            <w:tcW w:w="3402" w:type="dxa"/>
            <w:noWrap w:val="0"/>
            <w:vAlign w:val="top"/>
          </w:tcPr>
          <w:p w14:paraId="4DC8A8E8">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168DB87">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合同名称</w:t>
            </w:r>
          </w:p>
        </w:tc>
        <w:tc>
          <w:tcPr>
            <w:tcW w:w="3423" w:type="dxa"/>
            <w:noWrap w:val="0"/>
            <w:vAlign w:val="top"/>
          </w:tcPr>
          <w:p w14:paraId="745E1E1E">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086A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noWrap w:val="0"/>
            <w:vAlign w:val="top"/>
          </w:tcPr>
          <w:p w14:paraId="422EB10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供货单位</w:t>
            </w:r>
          </w:p>
        </w:tc>
        <w:tc>
          <w:tcPr>
            <w:tcW w:w="3402" w:type="dxa"/>
            <w:noWrap w:val="0"/>
            <w:vAlign w:val="top"/>
          </w:tcPr>
          <w:p w14:paraId="225279E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c>
          <w:tcPr>
            <w:tcW w:w="1276" w:type="dxa"/>
            <w:noWrap w:val="0"/>
            <w:vAlign w:val="top"/>
          </w:tcPr>
          <w:p w14:paraId="13EA429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合同编号</w:t>
            </w:r>
          </w:p>
        </w:tc>
        <w:tc>
          <w:tcPr>
            <w:tcW w:w="3423" w:type="dxa"/>
            <w:noWrap w:val="0"/>
            <w:vAlign w:val="top"/>
          </w:tcPr>
          <w:p w14:paraId="4DC5441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tc>
      </w:tr>
      <w:tr w14:paraId="7181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7" w:hRule="atLeast"/>
        </w:trPr>
        <w:tc>
          <w:tcPr>
            <w:tcW w:w="9377" w:type="dxa"/>
            <w:gridSpan w:val="4"/>
            <w:noWrap w:val="0"/>
            <w:vAlign w:val="top"/>
          </w:tcPr>
          <w:p w14:paraId="7A1C2734">
            <w:pPr>
              <w:tabs>
                <w:tab w:val="left" w:pos="720"/>
              </w:tabs>
              <w:adjustRightInd w:val="0"/>
              <w:snapToGrid w:val="0"/>
              <w:spacing w:line="360" w:lineRule="auto"/>
              <w:ind w:firstLine="120" w:firstLineChars="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材料申报内容：</w:t>
            </w:r>
          </w:p>
          <w:p w14:paraId="4A76575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1375864A">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637CFA7">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BF1BCA1">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供货单位（章）：</w:t>
            </w:r>
          </w:p>
          <w:p w14:paraId="690836A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供货单位负责人：</w:t>
            </w:r>
          </w:p>
        </w:tc>
      </w:tr>
      <w:tr w14:paraId="49D2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9377" w:type="dxa"/>
            <w:gridSpan w:val="4"/>
            <w:noWrap w:val="0"/>
            <w:vAlign w:val="top"/>
          </w:tcPr>
          <w:p w14:paraId="28D13CC4">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材料员</w:t>
            </w:r>
            <w:r>
              <w:rPr>
                <w:rFonts w:hint="eastAsia" w:ascii="仿宋" w:hAnsi="仿宋" w:eastAsia="仿宋" w:cs="仿宋"/>
                <w:b w:val="0"/>
                <w:bCs/>
                <w:color w:val="auto"/>
                <w:sz w:val="24"/>
                <w:highlight w:val="none"/>
              </w:rPr>
              <w:t>①/经办人审核意见：</w:t>
            </w:r>
          </w:p>
          <w:p w14:paraId="3386D221">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p>
          <w:p w14:paraId="007F044E">
            <w:pPr>
              <w:tabs>
                <w:tab w:val="left" w:pos="720"/>
              </w:tabs>
              <w:adjustRightInd w:val="0"/>
              <w:snapToGrid w:val="0"/>
              <w:spacing w:line="360" w:lineRule="auto"/>
              <w:ind w:left="5421" w:hanging="5400" w:hangingChars="2250"/>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472D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9377" w:type="dxa"/>
            <w:gridSpan w:val="4"/>
            <w:noWrap w:val="0"/>
            <w:vAlign w:val="top"/>
          </w:tcPr>
          <w:p w14:paraId="241CD40F">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lang w:eastAsia="zh-CN"/>
              </w:rPr>
              <w:t>材料员</w:t>
            </w:r>
            <w:r>
              <w:rPr>
                <w:rFonts w:hint="eastAsia" w:ascii="仿宋" w:hAnsi="仿宋" w:eastAsia="仿宋" w:cs="仿宋"/>
                <w:b w:val="0"/>
                <w:bCs/>
                <w:color w:val="auto"/>
                <w:sz w:val="24"/>
                <w:highlight w:val="none"/>
              </w:rPr>
              <w:t>②审核意见：</w:t>
            </w:r>
          </w:p>
          <w:p w14:paraId="33524E24">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20B7CEE">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 </w:t>
            </w:r>
          </w:p>
        </w:tc>
      </w:tr>
      <w:tr w14:paraId="20A56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9377" w:type="dxa"/>
            <w:gridSpan w:val="4"/>
            <w:noWrap w:val="0"/>
            <w:vAlign w:val="top"/>
          </w:tcPr>
          <w:p w14:paraId="6963B06C">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项目成本管理员审核意见：</w:t>
            </w:r>
          </w:p>
          <w:p w14:paraId="12B81FA2">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52A02D80">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46A2A3A">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r w14:paraId="1B73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9377" w:type="dxa"/>
            <w:gridSpan w:val="4"/>
            <w:noWrap w:val="0"/>
            <w:vAlign w:val="top"/>
          </w:tcPr>
          <w:p w14:paraId="08ECB61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项目经理审核意见：</w:t>
            </w:r>
          </w:p>
          <w:p w14:paraId="652723EB">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2E5A5FD6">
            <w:pPr>
              <w:tabs>
                <w:tab w:val="left" w:pos="720"/>
              </w:tabs>
              <w:adjustRightInd w:val="0"/>
              <w:snapToGrid w:val="0"/>
              <w:spacing w:line="360" w:lineRule="auto"/>
              <w:jc w:val="left"/>
              <w:rPr>
                <w:rFonts w:hint="eastAsia" w:ascii="仿宋" w:hAnsi="仿宋" w:eastAsia="仿宋" w:cs="仿宋"/>
                <w:b w:val="0"/>
                <w:bCs/>
                <w:color w:val="auto"/>
                <w:sz w:val="24"/>
                <w:highlight w:val="none"/>
              </w:rPr>
            </w:pPr>
          </w:p>
          <w:p w14:paraId="4FECF339">
            <w:pPr>
              <w:tabs>
                <w:tab w:val="left" w:pos="720"/>
              </w:tabs>
              <w:adjustRightInd w:val="0"/>
              <w:snapToGrid w:val="0"/>
              <w:spacing w:line="360" w:lineRule="auto"/>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 xml:space="preserve">                                      签名及日期：</w:t>
            </w:r>
          </w:p>
        </w:tc>
      </w:tr>
    </w:tbl>
    <w:p w14:paraId="309D2216">
      <w:pPr>
        <w:tabs>
          <w:tab w:val="left" w:pos="720"/>
        </w:tabs>
        <w:adjustRightInd w:val="0"/>
        <w:snapToGrid w:val="0"/>
        <w:spacing w:line="360" w:lineRule="auto"/>
        <w:ind w:left="-630" w:leftChars="-300" w:right="-630" w:rightChars="-300" w:firstLine="1049" w:firstLineChars="583"/>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填表要求：1、此表由</w:t>
      </w:r>
      <w:r>
        <w:rPr>
          <w:rFonts w:hint="eastAsia" w:ascii="仿宋" w:hAnsi="仿宋" w:eastAsia="仿宋" w:cs="仿宋"/>
          <w:b w:val="0"/>
          <w:bCs/>
          <w:color w:val="auto"/>
          <w:sz w:val="18"/>
          <w:szCs w:val="18"/>
          <w:highlight w:val="none"/>
          <w:lang w:val="en-US" w:eastAsia="zh-CN"/>
        </w:rPr>
        <w:t>乙方</w:t>
      </w:r>
      <w:r>
        <w:rPr>
          <w:rFonts w:hint="eastAsia" w:ascii="仿宋" w:hAnsi="仿宋" w:eastAsia="仿宋" w:cs="仿宋"/>
          <w:b w:val="0"/>
          <w:bCs/>
          <w:color w:val="auto"/>
          <w:sz w:val="18"/>
          <w:szCs w:val="18"/>
          <w:highlight w:val="none"/>
        </w:rPr>
        <w:t>发起，如实填写，不允许涂改，如有涂改或虚报，此表无效。</w:t>
      </w:r>
    </w:p>
    <w:p w14:paraId="3BAEBD22">
      <w:pPr>
        <w:numPr>
          <w:ilvl w:val="0"/>
          <w:numId w:val="1"/>
        </w:numPr>
        <w:tabs>
          <w:tab w:val="left" w:pos="720"/>
        </w:tabs>
        <w:adjustRightInd w:val="0"/>
        <w:snapToGrid w:val="0"/>
        <w:spacing w:line="360" w:lineRule="auto"/>
        <w:ind w:left="-315" w:leftChars="-150" w:right="-630" w:rightChars="-300" w:firstLine="1575" w:firstLineChars="875"/>
        <w:jc w:val="left"/>
        <w:rPr>
          <w:rFonts w:hint="eastAsia" w:ascii="仿宋" w:hAnsi="仿宋" w:eastAsia="仿宋" w:cs="仿宋"/>
          <w:b w:val="0"/>
          <w:bCs/>
          <w:color w:val="auto"/>
          <w:sz w:val="18"/>
          <w:szCs w:val="18"/>
          <w:highlight w:val="none"/>
        </w:rPr>
      </w:pPr>
      <w:r>
        <w:rPr>
          <w:rFonts w:hint="eastAsia" w:ascii="仿宋" w:hAnsi="仿宋" w:eastAsia="仿宋" w:cs="仿宋"/>
          <w:b w:val="0"/>
          <w:bCs/>
          <w:color w:val="auto"/>
          <w:sz w:val="18"/>
          <w:szCs w:val="18"/>
          <w:highlight w:val="none"/>
        </w:rPr>
        <w:t>此确认表作为向</w:t>
      </w:r>
      <w:r>
        <w:rPr>
          <w:rFonts w:hint="eastAsia" w:ascii="仿宋" w:hAnsi="仿宋" w:eastAsia="仿宋" w:cs="仿宋"/>
          <w:b w:val="0"/>
          <w:bCs/>
          <w:color w:val="auto"/>
          <w:sz w:val="18"/>
          <w:szCs w:val="18"/>
          <w:highlight w:val="none"/>
          <w:lang w:val="en-US" w:eastAsia="zh-CN"/>
        </w:rPr>
        <w:t>中泰建安</w:t>
      </w:r>
      <w:r>
        <w:rPr>
          <w:rFonts w:hint="eastAsia" w:ascii="仿宋" w:hAnsi="仿宋" w:eastAsia="仿宋" w:cs="仿宋"/>
          <w:b w:val="0"/>
          <w:bCs/>
          <w:color w:val="auto"/>
          <w:sz w:val="18"/>
          <w:szCs w:val="18"/>
          <w:highlight w:val="none"/>
        </w:rPr>
        <w:t>公司申报款项支付审批单的附件。</w:t>
      </w:r>
    </w:p>
    <w:p w14:paraId="656034A5">
      <w:pPr>
        <w:keepNext w:val="0"/>
        <w:keepLines w:val="0"/>
        <w:widowControl/>
        <w:suppressLineNumbers w:val="0"/>
        <w:jc w:val="both"/>
        <w:textAlignment w:val="center"/>
        <w:rPr>
          <w:rFonts w:hint="eastAsia" w:ascii="仿宋" w:hAnsi="仿宋" w:eastAsia="仿宋" w:cs="仿宋"/>
          <w:b/>
          <w:bCs/>
          <w:i w:val="0"/>
          <w:iCs w:val="0"/>
          <w:color w:val="auto"/>
          <w:kern w:val="0"/>
          <w:sz w:val="44"/>
          <w:szCs w:val="44"/>
          <w:highlight w:val="none"/>
          <w:u w:val="none"/>
          <w:lang w:val="en-US" w:eastAsia="zh-CN"/>
        </w:rPr>
      </w:pPr>
    </w:p>
    <w:p w14:paraId="11495FD2">
      <w:pPr>
        <w:keepNext w:val="0"/>
        <w:keepLines w:val="0"/>
        <w:widowControl/>
        <w:suppressLineNumbers w:val="0"/>
        <w:jc w:val="right"/>
        <w:textAlignment w:val="center"/>
        <w:rPr>
          <w:rFonts w:hint="eastAsia" w:ascii="仿宋" w:hAnsi="仿宋" w:eastAsia="仿宋" w:cs="仿宋"/>
          <w:b/>
          <w:bCs/>
          <w:i w:val="0"/>
          <w:iCs w:val="0"/>
          <w:color w:val="auto"/>
          <w:kern w:val="0"/>
          <w:sz w:val="44"/>
          <w:szCs w:val="44"/>
          <w:highlight w:val="none"/>
          <w:u w:val="none"/>
          <w:lang w:val="en-US" w:eastAsia="zh-CN"/>
        </w:rPr>
      </w:pPr>
    </w:p>
    <w:p w14:paraId="55BC3EDF">
      <w:pPr>
        <w:keepNext w:val="0"/>
        <w:keepLines w:val="0"/>
        <w:widowControl/>
        <w:suppressLineNumbers w:val="0"/>
        <w:jc w:val="both"/>
        <w:textAlignment w:val="center"/>
        <w:rPr>
          <w:rFonts w:hint="eastAsia" w:ascii="仿宋" w:hAnsi="仿宋" w:eastAsia="仿宋" w:cs="仿宋"/>
          <w:b/>
          <w:bCs/>
          <w:i w:val="0"/>
          <w:iCs w:val="0"/>
          <w:color w:val="auto"/>
          <w:kern w:val="0"/>
          <w:sz w:val="44"/>
          <w:szCs w:val="44"/>
          <w:highlight w:val="none"/>
          <w:u w:val="none"/>
          <w:lang w:val="en-US" w:eastAsia="zh-CN"/>
        </w:rPr>
      </w:pPr>
    </w:p>
    <w:p w14:paraId="0F07F2F8">
      <w:pPr>
        <w:keepNext w:val="0"/>
        <w:keepLines w:val="0"/>
        <w:widowControl/>
        <w:suppressLineNumbers w:val="0"/>
        <w:jc w:val="right"/>
        <w:textAlignment w:val="center"/>
        <w:rPr>
          <w:rFonts w:hint="eastAsia" w:ascii="仿宋" w:hAnsi="仿宋" w:eastAsia="仿宋" w:cs="仿宋"/>
          <w:b/>
          <w:bCs/>
          <w:i w:val="0"/>
          <w:iCs w:val="0"/>
          <w:color w:val="auto"/>
          <w:kern w:val="0"/>
          <w:sz w:val="44"/>
          <w:szCs w:val="44"/>
          <w:highlight w:val="none"/>
          <w:u w:val="none"/>
          <w:lang w:val="en-US" w:eastAsia="zh-CN"/>
        </w:rPr>
      </w:pPr>
      <w:r>
        <w:rPr>
          <w:rFonts w:hint="eastAsia" w:ascii="仿宋" w:hAnsi="仿宋" w:eastAsia="仿宋" w:cs="仿宋"/>
          <w:b/>
          <w:bCs/>
          <w:i w:val="0"/>
          <w:iCs w:val="0"/>
          <w:color w:val="auto"/>
          <w:kern w:val="0"/>
          <w:sz w:val="44"/>
          <w:szCs w:val="44"/>
          <w:highlight w:val="none"/>
          <w:u w:val="none"/>
          <w:lang w:val="en-US" w:eastAsia="zh-CN"/>
        </w:rPr>
        <w:t>附件四</w:t>
      </w:r>
    </w:p>
    <w:p w14:paraId="5B370773">
      <w:pPr>
        <w:keepNext w:val="0"/>
        <w:keepLines w:val="0"/>
        <w:widowControl/>
        <w:suppressLineNumbers w:val="0"/>
        <w:jc w:val="right"/>
        <w:textAlignment w:val="center"/>
        <w:rPr>
          <w:rFonts w:hint="eastAsia" w:ascii="仿宋" w:hAnsi="仿宋" w:eastAsia="仿宋" w:cs="仿宋"/>
          <w:b/>
          <w:bCs/>
          <w:i w:val="0"/>
          <w:iCs w:val="0"/>
          <w:color w:val="auto"/>
          <w:kern w:val="0"/>
          <w:sz w:val="44"/>
          <w:szCs w:val="44"/>
          <w:highlight w:val="none"/>
          <w:u w:val="none"/>
          <w:lang w:val="en-US" w:eastAsia="zh-CN"/>
        </w:rPr>
      </w:pPr>
    </w:p>
    <w:tbl>
      <w:tblPr>
        <w:tblStyle w:val="9"/>
        <w:tblpPr w:leftFromText="180" w:rightFromText="180" w:vertAnchor="text" w:horzAnchor="page" w:tblpX="1129" w:tblpY="277"/>
        <w:tblOverlap w:val="never"/>
        <w:tblW w:w="500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1407"/>
        <w:gridCol w:w="1059"/>
        <w:gridCol w:w="1059"/>
        <w:gridCol w:w="1490"/>
        <w:gridCol w:w="1914"/>
        <w:gridCol w:w="1059"/>
        <w:gridCol w:w="1092"/>
      </w:tblGrid>
      <w:tr w14:paraId="5993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5000" w:type="pct"/>
            <w:gridSpan w:val="8"/>
            <w:tcBorders>
              <w:top w:val="nil"/>
              <w:left w:val="nil"/>
              <w:bottom w:val="nil"/>
              <w:right w:val="nil"/>
            </w:tcBorders>
            <w:noWrap/>
            <w:vAlign w:val="center"/>
          </w:tcPr>
          <w:p w14:paraId="7CB19531">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44"/>
                <w:szCs w:val="44"/>
                <w:highlight w:val="none"/>
                <w:u w:val="none"/>
                <w:lang w:val="en-US" w:eastAsia="zh-CN" w:bidi="ar"/>
              </w:rPr>
              <w:t>付款台账汇总表</w:t>
            </w:r>
          </w:p>
        </w:tc>
      </w:tr>
      <w:tr w14:paraId="0133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1282DAA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4619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B96F65E">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60D57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64B8C17B">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7DB22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0A7F88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613395B2">
            <w:pPr>
              <w:keepNext w:val="0"/>
              <w:keepLines w:val="0"/>
              <w:widowControl/>
              <w:suppressLineNumbers w:val="0"/>
              <w:jc w:val="center"/>
              <w:textAlignment w:val="center"/>
              <w:rPr>
                <w:rFonts w:hint="eastAsia"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收/付款日期</w:t>
            </w:r>
          </w:p>
          <w:p w14:paraId="3A5C431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6DA3C8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330FA6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发票号码</w:t>
            </w: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67A74E0D">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当期应付金额</w:t>
            </w: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6707131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C78BCA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未付金额</w:t>
            </w: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558C68D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付款内容</w:t>
            </w:r>
          </w:p>
        </w:tc>
      </w:tr>
      <w:tr w14:paraId="04EC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35EF3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1092B77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657C20B">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A6853DD">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1A111567">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6F6601EF">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89F4A35">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534CBEAB">
            <w:pPr>
              <w:jc w:val="center"/>
              <w:rPr>
                <w:rFonts w:hint="eastAsia" w:ascii="仿宋" w:hAnsi="仿宋" w:eastAsia="仿宋" w:cs="仿宋"/>
                <w:i w:val="0"/>
                <w:iCs w:val="0"/>
                <w:color w:val="auto"/>
                <w:sz w:val="22"/>
                <w:szCs w:val="22"/>
                <w:highlight w:val="none"/>
                <w:u w:val="none"/>
              </w:rPr>
            </w:pPr>
          </w:p>
        </w:tc>
      </w:tr>
      <w:tr w14:paraId="482D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6C0BF1B9">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15523B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FEBC676">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9978EE9">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262EBDE8">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BF20331">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3597391">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08B3B0F6">
            <w:pPr>
              <w:jc w:val="center"/>
              <w:rPr>
                <w:rFonts w:hint="eastAsia" w:ascii="仿宋" w:hAnsi="仿宋" w:eastAsia="仿宋" w:cs="仿宋"/>
                <w:i w:val="0"/>
                <w:iCs w:val="0"/>
                <w:color w:val="auto"/>
                <w:sz w:val="22"/>
                <w:szCs w:val="22"/>
                <w:highlight w:val="none"/>
                <w:u w:val="none"/>
              </w:rPr>
            </w:pPr>
          </w:p>
        </w:tc>
      </w:tr>
      <w:tr w14:paraId="3642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5C8547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7DA9ECED">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52EB6B8">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C1CBFD1">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35B19218">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5427630">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B7FC187">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03D0A4A8">
            <w:pPr>
              <w:jc w:val="center"/>
              <w:rPr>
                <w:rFonts w:hint="eastAsia" w:ascii="仿宋" w:hAnsi="仿宋" w:eastAsia="仿宋" w:cs="仿宋"/>
                <w:i w:val="0"/>
                <w:iCs w:val="0"/>
                <w:color w:val="auto"/>
                <w:sz w:val="22"/>
                <w:szCs w:val="22"/>
                <w:highlight w:val="none"/>
                <w:u w:val="none"/>
              </w:rPr>
            </w:pPr>
          </w:p>
        </w:tc>
      </w:tr>
      <w:tr w14:paraId="0175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9F1424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792D03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83EED2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8B35367">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54CF67AD">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2CCFBD7">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F19E996">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3D020B46">
            <w:pPr>
              <w:jc w:val="center"/>
              <w:rPr>
                <w:rFonts w:hint="eastAsia" w:ascii="仿宋" w:hAnsi="仿宋" w:eastAsia="仿宋" w:cs="仿宋"/>
                <w:i w:val="0"/>
                <w:iCs w:val="0"/>
                <w:color w:val="auto"/>
                <w:sz w:val="22"/>
                <w:szCs w:val="22"/>
                <w:highlight w:val="none"/>
                <w:u w:val="none"/>
              </w:rPr>
            </w:pPr>
          </w:p>
        </w:tc>
      </w:tr>
      <w:tr w14:paraId="48C0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4C29D1B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ED893DA">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F8CE319">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54C2B167">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5E6B2D81">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1A39DE62">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45A6CCA">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72E1C9E1">
            <w:pPr>
              <w:jc w:val="center"/>
              <w:rPr>
                <w:rFonts w:hint="eastAsia" w:ascii="仿宋" w:hAnsi="仿宋" w:eastAsia="仿宋" w:cs="仿宋"/>
                <w:i w:val="0"/>
                <w:iCs w:val="0"/>
                <w:color w:val="auto"/>
                <w:sz w:val="22"/>
                <w:szCs w:val="22"/>
                <w:highlight w:val="none"/>
                <w:u w:val="none"/>
              </w:rPr>
            </w:pPr>
          </w:p>
        </w:tc>
      </w:tr>
      <w:tr w14:paraId="4573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590550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5AD5343">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BFB2230">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36B1C1B">
            <w:pPr>
              <w:jc w:val="center"/>
              <w:rPr>
                <w:rFonts w:hint="eastAsia" w:ascii="仿宋" w:hAnsi="仿宋" w:eastAsia="仿宋" w:cs="仿宋"/>
                <w:i w:val="0"/>
                <w:iCs w:val="0"/>
                <w:color w:val="auto"/>
                <w:sz w:val="22"/>
                <w:szCs w:val="22"/>
                <w:highlight w:val="none"/>
                <w:u w:val="none"/>
              </w:rPr>
            </w:pPr>
          </w:p>
        </w:tc>
        <w:tc>
          <w:tcPr>
            <w:tcW w:w="752" w:type="pct"/>
            <w:tcBorders>
              <w:top w:val="single" w:color="000000" w:sz="4" w:space="0"/>
              <w:left w:val="single" w:color="000000" w:sz="4" w:space="0"/>
              <w:bottom w:val="single" w:color="000000" w:sz="4" w:space="0"/>
              <w:right w:val="single" w:color="000000" w:sz="4" w:space="0"/>
            </w:tcBorders>
            <w:noWrap/>
            <w:vAlign w:val="center"/>
          </w:tcPr>
          <w:p w14:paraId="3F012AAC">
            <w:pPr>
              <w:jc w:val="center"/>
              <w:rPr>
                <w:rFonts w:hint="eastAsia" w:ascii="仿宋" w:hAnsi="仿宋" w:eastAsia="仿宋" w:cs="仿宋"/>
                <w:i w:val="0"/>
                <w:iCs w:val="0"/>
                <w:color w:val="auto"/>
                <w:sz w:val="22"/>
                <w:szCs w:val="22"/>
                <w:highlight w:val="none"/>
                <w:u w:val="none"/>
              </w:rPr>
            </w:pPr>
          </w:p>
        </w:tc>
        <w:tc>
          <w:tcPr>
            <w:tcW w:w="967" w:type="pct"/>
            <w:tcBorders>
              <w:top w:val="single" w:color="000000" w:sz="4" w:space="0"/>
              <w:left w:val="single" w:color="000000" w:sz="4" w:space="0"/>
              <w:bottom w:val="single" w:color="000000" w:sz="4" w:space="0"/>
              <w:right w:val="single" w:color="000000" w:sz="4" w:space="0"/>
            </w:tcBorders>
            <w:noWrap/>
            <w:vAlign w:val="center"/>
          </w:tcPr>
          <w:p w14:paraId="0BEAE63B">
            <w:pPr>
              <w:jc w:val="center"/>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1C0200A">
            <w:pPr>
              <w:jc w:val="center"/>
              <w:rPr>
                <w:rFonts w:hint="eastAsia" w:ascii="仿宋" w:hAnsi="仿宋" w:eastAsia="仿宋" w:cs="仿宋"/>
                <w:i w:val="0"/>
                <w:iCs w:val="0"/>
                <w:color w:val="auto"/>
                <w:sz w:val="22"/>
                <w:szCs w:val="22"/>
                <w:highlight w:val="none"/>
                <w:u w:val="none"/>
              </w:rPr>
            </w:pPr>
          </w:p>
        </w:tc>
        <w:tc>
          <w:tcPr>
            <w:tcW w:w="551" w:type="pct"/>
            <w:tcBorders>
              <w:top w:val="single" w:color="000000" w:sz="4" w:space="0"/>
              <w:left w:val="single" w:color="000000" w:sz="4" w:space="0"/>
              <w:bottom w:val="single" w:color="000000" w:sz="4" w:space="0"/>
              <w:right w:val="single" w:color="000000" w:sz="4" w:space="0"/>
            </w:tcBorders>
            <w:noWrap/>
            <w:vAlign w:val="center"/>
          </w:tcPr>
          <w:p w14:paraId="1D2EA8DE">
            <w:pPr>
              <w:jc w:val="center"/>
              <w:rPr>
                <w:rFonts w:hint="eastAsia" w:ascii="仿宋" w:hAnsi="仿宋" w:eastAsia="仿宋" w:cs="仿宋"/>
                <w:i w:val="0"/>
                <w:iCs w:val="0"/>
                <w:color w:val="auto"/>
                <w:sz w:val="22"/>
                <w:szCs w:val="22"/>
                <w:highlight w:val="none"/>
                <w:u w:val="none"/>
              </w:rPr>
            </w:pPr>
          </w:p>
        </w:tc>
      </w:tr>
      <w:tr w14:paraId="1505F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1121" w:type="pct"/>
            <w:gridSpan w:val="2"/>
            <w:tcBorders>
              <w:top w:val="nil"/>
              <w:left w:val="nil"/>
              <w:bottom w:val="nil"/>
              <w:right w:val="nil"/>
            </w:tcBorders>
            <w:noWrap/>
            <w:vAlign w:val="center"/>
          </w:tcPr>
          <w:p w14:paraId="078CFD74">
            <w:pPr>
              <w:jc w:val="left"/>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52D635F8">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B84CA60">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7FD19C5A">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01518D0D">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0A67A24A">
            <w:pPr>
              <w:jc w:val="left"/>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center"/>
          </w:tcPr>
          <w:p w14:paraId="42043DBC">
            <w:pPr>
              <w:jc w:val="center"/>
              <w:rPr>
                <w:rFonts w:hint="eastAsia" w:ascii="仿宋" w:hAnsi="仿宋" w:eastAsia="仿宋" w:cs="仿宋"/>
                <w:i w:val="0"/>
                <w:iCs w:val="0"/>
                <w:color w:val="auto"/>
                <w:sz w:val="22"/>
                <w:szCs w:val="22"/>
                <w:highlight w:val="none"/>
                <w:u w:val="none"/>
              </w:rPr>
            </w:pPr>
          </w:p>
        </w:tc>
      </w:tr>
      <w:tr w14:paraId="50D4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10" w:type="pct"/>
            <w:tcBorders>
              <w:top w:val="nil"/>
              <w:left w:val="nil"/>
              <w:bottom w:val="nil"/>
              <w:right w:val="nil"/>
            </w:tcBorders>
            <w:noWrap/>
            <w:vAlign w:val="bottom"/>
          </w:tcPr>
          <w:p w14:paraId="4692E2B0">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75703EE5">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FEC7474">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662932B">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6EBABD08">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34528C9D">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03446D5">
            <w:pPr>
              <w:jc w:val="center"/>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center"/>
          </w:tcPr>
          <w:p w14:paraId="4DA92EB5">
            <w:pPr>
              <w:jc w:val="center"/>
              <w:rPr>
                <w:rFonts w:hint="eastAsia" w:ascii="仿宋" w:hAnsi="仿宋" w:eastAsia="仿宋" w:cs="仿宋"/>
                <w:i w:val="0"/>
                <w:iCs w:val="0"/>
                <w:color w:val="auto"/>
                <w:sz w:val="22"/>
                <w:szCs w:val="22"/>
                <w:highlight w:val="none"/>
                <w:u w:val="none"/>
              </w:rPr>
            </w:pPr>
          </w:p>
        </w:tc>
      </w:tr>
      <w:tr w14:paraId="76E8E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10" w:type="pct"/>
            <w:tcBorders>
              <w:top w:val="nil"/>
              <w:left w:val="nil"/>
              <w:bottom w:val="nil"/>
              <w:right w:val="nil"/>
            </w:tcBorders>
            <w:noWrap/>
            <w:vAlign w:val="bottom"/>
          </w:tcPr>
          <w:p w14:paraId="61FC5579">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74AF55E">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9692F90">
            <w:pP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5CA074A">
            <w:pP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36D45091">
            <w:pP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7DA3C42C">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483C6ACD">
            <w:pPr>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19657C35">
            <w:pPr>
              <w:rPr>
                <w:rFonts w:hint="eastAsia" w:ascii="仿宋" w:hAnsi="仿宋" w:eastAsia="仿宋" w:cs="仿宋"/>
                <w:i w:val="0"/>
                <w:iCs w:val="0"/>
                <w:color w:val="auto"/>
                <w:sz w:val="22"/>
                <w:szCs w:val="22"/>
                <w:highlight w:val="none"/>
                <w:u w:val="none"/>
              </w:rPr>
            </w:pPr>
          </w:p>
        </w:tc>
      </w:tr>
      <w:tr w14:paraId="0316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10" w:type="pct"/>
            <w:tcBorders>
              <w:top w:val="nil"/>
              <w:left w:val="nil"/>
              <w:bottom w:val="nil"/>
              <w:right w:val="nil"/>
            </w:tcBorders>
            <w:noWrap/>
            <w:vAlign w:val="bottom"/>
          </w:tcPr>
          <w:p w14:paraId="27A2EEE7">
            <w:pP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55694F5">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6662AE5">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13B6167">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4A95773B">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2C84AD1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1D3C4949">
            <w:pPr>
              <w:jc w:val="left"/>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2E7331EB">
            <w:pPr>
              <w:rPr>
                <w:rFonts w:hint="eastAsia" w:ascii="仿宋" w:hAnsi="仿宋" w:eastAsia="仿宋" w:cs="仿宋"/>
                <w:i w:val="0"/>
                <w:iCs w:val="0"/>
                <w:color w:val="auto"/>
                <w:sz w:val="22"/>
                <w:szCs w:val="22"/>
                <w:highlight w:val="none"/>
                <w:u w:val="none"/>
              </w:rPr>
            </w:pPr>
          </w:p>
        </w:tc>
      </w:tr>
      <w:tr w14:paraId="7B17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10" w:type="pct"/>
            <w:tcBorders>
              <w:top w:val="nil"/>
              <w:left w:val="nil"/>
              <w:bottom w:val="nil"/>
              <w:right w:val="nil"/>
            </w:tcBorders>
            <w:noWrap/>
            <w:vAlign w:val="center"/>
          </w:tcPr>
          <w:p w14:paraId="43756468">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0E40522F">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172389E">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399776E">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1C772F63">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160E96E9">
            <w:pPr>
              <w:keepNext w:val="0"/>
              <w:keepLines w:val="0"/>
              <w:widowControl/>
              <w:suppressLineNumbers w:val="0"/>
              <w:jc w:val="left"/>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2389A760">
            <w:pPr>
              <w:jc w:val="left"/>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58F8962A">
            <w:pPr>
              <w:rPr>
                <w:rFonts w:hint="eastAsia" w:ascii="仿宋" w:hAnsi="仿宋" w:eastAsia="仿宋" w:cs="仿宋"/>
                <w:i w:val="0"/>
                <w:iCs w:val="0"/>
                <w:color w:val="auto"/>
                <w:sz w:val="22"/>
                <w:szCs w:val="22"/>
                <w:highlight w:val="none"/>
                <w:u w:val="none"/>
              </w:rPr>
            </w:pPr>
          </w:p>
        </w:tc>
      </w:tr>
      <w:tr w14:paraId="4732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410" w:type="pct"/>
            <w:tcBorders>
              <w:top w:val="nil"/>
              <w:left w:val="nil"/>
              <w:bottom w:val="nil"/>
              <w:right w:val="nil"/>
            </w:tcBorders>
            <w:noWrap/>
            <w:vAlign w:val="center"/>
          </w:tcPr>
          <w:p w14:paraId="141AB371">
            <w:pPr>
              <w:jc w:val="center"/>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19D33BC">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69401A2">
            <w:pPr>
              <w:jc w:val="center"/>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3D92CA2">
            <w:pPr>
              <w:jc w:val="center"/>
              <w:rPr>
                <w:rFonts w:hint="eastAsia" w:ascii="仿宋" w:hAnsi="仿宋" w:eastAsia="仿宋" w:cs="仿宋"/>
                <w:i w:val="0"/>
                <w:iCs w:val="0"/>
                <w:color w:val="auto"/>
                <w:sz w:val="22"/>
                <w:szCs w:val="22"/>
                <w:highlight w:val="none"/>
                <w:u w:val="none"/>
              </w:rPr>
            </w:pPr>
          </w:p>
        </w:tc>
        <w:tc>
          <w:tcPr>
            <w:tcW w:w="752" w:type="pct"/>
            <w:tcBorders>
              <w:top w:val="nil"/>
              <w:left w:val="nil"/>
              <w:bottom w:val="nil"/>
              <w:right w:val="nil"/>
            </w:tcBorders>
            <w:noWrap/>
            <w:vAlign w:val="center"/>
          </w:tcPr>
          <w:p w14:paraId="106085F9">
            <w:pPr>
              <w:jc w:val="center"/>
              <w:rPr>
                <w:rFonts w:hint="eastAsia" w:ascii="仿宋" w:hAnsi="仿宋" w:eastAsia="仿宋" w:cs="仿宋"/>
                <w:i w:val="0"/>
                <w:iCs w:val="0"/>
                <w:color w:val="auto"/>
                <w:sz w:val="22"/>
                <w:szCs w:val="22"/>
                <w:highlight w:val="none"/>
                <w:u w:val="none"/>
              </w:rPr>
            </w:pPr>
          </w:p>
        </w:tc>
        <w:tc>
          <w:tcPr>
            <w:tcW w:w="967" w:type="pct"/>
            <w:tcBorders>
              <w:top w:val="nil"/>
              <w:left w:val="nil"/>
              <w:bottom w:val="nil"/>
              <w:right w:val="nil"/>
            </w:tcBorders>
            <w:noWrap/>
            <w:vAlign w:val="center"/>
          </w:tcPr>
          <w:p w14:paraId="6C30578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38C2A4B9">
            <w:pPr>
              <w:jc w:val="center"/>
              <w:rPr>
                <w:rFonts w:hint="eastAsia" w:ascii="仿宋" w:hAnsi="仿宋" w:eastAsia="仿宋" w:cs="仿宋"/>
                <w:i w:val="0"/>
                <w:iCs w:val="0"/>
                <w:color w:val="auto"/>
                <w:sz w:val="22"/>
                <w:szCs w:val="22"/>
                <w:highlight w:val="none"/>
                <w:u w:val="none"/>
              </w:rPr>
            </w:pPr>
          </w:p>
        </w:tc>
        <w:tc>
          <w:tcPr>
            <w:tcW w:w="551" w:type="pct"/>
            <w:tcBorders>
              <w:top w:val="nil"/>
              <w:left w:val="nil"/>
              <w:bottom w:val="nil"/>
              <w:right w:val="nil"/>
            </w:tcBorders>
            <w:noWrap/>
            <w:vAlign w:val="bottom"/>
          </w:tcPr>
          <w:p w14:paraId="77C66A45">
            <w:pPr>
              <w:rPr>
                <w:rFonts w:hint="eastAsia" w:ascii="仿宋" w:hAnsi="仿宋" w:eastAsia="仿宋" w:cs="仿宋"/>
                <w:i w:val="0"/>
                <w:iCs w:val="0"/>
                <w:color w:val="auto"/>
                <w:sz w:val="22"/>
                <w:szCs w:val="22"/>
                <w:highlight w:val="none"/>
                <w:u w:val="none"/>
              </w:rPr>
            </w:pPr>
          </w:p>
        </w:tc>
      </w:tr>
    </w:tbl>
    <w:p w14:paraId="698CC996">
      <w:pPr>
        <w:widowControl w:val="0"/>
        <w:numPr>
          <w:ilvl w:val="0"/>
          <w:numId w:val="0"/>
        </w:numPr>
        <w:tabs>
          <w:tab w:val="left" w:pos="720"/>
        </w:tabs>
        <w:adjustRightInd w:val="0"/>
        <w:snapToGrid w:val="0"/>
        <w:spacing w:line="360" w:lineRule="auto"/>
        <w:ind w:right="-630" w:rightChars="-300"/>
        <w:jc w:val="left"/>
        <w:rPr>
          <w:rFonts w:hint="eastAsia" w:ascii="仿宋" w:hAnsi="仿宋" w:eastAsia="仿宋" w:cs="仿宋"/>
          <w:b w:val="0"/>
          <w:bCs/>
          <w:color w:val="auto"/>
          <w:sz w:val="18"/>
          <w:szCs w:val="18"/>
          <w:highlight w:val="none"/>
        </w:rPr>
      </w:pPr>
    </w:p>
    <w:p w14:paraId="44098030">
      <w:pPr>
        <w:jc w:val="right"/>
        <w:rPr>
          <w:rFonts w:hint="eastAsia" w:ascii="仿宋" w:hAnsi="仿宋" w:eastAsia="仿宋" w:cs="仿宋"/>
          <w:b/>
          <w:bCs/>
          <w:color w:val="auto"/>
          <w:sz w:val="44"/>
          <w:szCs w:val="44"/>
          <w:highlight w:val="none"/>
          <w:lang w:val="en-US" w:eastAsia="zh-CN"/>
        </w:rPr>
      </w:pPr>
    </w:p>
    <w:p w14:paraId="0C18A988">
      <w:pPr>
        <w:jc w:val="right"/>
        <w:rPr>
          <w:rFonts w:hint="eastAsia" w:ascii="仿宋" w:hAnsi="仿宋" w:eastAsia="仿宋" w:cs="仿宋"/>
          <w:b/>
          <w:bCs/>
          <w:color w:val="auto"/>
          <w:sz w:val="44"/>
          <w:szCs w:val="44"/>
          <w:highlight w:val="none"/>
          <w:lang w:val="en-US" w:eastAsia="zh-CN"/>
        </w:rPr>
      </w:pPr>
    </w:p>
    <w:p w14:paraId="32F1B529">
      <w:pPr>
        <w:jc w:val="right"/>
        <w:rPr>
          <w:rFonts w:hint="eastAsia" w:ascii="仿宋" w:hAnsi="仿宋" w:eastAsia="仿宋" w:cs="仿宋"/>
          <w:b/>
          <w:bCs/>
          <w:color w:val="auto"/>
          <w:sz w:val="44"/>
          <w:szCs w:val="44"/>
          <w:highlight w:val="none"/>
          <w:lang w:val="en-US" w:eastAsia="zh-CN"/>
        </w:rPr>
      </w:pPr>
    </w:p>
    <w:p w14:paraId="1609E7B7">
      <w:pPr>
        <w:jc w:val="right"/>
        <w:rPr>
          <w:rFonts w:hint="eastAsia" w:ascii="仿宋" w:hAnsi="仿宋" w:eastAsia="仿宋" w:cs="仿宋"/>
          <w:b/>
          <w:bCs/>
          <w:color w:val="auto"/>
          <w:sz w:val="44"/>
          <w:szCs w:val="44"/>
          <w:highlight w:val="none"/>
          <w:lang w:val="en-US" w:eastAsia="zh-CN"/>
        </w:rPr>
      </w:pPr>
    </w:p>
    <w:p w14:paraId="2944E50A">
      <w:pPr>
        <w:jc w:val="right"/>
        <w:rPr>
          <w:rFonts w:hint="eastAsia" w:ascii="仿宋" w:hAnsi="仿宋" w:eastAsia="仿宋" w:cs="仿宋"/>
          <w:b/>
          <w:bCs/>
          <w:color w:val="auto"/>
          <w:sz w:val="44"/>
          <w:szCs w:val="44"/>
          <w:highlight w:val="none"/>
          <w:lang w:val="en-US" w:eastAsia="zh-CN"/>
        </w:rPr>
      </w:pPr>
    </w:p>
    <w:p w14:paraId="579A667F">
      <w:pPr>
        <w:jc w:val="right"/>
        <w:rPr>
          <w:rFonts w:hint="eastAsia" w:ascii="仿宋" w:hAnsi="仿宋" w:eastAsia="仿宋" w:cs="仿宋"/>
          <w:b/>
          <w:bCs/>
          <w:color w:val="auto"/>
          <w:sz w:val="44"/>
          <w:szCs w:val="44"/>
          <w:highlight w:val="none"/>
          <w:lang w:val="en-US" w:eastAsia="zh-CN"/>
        </w:rPr>
      </w:pPr>
    </w:p>
    <w:p w14:paraId="22352F2C">
      <w:pPr>
        <w:jc w:val="right"/>
        <w:outlineLvl w:val="0"/>
        <w:rPr>
          <w:rFonts w:hint="eastAsia" w:ascii="仿宋" w:hAnsi="仿宋" w:eastAsia="仿宋" w:cs="仿宋"/>
          <w:b/>
          <w:bCs/>
          <w:color w:val="auto"/>
          <w:sz w:val="44"/>
          <w:szCs w:val="44"/>
          <w:highlight w:val="none"/>
          <w:lang w:val="en-US" w:eastAsia="zh-CN"/>
        </w:rPr>
      </w:pPr>
      <w:bookmarkStart w:id="171" w:name="_Toc11241"/>
      <w:bookmarkStart w:id="172" w:name="_Toc16723"/>
      <w:bookmarkStart w:id="173" w:name="_Toc13454"/>
      <w:bookmarkStart w:id="174" w:name="_Toc12354"/>
      <w:bookmarkStart w:id="175" w:name="_Toc19067"/>
      <w:bookmarkStart w:id="176" w:name="_Toc22599"/>
      <w:bookmarkStart w:id="177" w:name="_Toc29464"/>
      <w:bookmarkStart w:id="178" w:name="_Toc14727"/>
      <w:bookmarkStart w:id="179" w:name="_Toc18073"/>
      <w:bookmarkStart w:id="180" w:name="_Toc32530"/>
      <w:r>
        <w:rPr>
          <w:rFonts w:hint="eastAsia" w:ascii="仿宋" w:hAnsi="仿宋" w:eastAsia="仿宋" w:cs="仿宋"/>
          <w:b/>
          <w:bCs/>
          <w:color w:val="auto"/>
          <w:sz w:val="44"/>
          <w:szCs w:val="44"/>
          <w:highlight w:val="none"/>
          <w:lang w:val="en-US" w:eastAsia="zh-CN"/>
        </w:rPr>
        <w:t>附件五</w:t>
      </w:r>
      <w:bookmarkEnd w:id="171"/>
      <w:bookmarkEnd w:id="172"/>
      <w:bookmarkEnd w:id="173"/>
      <w:bookmarkEnd w:id="174"/>
      <w:bookmarkEnd w:id="175"/>
      <w:bookmarkEnd w:id="176"/>
      <w:bookmarkEnd w:id="177"/>
      <w:bookmarkEnd w:id="178"/>
      <w:bookmarkEnd w:id="179"/>
      <w:bookmarkEnd w:id="180"/>
    </w:p>
    <w:p w14:paraId="713C996E">
      <w:pPr>
        <w:jc w:val="center"/>
        <w:outlineLvl w:val="0"/>
        <w:rPr>
          <w:rFonts w:hint="eastAsia" w:ascii="仿宋" w:hAnsi="仿宋" w:eastAsia="仿宋" w:cs="仿宋"/>
          <w:b/>
          <w:bCs/>
          <w:color w:val="auto"/>
          <w:sz w:val="44"/>
          <w:szCs w:val="44"/>
          <w:highlight w:val="none"/>
        </w:rPr>
      </w:pPr>
      <w:bookmarkStart w:id="181" w:name="_Toc14992"/>
      <w:bookmarkStart w:id="182" w:name="_Toc24167"/>
    </w:p>
    <w:p w14:paraId="42BD62CF">
      <w:pPr>
        <w:jc w:val="center"/>
        <w:outlineLvl w:val="0"/>
        <w:rPr>
          <w:rFonts w:hint="eastAsia" w:ascii="仿宋" w:hAnsi="仿宋" w:eastAsia="仿宋" w:cs="仿宋"/>
          <w:b/>
          <w:bCs/>
          <w:color w:val="auto"/>
          <w:sz w:val="44"/>
          <w:szCs w:val="44"/>
          <w:highlight w:val="none"/>
        </w:rPr>
      </w:pPr>
      <w:bookmarkStart w:id="183" w:name="_Toc21678"/>
      <w:bookmarkStart w:id="184" w:name="_Toc16459"/>
      <w:bookmarkStart w:id="185" w:name="_Toc20348"/>
      <w:bookmarkStart w:id="186" w:name="_Toc14033"/>
      <w:bookmarkStart w:id="187" w:name="_Toc32101"/>
      <w:bookmarkStart w:id="188" w:name="_Toc28467"/>
      <w:bookmarkStart w:id="189" w:name="_Toc16556"/>
      <w:bookmarkStart w:id="190" w:name="_Toc15114"/>
      <w:r>
        <w:rPr>
          <w:rFonts w:hint="eastAsia" w:ascii="仿宋" w:hAnsi="仿宋" w:eastAsia="仿宋" w:cs="仿宋"/>
          <w:b/>
          <w:bCs/>
          <w:color w:val="auto"/>
          <w:sz w:val="44"/>
          <w:szCs w:val="44"/>
          <w:highlight w:val="none"/>
        </w:rPr>
        <w:t>结清承诺书</w:t>
      </w:r>
      <w:bookmarkEnd w:id="181"/>
      <w:bookmarkEnd w:id="182"/>
      <w:bookmarkEnd w:id="183"/>
      <w:bookmarkEnd w:id="184"/>
      <w:bookmarkEnd w:id="185"/>
      <w:bookmarkEnd w:id="186"/>
      <w:bookmarkEnd w:id="187"/>
      <w:bookmarkEnd w:id="188"/>
      <w:bookmarkEnd w:id="189"/>
      <w:bookmarkEnd w:id="190"/>
    </w:p>
    <w:p w14:paraId="7BCF46E6">
      <w:pPr>
        <w:rPr>
          <w:rFonts w:hint="eastAsia" w:ascii="仿宋" w:hAnsi="仿宋" w:eastAsia="仿宋" w:cs="仿宋"/>
          <w:color w:val="auto"/>
          <w:kern w:val="0"/>
          <w:sz w:val="28"/>
          <w:szCs w:val="28"/>
          <w:highlight w:val="none"/>
        </w:rPr>
      </w:pPr>
    </w:p>
    <w:p w14:paraId="5013C929">
      <w:pPr>
        <w:pStyle w:val="3"/>
        <w:spacing w:before="97" w:line="222" w:lineRule="auto"/>
        <w:ind w:left="23"/>
        <w:rPr>
          <w:color w:val="auto"/>
          <w:sz w:val="30"/>
          <w:szCs w:val="30"/>
          <w:highlight w:val="none"/>
        </w:rPr>
      </w:pPr>
      <w:r>
        <w:rPr>
          <w:color w:val="auto"/>
          <w:spacing w:val="-2"/>
          <w:sz w:val="30"/>
          <w:szCs w:val="30"/>
          <w:highlight w:val="none"/>
        </w:rPr>
        <w:t>致：东莞市中泰建安工程有限公司</w:t>
      </w:r>
    </w:p>
    <w:p w14:paraId="45D7049F">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供应商，履约期间的</w:t>
      </w:r>
      <w:r>
        <w:rPr>
          <w:rFonts w:hint="eastAsia" w:cs="仿宋"/>
          <w:color w:val="auto"/>
          <w:kern w:val="2"/>
          <w:sz w:val="30"/>
          <w:szCs w:val="30"/>
          <w:highlight w:val="none"/>
          <w:lang w:val="en-US" w:eastAsia="zh-CN" w:bidi="ar-SA"/>
        </w:rPr>
        <w:t>合同款</w:t>
      </w:r>
      <w:r>
        <w:rPr>
          <w:rFonts w:hint="eastAsia" w:ascii="仿宋" w:hAnsi="仿宋" w:eastAsia="仿宋" w:cs="仿宋"/>
          <w:color w:val="auto"/>
          <w:kern w:val="2"/>
          <w:sz w:val="30"/>
          <w:szCs w:val="30"/>
          <w:highlight w:val="none"/>
          <w:lang w:val="en-US" w:eastAsia="zh-CN" w:bidi="ar-SA"/>
        </w:rPr>
        <w:t>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元，待收款项</w:t>
      </w:r>
      <w:r>
        <w:rPr>
          <w:rFonts w:hint="eastAsia"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lang w:val="en-US" w:eastAsia="zh-CN" w:bidi="ar-SA"/>
        </w:rPr>
        <w:t>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2DBBE23D">
      <w:pPr>
        <w:pStyle w:val="3"/>
        <w:spacing w:before="51" w:line="376" w:lineRule="auto"/>
        <w:ind w:left="21" w:right="84"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w:t>
      </w:r>
      <w:r>
        <w:rPr>
          <w:rFonts w:hint="eastAsia" w:cs="仿宋"/>
          <w:color w:val="auto"/>
          <w:kern w:val="2"/>
          <w:sz w:val="30"/>
          <w:szCs w:val="30"/>
          <w:highlight w:val="none"/>
          <w:lang w:val="en-US" w:eastAsia="zh-CN" w:bidi="ar-SA"/>
        </w:rPr>
        <w:t>上述</w:t>
      </w:r>
      <w:r>
        <w:rPr>
          <w:rFonts w:hint="eastAsia" w:ascii="仿宋" w:hAnsi="仿宋" w:eastAsia="仿宋"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r>
        <w:rPr>
          <w:rFonts w:hint="eastAsia" w:cs="仿宋"/>
          <w:color w:val="auto"/>
          <w:kern w:val="2"/>
          <w:sz w:val="30"/>
          <w:szCs w:val="30"/>
          <w:highlight w:val="none"/>
          <w:lang w:val="en-US" w:eastAsia="zh-CN" w:bidi="ar-SA"/>
        </w:rPr>
        <w:t>后</w:t>
      </w:r>
      <w:r>
        <w:rPr>
          <w:rFonts w:hint="eastAsia" w:ascii="仿宋" w:hAnsi="仿宋" w:eastAsia="仿宋" w:cs="仿宋"/>
          <w:color w:val="auto"/>
          <w:kern w:val="2"/>
          <w:sz w:val="30"/>
          <w:szCs w:val="30"/>
          <w:highlight w:val="none"/>
          <w:lang w:val="en-US" w:eastAsia="zh-CN" w:bidi="ar-SA"/>
        </w:rPr>
        <w:t>，该项目</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w:t>
      </w:r>
      <w:r>
        <w:rPr>
          <w:rFonts w:hint="eastAsia" w:cs="仿宋"/>
          <w:color w:val="auto"/>
          <w:kern w:val="2"/>
          <w:sz w:val="30"/>
          <w:szCs w:val="30"/>
          <w:highlight w:val="none"/>
          <w:lang w:val="en-US" w:eastAsia="zh-CN" w:bidi="ar-SA"/>
        </w:rPr>
        <w:t>材料费用等合同款</w:t>
      </w:r>
      <w:r>
        <w:rPr>
          <w:rFonts w:hint="eastAsia" w:ascii="仿宋" w:hAnsi="仿宋" w:eastAsia="仿宋" w:cs="仿宋"/>
          <w:color w:val="auto"/>
          <w:kern w:val="2"/>
          <w:sz w:val="30"/>
          <w:szCs w:val="30"/>
          <w:highlight w:val="none"/>
          <w:lang w:val="en-US" w:eastAsia="zh-CN" w:bidi="ar-SA"/>
        </w:rPr>
        <w:t>全部结清，我司合同中的所有权利全部消灭，我司将不以任何理由、任何方式就该项目的合作向贵司提出任何权利主张或追索其他任何费用，同时我司相应的义务和责任按照合同执行。</w:t>
      </w:r>
    </w:p>
    <w:p w14:paraId="5611C6DB">
      <w:pPr>
        <w:pStyle w:val="3"/>
        <w:spacing w:before="50" w:line="223" w:lineRule="auto"/>
        <w:ind w:left="619"/>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1E45FF64">
      <w:pPr>
        <w:spacing w:line="261" w:lineRule="auto"/>
        <w:rPr>
          <w:rFonts w:ascii="Arial"/>
          <w:color w:val="auto"/>
          <w:sz w:val="20"/>
          <w:szCs w:val="22"/>
          <w:highlight w:val="none"/>
        </w:rPr>
      </w:pPr>
    </w:p>
    <w:p w14:paraId="12C8CC0B">
      <w:pPr>
        <w:spacing w:line="261" w:lineRule="auto"/>
        <w:rPr>
          <w:rFonts w:ascii="Arial"/>
          <w:color w:val="auto"/>
          <w:sz w:val="20"/>
          <w:szCs w:val="22"/>
          <w:highlight w:val="none"/>
        </w:rPr>
      </w:pPr>
    </w:p>
    <w:p w14:paraId="15E55E7D">
      <w:pPr>
        <w:pStyle w:val="3"/>
        <w:spacing w:before="98" w:line="221" w:lineRule="auto"/>
        <w:ind w:firstLine="4658" w:firstLineChars="1700"/>
        <w:rPr>
          <w:color w:val="auto"/>
          <w:sz w:val="28"/>
          <w:szCs w:val="28"/>
          <w:highlight w:val="none"/>
        </w:rPr>
      </w:pPr>
      <w:r>
        <w:rPr>
          <w:color w:val="auto"/>
          <w:spacing w:val="-3"/>
          <w:sz w:val="28"/>
          <w:szCs w:val="28"/>
          <w:highlight w:val="none"/>
        </w:rPr>
        <w:t>承诺单位（盖章</w:t>
      </w:r>
      <w:r>
        <w:rPr>
          <w:color w:val="auto"/>
          <w:sz w:val="28"/>
          <w:szCs w:val="28"/>
          <w:highlight w:val="none"/>
        </w:rPr>
        <w:t>）：</w:t>
      </w:r>
    </w:p>
    <w:p w14:paraId="291BB995">
      <w:pPr>
        <w:pStyle w:val="3"/>
        <w:spacing w:before="265" w:line="222" w:lineRule="auto"/>
        <w:jc w:val="center"/>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06BA250E">
      <w:pPr>
        <w:spacing w:line="281" w:lineRule="auto"/>
        <w:rPr>
          <w:rFonts w:ascii="Arial"/>
          <w:color w:val="auto"/>
          <w:sz w:val="20"/>
          <w:szCs w:val="22"/>
          <w:highlight w:val="none"/>
        </w:rPr>
      </w:pPr>
    </w:p>
    <w:p w14:paraId="4690C419">
      <w:pPr>
        <w:spacing w:line="281" w:lineRule="auto"/>
        <w:rPr>
          <w:rFonts w:ascii="Arial"/>
          <w:color w:val="auto"/>
          <w:sz w:val="20"/>
          <w:szCs w:val="22"/>
          <w:highlight w:val="none"/>
        </w:rPr>
      </w:pPr>
    </w:p>
    <w:p w14:paraId="6D87BA42">
      <w:pPr>
        <w:spacing w:line="281"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0288;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D1boBkPAIAAJUEAAAOAAAAZHJzL2Uyb0RvYy54bWytVEtu2zAQ&#10;3RfoHQjua9lOnESC5SzqppuiDZD0ADRJSQT4A0lL9r777rsseokiSE/TFD1Gh5T8abrxol7II87w&#10;zXvz0fx6oyRqufPC6BJPRmOMuKaGCV2X+OP9zasrjHwgmhFpNC/xlnt8vXj5Yt7Zgk9NYyTjDgGI&#10;9kVnS9yEYIss87ThiviRsVyDszJOkQCvrs6YIx2gK5lNx+OLrDOOWWco9x5Ol70TD4juFEBTVYLy&#10;paFrxXXoUR2XJIAk3wjr8SKxrSpOw4eq8jwgWWJQGtITkoC9is9sMSdF7YhtBB0okFMoPNOkiNCQ&#10;dA+1JIGgtRP/QClBnfGmCiNqVNYLSRUBFZPxs9rcNcTypAVK7e2+6P7/wdL37a1DgpUY2q6Jgob/&#10;fHj49enz07cvv398f3r8iq5ikTrrC4i9s7duePNgRsWbyqn4D1rQJhV2uy8s3wRE4fDi7Gycz6Dm&#10;FHz5bDqLkNnhLl378JabhEPadz70bWE7izQ7i270zrQkxOOYO5qoA+j8EpI0MNaz1A1lWn5vUkQ4&#10;kLscsh+8Uh9H5flFjhEw3QX2buAb8yTi+9xweExemxshZWIvdWI0OT8H2QQWpYIBBVNZKLbXdSLo&#10;jRQsXokcvatXr6VDLYnDmn4D07/CrPNhSXzTxzGwYhQpVrzlfeqGE/ZGMxS2FvqpYY1x5KI4w0hy&#10;2PpopTuBCHlKJMiUGpTHMegbH62VYVuYnrV1om5gtSaJbvTAtKY6DZsV1+H4PSEdvia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D1boBk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359DC274">
      <w:pPr>
        <w:pStyle w:val="3"/>
        <w:spacing w:before="98" w:line="222" w:lineRule="auto"/>
        <w:ind w:left="21"/>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5C82ACBB">
      <w:pPr>
        <w:pStyle w:val="3"/>
        <w:spacing w:before="263" w:line="220" w:lineRule="auto"/>
        <w:ind w:left="32"/>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1、本费用结清声明仅适用于“材料类”的购销合同。</w:t>
      </w:r>
    </w:p>
    <w:p w14:paraId="5570B6D7">
      <w:pPr>
        <w:numPr>
          <w:ilvl w:val="0"/>
          <w:numId w:val="0"/>
        </w:numPr>
        <w:ind w:leftChars="0"/>
        <w:jc w:val="left"/>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60FEA30E">
      <w:pP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br w:type="page"/>
      </w:r>
    </w:p>
    <w:p w14:paraId="1DC4C588">
      <w:pPr>
        <w:spacing w:before="63" w:line="219" w:lineRule="auto"/>
        <w:jc w:val="right"/>
        <w:rPr>
          <w:rFonts w:hint="eastAsia" w:ascii="仿宋" w:hAnsi="仿宋" w:eastAsia="仿宋" w:cs="仿宋"/>
          <w:b/>
          <w:bCs/>
          <w:color w:val="auto"/>
          <w:sz w:val="44"/>
          <w:szCs w:val="44"/>
          <w:highlight w:val="none"/>
          <w:lang w:val="en-US" w:eastAsia="zh-CN"/>
        </w:rPr>
        <w:sectPr>
          <w:footerReference r:id="rId6" w:type="default"/>
          <w:pgSz w:w="11906" w:h="16838"/>
          <w:pgMar w:top="1134" w:right="1176" w:bottom="567" w:left="1070" w:header="737" w:footer="624"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14:paraId="664C9457">
      <w:pPr>
        <w:spacing w:before="63" w:line="219" w:lineRule="auto"/>
        <w:jc w:val="right"/>
        <w:rPr>
          <w:rFonts w:hint="eastAsia" w:ascii="仿宋" w:hAnsi="仿宋" w:eastAsia="仿宋" w:cs="仿宋"/>
          <w:color w:val="auto"/>
          <w:sz w:val="44"/>
          <w:szCs w:val="44"/>
          <w:highlight w:val="none"/>
        </w:rPr>
      </w:pPr>
      <w:r>
        <w:rPr>
          <w:rFonts w:hint="eastAsia" w:ascii="仿宋" w:hAnsi="仿宋" w:eastAsia="仿宋" w:cs="仿宋"/>
          <w:b/>
          <w:bCs/>
          <w:color w:val="auto"/>
          <w:sz w:val="44"/>
          <w:szCs w:val="44"/>
          <w:highlight w:val="none"/>
          <w:lang w:val="en-US" w:eastAsia="zh-CN"/>
        </w:rPr>
        <w:t>附件六</w:t>
      </w:r>
    </w:p>
    <w:p w14:paraId="0A094B9F">
      <w:pPr>
        <w:widowControl/>
        <w:kinsoku w:val="0"/>
        <w:autoSpaceDE w:val="0"/>
        <w:autoSpaceDN w:val="0"/>
        <w:adjustRightInd w:val="0"/>
        <w:snapToGrid w:val="0"/>
        <w:spacing w:before="26" w:line="240" w:lineRule="auto"/>
        <w:jc w:val="left"/>
        <w:textAlignment w:val="baseline"/>
        <w:rPr>
          <w:rFonts w:ascii="Arial" w:hAnsi="Arial" w:eastAsia="Arial" w:cs="Arial"/>
          <w:snapToGrid w:val="0"/>
          <w:color w:val="auto"/>
          <w:kern w:val="0"/>
          <w:szCs w:val="21"/>
          <w:lang w:eastAsia="en-US"/>
        </w:rPr>
      </w:pPr>
    </w:p>
    <w:p w14:paraId="5C5A2DEB">
      <w:pPr>
        <w:widowControl/>
        <w:kinsoku w:val="0"/>
        <w:autoSpaceDE w:val="0"/>
        <w:autoSpaceDN w:val="0"/>
        <w:adjustRightInd w:val="0"/>
        <w:snapToGrid w:val="0"/>
        <w:spacing w:before="25" w:line="240" w:lineRule="auto"/>
        <w:jc w:val="center"/>
        <w:textAlignment w:val="baseline"/>
        <w:rPr>
          <w:rFonts w:hint="eastAsia" w:ascii="Arial" w:hAnsi="Arial" w:eastAsia="宋体" w:cs="Arial"/>
          <w:snapToGrid w:val="0"/>
          <w:color w:val="auto"/>
          <w:kern w:val="0"/>
          <w:szCs w:val="21"/>
          <w:lang w:val="en-US" w:eastAsia="zh-CN"/>
        </w:rPr>
      </w:pPr>
      <w:r>
        <w:rPr>
          <w:rFonts w:hint="eastAsia" w:ascii="Arial" w:hAnsi="Arial" w:eastAsia="宋体" w:cs="Arial"/>
          <w:snapToGrid w:val="0"/>
          <w:color w:val="auto"/>
          <w:kern w:val="0"/>
          <w:sz w:val="48"/>
          <w:szCs w:val="48"/>
          <w:lang w:val="en-US" w:eastAsia="zh-CN"/>
        </w:rPr>
        <w:t>东莞市中泰建安工程有限公司</w:t>
      </w:r>
    </w:p>
    <w:p w14:paraId="0922370D">
      <w:pPr>
        <w:keepNext w:val="0"/>
        <w:keepLines w:val="0"/>
        <w:pageBreakBefore w:val="0"/>
        <w:widowControl/>
        <w:kinsoku w:val="0"/>
        <w:wordWrap/>
        <w:overflowPunct/>
        <w:topLinePunct w:val="0"/>
        <w:autoSpaceDE w:val="0"/>
        <w:autoSpaceDN w:val="0"/>
        <w:bidi w:val="0"/>
        <w:adjustRightInd w:val="0"/>
        <w:snapToGrid w:val="0"/>
        <w:spacing w:line="240" w:lineRule="auto"/>
        <w:ind w:firstLine="2924"/>
        <w:jc w:val="right"/>
        <w:textAlignment w:val="baseline"/>
        <w:rPr>
          <w:rFonts w:hint="eastAsia" w:ascii="宋体" w:hAnsi="宋体" w:eastAsia="宋体" w:cs="宋体"/>
          <w:snapToGrid w:val="0"/>
          <w:color w:val="auto"/>
          <w:spacing w:val="-7"/>
          <w:kern w:val="0"/>
          <w:sz w:val="36"/>
          <w:szCs w:val="36"/>
          <w:lang w:val="en-US" w:eastAsia="zh-CN"/>
        </w:rPr>
      </w:pPr>
      <w:r>
        <w:rPr>
          <w:rFonts w:hint="eastAsia" w:ascii="Arial" w:hAnsi="Arial" w:eastAsia="宋体" w:cs="Arial"/>
          <w:snapToGrid w:val="0"/>
          <w:color w:val="auto"/>
          <w:kern w:val="0"/>
          <w:position w:val="-21"/>
          <w:szCs w:val="21"/>
          <w:lang w:val="en-US" w:eastAsia="zh-CN"/>
        </w:rPr>
        <w:t xml:space="preserve">                </w:t>
      </w:r>
      <w:r>
        <w:rPr>
          <w:rFonts w:hint="eastAsia" w:ascii="Arial" w:hAnsi="Arial" w:eastAsia="宋体" w:cs="Arial"/>
          <w:snapToGrid w:val="0"/>
          <w:color w:val="auto"/>
          <w:kern w:val="0"/>
          <w:position w:val="-21"/>
          <w:sz w:val="32"/>
          <w:szCs w:val="32"/>
          <w:lang w:val="en-US" w:eastAsia="zh-CN"/>
        </w:rPr>
        <w:t xml:space="preserve">                                                 受控                                       </w:t>
      </w:r>
    </w:p>
    <w:p w14:paraId="77218951">
      <w:pPr>
        <w:keepNext w:val="0"/>
        <w:keepLines w:val="0"/>
        <w:pageBreakBefore w:val="0"/>
        <w:widowControl/>
        <w:kinsoku w:val="0"/>
        <w:wordWrap/>
        <w:overflowPunct/>
        <w:topLinePunct w:val="0"/>
        <w:autoSpaceDE w:val="0"/>
        <w:autoSpaceDN w:val="0"/>
        <w:bidi w:val="0"/>
        <w:adjustRightInd w:val="0"/>
        <w:snapToGrid w:val="0"/>
        <w:spacing w:before="194" w:line="240" w:lineRule="auto"/>
        <w:ind w:left="6612"/>
        <w:jc w:val="left"/>
        <w:textAlignment w:val="baseline"/>
        <w:outlineLvl w:val="0"/>
        <w:rPr>
          <w:rFonts w:hint="eastAsia" w:ascii="宋体" w:hAnsi="宋体" w:eastAsia="宋体" w:cs="宋体"/>
          <w:snapToGrid w:val="0"/>
          <w:color w:val="auto"/>
          <w:spacing w:val="-7"/>
          <w:kern w:val="0"/>
          <w:sz w:val="36"/>
          <w:szCs w:val="36"/>
          <w:lang w:val="en-US" w:eastAsia="zh-CN" w:bidi="ar-SA"/>
        </w:rPr>
      </w:pPr>
      <w:r>
        <w:rPr>
          <w:rFonts w:hint="eastAsia" w:ascii="宋体" w:hAnsi="宋体" w:eastAsia="宋体" w:cs="宋体"/>
          <w:snapToGrid w:val="0"/>
          <w:color w:val="auto"/>
          <w:spacing w:val="-7"/>
          <w:kern w:val="0"/>
          <w:sz w:val="36"/>
          <w:szCs w:val="36"/>
          <w:lang w:val="en-US" w:eastAsia="zh-CN" w:bidi="ar-SA"/>
        </w:rPr>
        <w:t xml:space="preserve">                                    </w:t>
      </w:r>
      <w:bookmarkStart w:id="191" w:name="_Toc1556"/>
      <w:r>
        <w:rPr>
          <w:rFonts w:hint="eastAsia" w:ascii="宋体" w:hAnsi="宋体" w:eastAsia="宋体" w:cs="宋体"/>
          <w:snapToGrid w:val="0"/>
          <w:color w:val="auto"/>
          <w:spacing w:val="-7"/>
          <w:kern w:val="0"/>
          <w:sz w:val="36"/>
          <w:szCs w:val="36"/>
          <w:lang w:val="en-US" w:eastAsia="zh-CN" w:bidi="ar-SA"/>
        </w:rPr>
        <w:t>No.</w:t>
      </w:r>
      <w:bookmarkEnd w:id="191"/>
      <w:r>
        <w:rPr>
          <w:rFonts w:hint="eastAsia" w:ascii="宋体" w:hAnsi="宋体" w:eastAsia="宋体" w:cs="宋体"/>
          <w:snapToGrid w:val="0"/>
          <w:color w:val="auto"/>
          <w:spacing w:val="-7"/>
          <w:kern w:val="0"/>
          <w:sz w:val="36"/>
          <w:szCs w:val="36"/>
          <w:lang w:val="en-US" w:eastAsia="zh-CN" w:bidi="ar-SA"/>
        </w:rPr>
        <w:t xml:space="preserve"> </w:t>
      </w:r>
    </w:p>
    <w:p w14:paraId="15A50B1D">
      <w:pPr>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0"/>
        <w:rPr>
          <w:rFonts w:hint="eastAsia" w:ascii="宋体" w:hAnsi="宋体" w:eastAsia="宋体" w:cs="宋体"/>
          <w:snapToGrid w:val="0"/>
          <w:color w:val="auto"/>
          <w:kern w:val="0"/>
          <w:sz w:val="36"/>
          <w:szCs w:val="36"/>
          <w:lang w:val="en-US" w:eastAsia="en-US" w:bidi="ar-SA"/>
        </w:rPr>
      </w:pPr>
      <w:bookmarkStart w:id="192" w:name="_Toc926"/>
      <w:r>
        <w:rPr>
          <w:rFonts w:hint="eastAsia" w:ascii="宋体" w:hAnsi="宋体" w:eastAsia="宋体" w:cs="宋体"/>
          <w:snapToGrid w:val="0"/>
          <w:color w:val="auto"/>
          <w:spacing w:val="-7"/>
          <w:kern w:val="0"/>
          <w:sz w:val="36"/>
          <w:szCs w:val="36"/>
          <w:lang w:val="en-US" w:eastAsia="zh-CN" w:bidi="ar-SA"/>
        </w:rPr>
        <w:t xml:space="preserve">材  料  </w:t>
      </w:r>
      <w:r>
        <w:rPr>
          <w:rFonts w:hint="eastAsia" w:ascii="宋体" w:hAnsi="宋体" w:eastAsia="宋体" w:cs="宋体"/>
          <w:snapToGrid w:val="0"/>
          <w:color w:val="auto"/>
          <w:spacing w:val="-7"/>
          <w:kern w:val="0"/>
          <w:sz w:val="36"/>
          <w:szCs w:val="36"/>
          <w:lang w:val="en-US" w:eastAsia="en-US" w:bidi="ar-SA"/>
        </w:rPr>
        <w:t>签</w:t>
      </w:r>
      <w:r>
        <w:rPr>
          <w:rFonts w:hint="eastAsia" w:ascii="宋体" w:hAnsi="宋体" w:eastAsia="宋体" w:cs="宋体"/>
          <w:snapToGrid w:val="0"/>
          <w:color w:val="auto"/>
          <w:spacing w:val="82"/>
          <w:kern w:val="0"/>
          <w:sz w:val="36"/>
          <w:szCs w:val="36"/>
          <w:lang w:val="en-US" w:eastAsia="en-US" w:bidi="ar-SA"/>
        </w:rPr>
        <w:t xml:space="preserve"> </w:t>
      </w:r>
      <w:r>
        <w:rPr>
          <w:rFonts w:hint="eastAsia" w:ascii="宋体" w:hAnsi="宋体" w:eastAsia="宋体" w:cs="宋体"/>
          <w:snapToGrid w:val="0"/>
          <w:color w:val="auto"/>
          <w:spacing w:val="-7"/>
          <w:kern w:val="0"/>
          <w:sz w:val="36"/>
          <w:szCs w:val="36"/>
          <w:lang w:val="en-US" w:eastAsia="en-US" w:bidi="ar-SA"/>
        </w:rPr>
        <w:t>收</w:t>
      </w:r>
      <w:r>
        <w:rPr>
          <w:rFonts w:hint="eastAsia" w:ascii="宋体" w:hAnsi="宋体" w:eastAsia="宋体" w:cs="宋体"/>
          <w:snapToGrid w:val="0"/>
          <w:color w:val="auto"/>
          <w:spacing w:val="53"/>
          <w:kern w:val="0"/>
          <w:sz w:val="36"/>
          <w:szCs w:val="36"/>
          <w:lang w:val="en-US" w:eastAsia="en-US" w:bidi="ar-SA"/>
        </w:rPr>
        <w:t xml:space="preserve"> </w:t>
      </w:r>
      <w:r>
        <w:rPr>
          <w:rFonts w:hint="eastAsia" w:ascii="宋体" w:hAnsi="宋体" w:eastAsia="宋体" w:cs="宋体"/>
          <w:snapToGrid w:val="0"/>
          <w:color w:val="auto"/>
          <w:spacing w:val="-7"/>
          <w:kern w:val="0"/>
          <w:sz w:val="36"/>
          <w:szCs w:val="36"/>
          <w:lang w:val="en-US" w:eastAsia="en-US" w:bidi="ar-SA"/>
        </w:rPr>
        <w:t>单</w:t>
      </w:r>
      <w:bookmarkEnd w:id="192"/>
    </w:p>
    <w:p w14:paraId="4D88A48C">
      <w:pPr>
        <w:keepNext w:val="0"/>
        <w:keepLines w:val="0"/>
        <w:pageBreakBefore w:val="0"/>
        <w:widowControl/>
        <w:kinsoku w:val="0"/>
        <w:wordWrap/>
        <w:overflowPunct/>
        <w:topLinePunct w:val="0"/>
        <w:autoSpaceDE w:val="0"/>
        <w:autoSpaceDN w:val="0"/>
        <w:bidi w:val="0"/>
        <w:adjustRightInd w:val="0"/>
        <w:snapToGrid w:val="0"/>
        <w:spacing w:before="7" w:line="360" w:lineRule="auto"/>
        <w:ind w:left="251"/>
        <w:jc w:val="left"/>
        <w:textAlignment w:val="baseline"/>
        <w:rPr>
          <w:rFonts w:hint="eastAsia" w:ascii="宋体" w:hAnsi="宋体" w:eastAsia="宋体" w:cs="宋体"/>
          <w:snapToGrid w:val="0"/>
          <w:color w:val="auto"/>
          <w:kern w:val="0"/>
          <w:sz w:val="24"/>
          <w:szCs w:val="24"/>
          <w:lang w:val="en-US" w:eastAsia="en-US" w:bidi="ar-SA"/>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9363710</wp:posOffset>
                </wp:positionH>
                <wp:positionV relativeFrom="paragraph">
                  <wp:posOffset>207645</wp:posOffset>
                </wp:positionV>
                <wp:extent cx="389890" cy="3467100"/>
                <wp:effectExtent l="0" t="0" r="0" b="0"/>
                <wp:wrapNone/>
                <wp:docPr id="4" name="文本框 4"/>
                <wp:cNvGraphicFramePr/>
                <a:graphic xmlns:a="http://schemas.openxmlformats.org/drawingml/2006/main">
                  <a:graphicData uri="http://schemas.microsoft.com/office/word/2010/wordprocessingShape">
                    <wps:wsp>
                      <wps:cNvSpPr txBox="1"/>
                      <wps:spPr>
                        <a:xfrm>
                          <a:off x="9789795" y="3166110"/>
                          <a:ext cx="389890" cy="3467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177641">
                            <w:pPr>
                              <w:pStyle w:val="3"/>
                              <w:spacing w:before="20" w:line="209" w:lineRule="auto"/>
                              <w:ind w:left="20"/>
                              <w:rPr>
                                <w:color w:val="auto"/>
                                <w:sz w:val="21"/>
                                <w:szCs w:val="21"/>
                              </w:rPr>
                            </w:pPr>
                            <w:r>
                              <w:rPr>
                                <w:color w:val="auto"/>
                                <w:spacing w:val="35"/>
                                <w:sz w:val="21"/>
                                <w:szCs w:val="21"/>
                              </w:rPr>
                              <w:t>一存根（白）二</w:t>
                            </w:r>
                            <w:r>
                              <w:rPr>
                                <w:color w:val="auto"/>
                                <w:spacing w:val="63"/>
                                <w:sz w:val="21"/>
                                <w:szCs w:val="21"/>
                              </w:rPr>
                              <w:t xml:space="preserve"> </w:t>
                            </w:r>
                            <w:r>
                              <w:rPr>
                                <w:color w:val="auto"/>
                                <w:spacing w:val="35"/>
                                <w:sz w:val="21"/>
                                <w:szCs w:val="21"/>
                              </w:rPr>
                              <w:t>财务（红）三</w:t>
                            </w:r>
                            <w:r>
                              <w:rPr>
                                <w:color w:val="auto"/>
                                <w:spacing w:val="62"/>
                                <w:sz w:val="21"/>
                                <w:szCs w:val="21"/>
                              </w:rPr>
                              <w:t xml:space="preserve"> </w:t>
                            </w:r>
                            <w:r>
                              <w:rPr>
                                <w:color w:val="auto"/>
                                <w:spacing w:val="35"/>
                                <w:sz w:val="21"/>
                                <w:szCs w:val="21"/>
                              </w:rPr>
                              <w:t>顾客（绿）</w:t>
                            </w:r>
                          </w:p>
                          <w:p w14:paraId="34F1ACC7"/>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7.3pt;margin-top:16.35pt;height:273pt;width:30.7pt;z-index:251661312;mso-width-relative:page;mso-height-relative:page;" filled="f" stroked="f" coordsize="21600,21600" o:gfxdata="UEsDBAoAAAAAAIdO4kAAAAAAAAAAAAAAAAAEAAAAZHJzL1BLAwQUAAAACACHTuJAPKqAKdsAAAAM&#10;AQAADwAAAGRycy9kb3ducmV2LnhtbE2PS2uDQBSF94X+h+EGumvGGB+JcQylJdtAbaB0N+qtSuYh&#10;zpjY/vrerJrl4X6c+518P2vFLji63hoBq2UADE1tm960Ak4fh+cNMOelaaSyBgX8oIN98fiQy6yx&#10;V/OOl9K3jEqMy6SAzvsh49zVHWrplnZAQ7dvO2rpKY4tb0Z5pXKteBgECdeyN/ShkwO+dlify0kL&#10;mD+3x0O1Pb6o6estjsLfU2mnsxBPi1WwA+Zx9v8w3PRJHQpyquxkGscU5SiNEmIFrMMU2I2I1wnN&#10;qwTE6SYFXuT8fkTxB1BLAwQUAAAACACHTuJAgwZLhUwCAAB0BAAADgAAAGRycy9lMm9Eb2MueG1s&#10;rVRLbtswEN0X6B0I7mtZseMfLAduAhcFgiZA+lnTFGUJIDksSVtyD9DcoKtuuu+5fI4OKdkx0i6y&#10;6IYach5n5r0Zan7VKEl2wroKdEbTXp8SoTnkld5k9NPH1ZsJJc4znTMJWmR0Lxy9Wrx+Na/NTFxA&#10;CTIXlmAQ7Wa1yWjpvZklieOlUMz1wAiNzgKsYh63dpPkltUYXcnkot8fJTXY3Fjgwjk8vWmdtIto&#10;XxIQiqLi4gb4Vgnt26hWSOaRkisr4+giVlsUgvu7onDCE5lRZOrjiknQXoc1WczZbGOZKSvelcBe&#10;UsIzTopVGpOeQt0wz8jWVn+FUhW34KDwPQ4qaYlERZBF2n+mzUPJjIhcUGpnTqK7/xeWf9jdW1Ll&#10;GR1SopnChh9+PB5+/j78+k6GQZ7auBmiHgzifPMWGhya47nDw8C6KawKX+RD0D8dT6bj6SUl+4wO&#10;0tEoTTuhReMJR8BgMp1MsQU8AIajcdqPgOQpkrHOvxOgSDAyarGRUV+2u3Ueq0LoERISa1hVUsZm&#10;Sk3qjI4Gl/144eTBG1LjxcCnrTtYvlk3Hck15HvkaKEdEmf4qsLkt8z5e2ZxKrBgfDf+DpdCAiaB&#10;zqKkBPvtX+cBn1HBPuOXkhrnLKPu65ZZQYl8r7GR03Q4DIMZN8PL8QVu7Llnfe7RW3UNOMopvlHD&#10;oxnwXh7NwoL6gg9sGfKii2mOtWUUs7fmtW+nHx8oF8tlBOEoGuZv9YPhIXQr6HLroaii1kGoVp1O&#10;PxzG2ILu4YRpP99H1NPPYv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KqAKdsAAAAMAQAADwAA&#10;AAAAAAABACAAAAAiAAAAZHJzL2Rvd25yZXYueG1sUEsBAhQAFAAAAAgAh07iQIMGS4VMAgAAdAQA&#10;AA4AAAAAAAAAAQAgAAAAKgEAAGRycy9lMm9Eb2MueG1sUEsFBgAAAAAGAAYAWQEAAOgFAAAAAA==&#10;">
                <v:fill on="f" focussize="0,0"/>
                <v:stroke on="f" weight="0.5pt"/>
                <v:imagedata o:title=""/>
                <o:lock v:ext="edit" aspectratio="f"/>
                <v:textbox style="layout-flow:vertical-ideographic;">
                  <w:txbxContent>
                    <w:p w14:paraId="34177641">
                      <w:pPr>
                        <w:pStyle w:val="3"/>
                        <w:spacing w:before="20" w:line="209" w:lineRule="auto"/>
                        <w:ind w:left="20"/>
                        <w:rPr>
                          <w:color w:val="auto"/>
                          <w:sz w:val="21"/>
                          <w:szCs w:val="21"/>
                        </w:rPr>
                      </w:pPr>
                      <w:r>
                        <w:rPr>
                          <w:color w:val="auto"/>
                          <w:spacing w:val="35"/>
                          <w:sz w:val="21"/>
                          <w:szCs w:val="21"/>
                        </w:rPr>
                        <w:t>一存根（白）二</w:t>
                      </w:r>
                      <w:r>
                        <w:rPr>
                          <w:color w:val="auto"/>
                          <w:spacing w:val="63"/>
                          <w:sz w:val="21"/>
                          <w:szCs w:val="21"/>
                        </w:rPr>
                        <w:t xml:space="preserve"> </w:t>
                      </w:r>
                      <w:r>
                        <w:rPr>
                          <w:color w:val="auto"/>
                          <w:spacing w:val="35"/>
                          <w:sz w:val="21"/>
                          <w:szCs w:val="21"/>
                        </w:rPr>
                        <w:t>财务（红）三</w:t>
                      </w:r>
                      <w:r>
                        <w:rPr>
                          <w:color w:val="auto"/>
                          <w:spacing w:val="62"/>
                          <w:sz w:val="21"/>
                          <w:szCs w:val="21"/>
                        </w:rPr>
                        <w:t xml:space="preserve"> </w:t>
                      </w:r>
                      <w:r>
                        <w:rPr>
                          <w:color w:val="auto"/>
                          <w:spacing w:val="35"/>
                          <w:sz w:val="21"/>
                          <w:szCs w:val="21"/>
                        </w:rPr>
                        <w:t>顾客（绿）</w:t>
                      </w:r>
                    </w:p>
                    <w:p w14:paraId="34F1ACC7"/>
                  </w:txbxContent>
                </v:textbox>
              </v:shape>
            </w:pict>
          </mc:Fallback>
        </mc:AlternateContent>
      </w:r>
      <w:r>
        <w:rPr>
          <w:rFonts w:hint="eastAsia" w:ascii="宋体" w:hAnsi="宋体" w:eastAsia="宋体" w:cs="宋体"/>
          <w:snapToGrid w:val="0"/>
          <w:color w:val="auto"/>
          <w:spacing w:val="1"/>
          <w:kern w:val="0"/>
          <w:sz w:val="24"/>
          <w:szCs w:val="24"/>
          <w:lang w:val="en-US" w:eastAsia="zh-CN" w:bidi="ar-SA"/>
        </w:rPr>
        <w:t>RM-17-A</w:t>
      </w:r>
      <w:r>
        <w:rPr>
          <w:rFonts w:hint="eastAsia" w:ascii="宋体" w:hAnsi="宋体" w:eastAsia="宋体" w:cs="宋体"/>
          <w:snapToGrid w:val="0"/>
          <w:color w:val="auto"/>
          <w:spacing w:val="1"/>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en-US" w:bidi="ar-SA"/>
        </w:rPr>
        <w:t xml:space="preserve">              </w:t>
      </w:r>
      <w:r>
        <w:rPr>
          <w:rFonts w:hint="eastAsia" w:ascii="宋体" w:hAnsi="宋体" w:eastAsia="宋体" w:cs="宋体"/>
          <w:snapToGrid w:val="0"/>
          <w:color w:val="auto"/>
          <w:kern w:val="0"/>
          <w:sz w:val="24"/>
          <w:szCs w:val="24"/>
          <w:lang w:val="en-US" w:eastAsia="zh-CN" w:bidi="ar-SA"/>
        </w:rPr>
        <w:t xml:space="preserve">    20  年    月   日</w:t>
      </w:r>
      <w:r>
        <w:rPr>
          <w:rFonts w:hint="eastAsia" w:ascii="宋体" w:hAnsi="宋体" w:eastAsia="宋体" w:cs="宋体"/>
          <w:snapToGrid w:val="0"/>
          <w:color w:val="auto"/>
          <w:kern w:val="0"/>
          <w:sz w:val="24"/>
          <w:szCs w:val="24"/>
          <w:lang w:val="en-US" w:eastAsia="en-US" w:bidi="ar-SA"/>
        </w:rPr>
        <w:t xml:space="preserve">                              </w:t>
      </w:r>
    </w:p>
    <w:tbl>
      <w:tblPr>
        <w:tblStyle w:val="14"/>
        <w:tblW w:w="140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63"/>
        <w:gridCol w:w="2369"/>
        <w:gridCol w:w="1916"/>
        <w:gridCol w:w="1723"/>
        <w:gridCol w:w="1265"/>
        <w:gridCol w:w="2803"/>
      </w:tblGrid>
      <w:tr w14:paraId="4F618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3963" w:type="dxa"/>
            <w:vAlign w:val="top"/>
          </w:tcPr>
          <w:p w14:paraId="0AD97F12">
            <w:pPr>
              <w:widowControl/>
              <w:kinsoku w:val="0"/>
              <w:autoSpaceDE w:val="0"/>
              <w:autoSpaceDN w:val="0"/>
              <w:adjustRightInd w:val="0"/>
              <w:snapToGrid w:val="0"/>
              <w:spacing w:before="263" w:line="220"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7"/>
                <w:kern w:val="0"/>
                <w:sz w:val="24"/>
                <w:szCs w:val="24"/>
                <w:lang w:eastAsia="en-US"/>
              </w:rPr>
              <w:t>工</w:t>
            </w:r>
            <w:r>
              <w:rPr>
                <w:rFonts w:hint="eastAsia" w:ascii="宋体" w:hAnsi="宋体" w:eastAsia="宋体" w:cs="宋体"/>
                <w:snapToGrid w:val="0"/>
                <w:color w:val="auto"/>
                <w:spacing w:val="7"/>
                <w:kern w:val="0"/>
                <w:sz w:val="24"/>
                <w:szCs w:val="24"/>
                <w:lang w:val="en-US" w:eastAsia="zh-CN"/>
              </w:rPr>
              <w:t>地</w:t>
            </w:r>
            <w:r>
              <w:rPr>
                <w:rFonts w:hint="eastAsia" w:ascii="宋体" w:hAnsi="宋体" w:eastAsia="宋体" w:cs="宋体"/>
                <w:snapToGrid w:val="0"/>
                <w:color w:val="auto"/>
                <w:spacing w:val="7"/>
                <w:kern w:val="0"/>
                <w:sz w:val="24"/>
                <w:szCs w:val="24"/>
                <w:lang w:eastAsia="en-US"/>
              </w:rPr>
              <w:t>名称</w:t>
            </w:r>
          </w:p>
        </w:tc>
        <w:tc>
          <w:tcPr>
            <w:tcW w:w="2369" w:type="dxa"/>
            <w:vAlign w:val="top"/>
          </w:tcPr>
          <w:p w14:paraId="5B2AF9F1">
            <w:pPr>
              <w:widowControl/>
              <w:kinsoku w:val="0"/>
              <w:autoSpaceDE w:val="0"/>
              <w:autoSpaceDN w:val="0"/>
              <w:adjustRightInd w:val="0"/>
              <w:snapToGrid w:val="0"/>
              <w:spacing w:before="262" w:line="219"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7"/>
                <w:kern w:val="0"/>
                <w:sz w:val="24"/>
                <w:szCs w:val="24"/>
                <w:lang w:eastAsia="en-US"/>
              </w:rPr>
              <w:t>材料名称</w:t>
            </w:r>
          </w:p>
        </w:tc>
        <w:tc>
          <w:tcPr>
            <w:tcW w:w="1916" w:type="dxa"/>
            <w:vAlign w:val="top"/>
          </w:tcPr>
          <w:p w14:paraId="534A1CD5">
            <w:pPr>
              <w:widowControl/>
              <w:kinsoku w:val="0"/>
              <w:autoSpaceDE w:val="0"/>
              <w:autoSpaceDN w:val="0"/>
              <w:adjustRightInd w:val="0"/>
              <w:snapToGrid w:val="0"/>
              <w:spacing w:before="263" w:line="220"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单位</w:t>
            </w:r>
          </w:p>
        </w:tc>
        <w:tc>
          <w:tcPr>
            <w:tcW w:w="1723" w:type="dxa"/>
            <w:vAlign w:val="top"/>
          </w:tcPr>
          <w:p w14:paraId="4CA320AE">
            <w:pPr>
              <w:widowControl/>
              <w:kinsoku w:val="0"/>
              <w:autoSpaceDE w:val="0"/>
              <w:autoSpaceDN w:val="0"/>
              <w:adjustRightInd w:val="0"/>
              <w:snapToGrid w:val="0"/>
              <w:spacing w:before="263" w:line="219" w:lineRule="auto"/>
              <w:jc w:val="center"/>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数量</w:t>
            </w:r>
          </w:p>
        </w:tc>
        <w:tc>
          <w:tcPr>
            <w:tcW w:w="1265" w:type="dxa"/>
            <w:vAlign w:val="top"/>
          </w:tcPr>
          <w:p w14:paraId="6536E9EE">
            <w:pPr>
              <w:widowControl/>
              <w:kinsoku w:val="0"/>
              <w:autoSpaceDE w:val="0"/>
              <w:autoSpaceDN w:val="0"/>
              <w:adjustRightInd w:val="0"/>
              <w:snapToGrid w:val="0"/>
              <w:spacing w:before="263" w:line="218" w:lineRule="auto"/>
              <w:ind w:left="413"/>
              <w:jc w:val="left"/>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单价</w:t>
            </w:r>
          </w:p>
        </w:tc>
        <w:tc>
          <w:tcPr>
            <w:tcW w:w="2803" w:type="dxa"/>
            <w:vAlign w:val="top"/>
          </w:tcPr>
          <w:p w14:paraId="4C948F9A">
            <w:pPr>
              <w:widowControl/>
              <w:kinsoku w:val="0"/>
              <w:autoSpaceDE w:val="0"/>
              <w:autoSpaceDN w:val="0"/>
              <w:adjustRightInd w:val="0"/>
              <w:snapToGrid w:val="0"/>
              <w:spacing w:before="262" w:line="221" w:lineRule="auto"/>
              <w:ind w:left="1209"/>
              <w:jc w:val="left"/>
              <w:textAlignment w:val="baseline"/>
              <w:rPr>
                <w:rFonts w:hint="eastAsia" w:ascii="宋体" w:hAnsi="宋体" w:eastAsia="宋体" w:cs="宋体"/>
                <w:snapToGrid w:val="0"/>
                <w:color w:val="auto"/>
                <w:kern w:val="0"/>
                <w:sz w:val="24"/>
                <w:szCs w:val="24"/>
                <w:lang w:eastAsia="en-US"/>
              </w:rPr>
            </w:pPr>
            <w:r>
              <w:rPr>
                <w:rFonts w:hint="eastAsia" w:ascii="宋体" w:hAnsi="宋体" w:eastAsia="宋体" w:cs="宋体"/>
                <w:snapToGrid w:val="0"/>
                <w:color w:val="auto"/>
                <w:spacing w:val="1"/>
                <w:kern w:val="0"/>
                <w:sz w:val="24"/>
                <w:szCs w:val="24"/>
                <w:lang w:eastAsia="en-US"/>
              </w:rPr>
              <w:t>备注</w:t>
            </w:r>
          </w:p>
        </w:tc>
      </w:tr>
      <w:tr w14:paraId="55A97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3963" w:type="dxa"/>
            <w:vAlign w:val="top"/>
          </w:tcPr>
          <w:p w14:paraId="3C4DE82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69" w:type="dxa"/>
            <w:vAlign w:val="top"/>
          </w:tcPr>
          <w:p w14:paraId="69354F3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916" w:type="dxa"/>
            <w:vAlign w:val="top"/>
          </w:tcPr>
          <w:p w14:paraId="1623FFC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723" w:type="dxa"/>
            <w:vAlign w:val="top"/>
          </w:tcPr>
          <w:p w14:paraId="201F993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65" w:type="dxa"/>
            <w:vAlign w:val="top"/>
          </w:tcPr>
          <w:p w14:paraId="1547D175">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803" w:type="dxa"/>
            <w:vAlign w:val="top"/>
          </w:tcPr>
          <w:p w14:paraId="06D04FB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5703E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3963" w:type="dxa"/>
            <w:vAlign w:val="top"/>
          </w:tcPr>
          <w:p w14:paraId="24D995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69" w:type="dxa"/>
            <w:vAlign w:val="top"/>
          </w:tcPr>
          <w:p w14:paraId="2B056716">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916" w:type="dxa"/>
            <w:vAlign w:val="top"/>
          </w:tcPr>
          <w:p w14:paraId="325FDF2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723" w:type="dxa"/>
            <w:vAlign w:val="top"/>
          </w:tcPr>
          <w:p w14:paraId="16E475E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65" w:type="dxa"/>
            <w:vAlign w:val="top"/>
          </w:tcPr>
          <w:p w14:paraId="75124437">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803" w:type="dxa"/>
            <w:vAlign w:val="top"/>
          </w:tcPr>
          <w:p w14:paraId="1E33B9D0">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16124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3963" w:type="dxa"/>
            <w:vAlign w:val="top"/>
          </w:tcPr>
          <w:p w14:paraId="2051594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69" w:type="dxa"/>
            <w:vAlign w:val="top"/>
          </w:tcPr>
          <w:p w14:paraId="607F01C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916" w:type="dxa"/>
            <w:vAlign w:val="top"/>
          </w:tcPr>
          <w:p w14:paraId="0DEE0814">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723" w:type="dxa"/>
            <w:vAlign w:val="top"/>
          </w:tcPr>
          <w:p w14:paraId="629377D9">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65" w:type="dxa"/>
            <w:vAlign w:val="top"/>
          </w:tcPr>
          <w:p w14:paraId="0AFA261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803" w:type="dxa"/>
            <w:vAlign w:val="top"/>
          </w:tcPr>
          <w:p w14:paraId="33C704B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2F9DE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jc w:val="center"/>
        </w:trPr>
        <w:tc>
          <w:tcPr>
            <w:tcW w:w="3963" w:type="dxa"/>
            <w:vAlign w:val="top"/>
          </w:tcPr>
          <w:p w14:paraId="59A580E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69" w:type="dxa"/>
            <w:vAlign w:val="top"/>
          </w:tcPr>
          <w:p w14:paraId="4AB375FF">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916" w:type="dxa"/>
            <w:vAlign w:val="top"/>
          </w:tcPr>
          <w:p w14:paraId="2ECC31DC">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723" w:type="dxa"/>
            <w:vAlign w:val="top"/>
          </w:tcPr>
          <w:p w14:paraId="4B85D62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65" w:type="dxa"/>
            <w:vAlign w:val="top"/>
          </w:tcPr>
          <w:p w14:paraId="72B6841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803" w:type="dxa"/>
            <w:vAlign w:val="top"/>
          </w:tcPr>
          <w:p w14:paraId="0C468C3E">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r w14:paraId="5031F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jc w:val="center"/>
        </w:trPr>
        <w:tc>
          <w:tcPr>
            <w:tcW w:w="3963" w:type="dxa"/>
            <w:vAlign w:val="top"/>
          </w:tcPr>
          <w:p w14:paraId="3A43353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369" w:type="dxa"/>
            <w:vAlign w:val="top"/>
          </w:tcPr>
          <w:p w14:paraId="327EBF1A">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916" w:type="dxa"/>
            <w:vAlign w:val="top"/>
          </w:tcPr>
          <w:p w14:paraId="45F6A55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723" w:type="dxa"/>
            <w:vAlign w:val="top"/>
          </w:tcPr>
          <w:p w14:paraId="26B34B83">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1265" w:type="dxa"/>
            <w:vAlign w:val="top"/>
          </w:tcPr>
          <w:p w14:paraId="6B12E702">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c>
          <w:tcPr>
            <w:tcW w:w="2803" w:type="dxa"/>
            <w:vAlign w:val="top"/>
          </w:tcPr>
          <w:p w14:paraId="095ED0ED">
            <w:pPr>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1"/>
                <w:szCs w:val="21"/>
                <w:lang w:val="en-US" w:eastAsia="en-US" w:bidi="ar-SA"/>
              </w:rPr>
            </w:pPr>
          </w:p>
        </w:tc>
      </w:tr>
    </w:tbl>
    <w:p w14:paraId="60E7B074">
      <w:pPr>
        <w:widowControl/>
        <w:kinsoku w:val="0"/>
        <w:autoSpaceDE w:val="0"/>
        <w:autoSpaceDN w:val="0"/>
        <w:adjustRightInd w:val="0"/>
        <w:snapToGrid w:val="0"/>
        <w:spacing w:line="371" w:lineRule="auto"/>
        <w:jc w:val="left"/>
        <w:textAlignment w:val="baseline"/>
        <w:rPr>
          <w:rFonts w:hint="eastAsia" w:ascii="宋体" w:hAnsi="宋体" w:eastAsia="宋体" w:cs="宋体"/>
          <w:snapToGrid w:val="0"/>
          <w:color w:val="auto"/>
          <w:kern w:val="0"/>
          <w:sz w:val="21"/>
          <w:szCs w:val="21"/>
          <w:lang w:eastAsia="en-US"/>
        </w:rPr>
      </w:pPr>
    </w:p>
    <w:p w14:paraId="6AC84538">
      <w:pPr>
        <w:kinsoku w:val="0"/>
        <w:autoSpaceDE w:val="0"/>
        <w:autoSpaceDN w:val="0"/>
        <w:adjustRightInd w:val="0"/>
        <w:snapToGrid w:val="0"/>
        <w:spacing w:before="79" w:line="184" w:lineRule="auto"/>
        <w:ind w:left="87"/>
        <w:jc w:val="left"/>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spacing w:val="9"/>
          <w:kern w:val="0"/>
          <w:sz w:val="24"/>
          <w:szCs w:val="24"/>
          <w:lang w:val="en-US" w:eastAsia="en-US" w:bidi="ar-SA"/>
        </w:rPr>
        <w:t>工地负责人：</w:t>
      </w:r>
      <w:r>
        <w:rPr>
          <w:rFonts w:hint="eastAsia" w:ascii="宋体" w:hAnsi="宋体" w:eastAsia="宋体" w:cs="宋体"/>
          <w:snapToGrid w:val="0"/>
          <w:color w:val="auto"/>
          <w:kern w:val="0"/>
          <w:sz w:val="24"/>
          <w:szCs w:val="24"/>
          <w:lang w:val="en-US" w:eastAsia="en-US" w:bidi="ar-SA"/>
        </w:rPr>
        <w:t xml:space="preserve">                                 </w:t>
      </w:r>
      <w:r>
        <w:rPr>
          <w:rFonts w:hint="eastAsia" w:ascii="宋体" w:hAnsi="宋体" w:eastAsia="宋体" w:cs="宋体"/>
          <w:snapToGrid w:val="0"/>
          <w:color w:val="auto"/>
          <w:spacing w:val="9"/>
          <w:kern w:val="0"/>
          <w:sz w:val="24"/>
          <w:szCs w:val="24"/>
          <w:lang w:val="en-US" w:eastAsia="en-US" w:bidi="ar-SA"/>
        </w:rPr>
        <w:t>签收人：</w:t>
      </w:r>
      <w:r>
        <w:rPr>
          <w:rFonts w:hint="eastAsia" w:ascii="宋体" w:hAnsi="宋体" w:eastAsia="宋体" w:cs="宋体"/>
          <w:snapToGrid w:val="0"/>
          <w:color w:val="auto"/>
          <w:spacing w:val="2"/>
          <w:kern w:val="0"/>
          <w:sz w:val="24"/>
          <w:szCs w:val="24"/>
          <w:lang w:val="en-US" w:eastAsia="en-US" w:bidi="ar-SA"/>
        </w:rPr>
        <w:t xml:space="preserve">                                </w:t>
      </w:r>
      <w:r>
        <w:rPr>
          <w:rFonts w:hint="eastAsia" w:ascii="宋体" w:hAnsi="宋体" w:eastAsia="宋体" w:cs="宋体"/>
          <w:snapToGrid w:val="0"/>
          <w:color w:val="auto"/>
          <w:spacing w:val="1"/>
          <w:kern w:val="0"/>
          <w:sz w:val="24"/>
          <w:szCs w:val="24"/>
          <w:lang w:val="en-US" w:eastAsia="en-US" w:bidi="ar-SA"/>
        </w:rPr>
        <w:t xml:space="preserve">    </w:t>
      </w:r>
      <w:r>
        <w:rPr>
          <w:rFonts w:hint="eastAsia" w:ascii="宋体" w:hAnsi="宋体" w:eastAsia="宋体" w:cs="宋体"/>
          <w:snapToGrid w:val="0"/>
          <w:color w:val="auto"/>
          <w:spacing w:val="9"/>
          <w:kern w:val="0"/>
          <w:sz w:val="24"/>
          <w:szCs w:val="24"/>
          <w:lang w:val="en-US" w:eastAsia="en-US" w:bidi="ar-SA"/>
        </w:rPr>
        <w:t>送货单位及经</w:t>
      </w:r>
      <w:r>
        <w:rPr>
          <w:rFonts w:hint="eastAsia" w:ascii="宋体" w:hAnsi="宋体" w:eastAsia="宋体" w:cs="宋体"/>
          <w:snapToGrid w:val="0"/>
          <w:color w:val="auto"/>
          <w:spacing w:val="9"/>
          <w:kern w:val="0"/>
          <w:sz w:val="24"/>
          <w:szCs w:val="24"/>
          <w:lang w:val="en-US" w:eastAsia="zh-CN" w:bidi="ar-SA"/>
        </w:rPr>
        <w:t>手</w:t>
      </w:r>
      <w:r>
        <w:rPr>
          <w:rFonts w:hint="eastAsia" w:ascii="宋体" w:hAnsi="宋体" w:eastAsia="宋体" w:cs="宋体"/>
          <w:snapToGrid w:val="0"/>
          <w:color w:val="auto"/>
          <w:spacing w:val="9"/>
          <w:kern w:val="0"/>
          <w:sz w:val="24"/>
          <w:szCs w:val="24"/>
          <w:lang w:val="en-US" w:eastAsia="en-US" w:bidi="ar-SA"/>
        </w:rPr>
        <w:t>人</w:t>
      </w:r>
      <w:r>
        <w:rPr>
          <w:rFonts w:hint="eastAsia" w:ascii="宋体" w:hAnsi="宋体" w:eastAsia="宋体" w:cs="宋体"/>
          <w:snapToGrid w:val="0"/>
          <w:color w:val="auto"/>
          <w:spacing w:val="9"/>
          <w:kern w:val="0"/>
          <w:sz w:val="24"/>
          <w:szCs w:val="24"/>
          <w:lang w:val="en-US" w:eastAsia="zh-CN" w:bidi="ar-SA"/>
        </w:rPr>
        <w:t>：</w:t>
      </w:r>
    </w:p>
    <w:p w14:paraId="3AD6E507">
      <w:pPr>
        <w:spacing w:before="63" w:line="219" w:lineRule="auto"/>
        <w:jc w:val="right"/>
        <w:rPr>
          <w:rFonts w:hint="default" w:ascii="宋体" w:hAnsi="宋体" w:eastAsia="宋体" w:cs="宋体"/>
          <w:color w:val="auto"/>
          <w:spacing w:val="-13"/>
          <w:sz w:val="40"/>
          <w:szCs w:val="40"/>
          <w:highlight w:val="none"/>
          <w:lang w:val="en-US" w:eastAsia="zh-CN"/>
          <w14:textOutline w14:w="5803" w14:cap="flat" w14:cmpd="sng">
            <w14:solidFill>
              <w14:srgbClr w14:val="000000"/>
            </w14:solidFill>
            <w14:prstDash w14:val="solid"/>
            <w14:miter w14:val="0"/>
          </w14:textOutline>
        </w:rPr>
      </w:pPr>
      <w:r>
        <w:rPr>
          <w:rFonts w:hint="eastAsia" w:ascii="仿宋" w:hAnsi="仿宋" w:eastAsia="仿宋" w:cs="仿宋"/>
          <w:b/>
          <w:bCs/>
          <w:i w:val="0"/>
          <w:iCs w:val="0"/>
          <w:color w:val="auto"/>
          <w:kern w:val="0"/>
          <w:sz w:val="44"/>
          <w:szCs w:val="44"/>
          <w:highlight w:val="none"/>
          <w:u w:val="none"/>
          <w:lang w:val="en-US" w:eastAsia="zh-CN" w:bidi="ar"/>
        </w:rPr>
        <w:t>附件七</w:t>
      </w:r>
    </w:p>
    <w:p w14:paraId="2DDE1CBF">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highlight w:val="none"/>
          <w:u w:val="single" w:color="auto"/>
        </w:rPr>
        <w:tab/>
      </w:r>
      <w:r>
        <w:rPr>
          <w:rFonts w:hint="eastAsia" w:ascii="宋体" w:hAnsi="宋体" w:eastAsia="宋体" w:cs="宋体"/>
          <w:color w:val="auto"/>
          <w:sz w:val="32"/>
          <w:szCs w:val="32"/>
          <w:highlight w:val="none"/>
          <w:u w:val="single" w:color="auto"/>
          <w:lang w:val="en-US" w:eastAsia="zh-CN"/>
        </w:rPr>
        <w:t xml:space="preserve">     </w:t>
      </w:r>
      <w:bookmarkStart w:id="193" w:name="_Toc4207"/>
      <w:r>
        <w:rPr>
          <w:rFonts w:hint="eastAsia" w:ascii="宋体" w:hAnsi="宋体" w:eastAsia="宋体" w:cs="宋体"/>
          <w:b/>
          <w:bCs/>
          <w:color w:val="auto"/>
          <w:sz w:val="32"/>
          <w:szCs w:val="32"/>
          <w:highlight w:val="none"/>
        </w:rPr>
        <w:t>有限公司</w:t>
      </w:r>
      <w:r>
        <w:rPr>
          <w:rFonts w:hint="eastAsia" w:ascii="宋体" w:hAnsi="宋体" w:eastAsia="宋体" w:cs="宋体"/>
          <w:b/>
          <w:bCs/>
          <w:color w:val="auto"/>
          <w:sz w:val="32"/>
          <w:szCs w:val="32"/>
          <w:highlight w:val="none"/>
          <w:u w:val="single" w:color="auto"/>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pacing w:val="4"/>
          <w:sz w:val="32"/>
          <w:szCs w:val="32"/>
          <w:highlight w:val="none"/>
          <w:u w:val="single" w:color="auto"/>
        </w:rPr>
        <w:t xml:space="preserve">   </w:t>
      </w:r>
      <w:r>
        <w:rPr>
          <w:rFonts w:hint="eastAsia" w:ascii="宋体" w:hAnsi="宋体" w:eastAsia="宋体" w:cs="宋体"/>
          <w:b/>
          <w:bCs/>
          <w:color w:val="auto"/>
          <w:spacing w:val="-72"/>
          <w:sz w:val="32"/>
          <w:szCs w:val="32"/>
          <w:highlight w:val="none"/>
        </w:rPr>
        <w:t xml:space="preserve"> </w:t>
      </w:r>
      <w:r>
        <w:rPr>
          <w:rFonts w:hint="eastAsia" w:ascii="宋体" w:hAnsi="宋体" w:eastAsia="宋体" w:cs="宋体"/>
          <w:b/>
          <w:bCs/>
          <w:color w:val="auto"/>
          <w:sz w:val="32"/>
          <w:szCs w:val="32"/>
          <w:highlight w:val="none"/>
        </w:rPr>
        <w:t>月对账单</w:t>
      </w:r>
      <w:bookmarkEnd w:id="193"/>
    </w:p>
    <w:p w14:paraId="0A6E87C7">
      <w:pPr>
        <w:rPr>
          <w:rFonts w:hint="default"/>
          <w:color w:val="auto"/>
          <w:highlight w:val="none"/>
          <w:lang w:val="en-US" w:eastAsia="zh-CN"/>
        </w:rPr>
      </w:pPr>
    </w:p>
    <w:p w14:paraId="203C544F">
      <w:pPr>
        <w:pStyle w:val="3"/>
        <w:spacing w:before="35" w:line="309" w:lineRule="exact"/>
        <w:ind w:left="67"/>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项目名称：</w:t>
      </w:r>
    </w:p>
    <w:p w14:paraId="4B03CD83">
      <w:pPr>
        <w:pStyle w:val="3"/>
        <w:spacing w:before="35" w:line="309" w:lineRule="exact"/>
        <w:ind w:left="67"/>
        <w:rPr>
          <w:rFonts w:hint="eastAsia" w:ascii="宋体" w:hAnsi="宋体" w:eastAsia="宋体" w:cs="宋体"/>
          <w:color w:val="auto"/>
          <w:spacing w:val="8"/>
          <w:position w:val="10"/>
          <w:sz w:val="20"/>
          <w:szCs w:val="20"/>
          <w:highlight w:val="none"/>
        </w:rPr>
      </w:pPr>
    </w:p>
    <w:p w14:paraId="742CC0F6">
      <w:pPr>
        <w:rPr>
          <w:rFonts w:hint="eastAsia" w:ascii="宋体" w:hAnsi="宋体" w:eastAsia="宋体" w:cs="宋体"/>
          <w:color w:val="auto"/>
          <w:spacing w:val="8"/>
          <w:position w:val="10"/>
          <w:sz w:val="20"/>
          <w:szCs w:val="20"/>
          <w:highlight w:val="none"/>
        </w:rPr>
      </w:pPr>
      <w:r>
        <w:rPr>
          <w:rFonts w:hint="eastAsia" w:ascii="宋体" w:hAnsi="宋体" w:eastAsia="宋体" w:cs="宋体"/>
          <w:color w:val="auto"/>
          <w:spacing w:val="8"/>
          <w:position w:val="10"/>
          <w:sz w:val="20"/>
          <w:szCs w:val="20"/>
          <w:highlight w:val="none"/>
        </w:rPr>
        <w:t>收货单位：</w:t>
      </w:r>
    </w:p>
    <w:tbl>
      <w:tblPr>
        <w:tblStyle w:val="14"/>
        <w:tblW w:w="14142" w:type="dxa"/>
        <w:tblInd w:w="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831"/>
        <w:gridCol w:w="930"/>
        <w:gridCol w:w="931"/>
        <w:gridCol w:w="900"/>
        <w:gridCol w:w="1065"/>
        <w:gridCol w:w="854"/>
        <w:gridCol w:w="1201"/>
        <w:gridCol w:w="846"/>
        <w:gridCol w:w="916"/>
        <w:gridCol w:w="1142"/>
        <w:gridCol w:w="1142"/>
        <w:gridCol w:w="2777"/>
      </w:tblGrid>
      <w:tr w14:paraId="3356C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4A0CC4E3">
            <w:pPr>
              <w:spacing w:before="154" w:line="191" w:lineRule="auto"/>
              <w:ind w:left="124"/>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831" w:type="dxa"/>
            <w:vAlign w:val="top"/>
          </w:tcPr>
          <w:p w14:paraId="14C223C7">
            <w:pPr>
              <w:spacing w:before="154" w:line="191"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930" w:type="dxa"/>
            <w:vAlign w:val="top"/>
          </w:tcPr>
          <w:p w14:paraId="797F94C9">
            <w:pPr>
              <w:spacing w:before="154" w:line="191"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931" w:type="dxa"/>
            <w:vAlign w:val="top"/>
          </w:tcPr>
          <w:p w14:paraId="3A3DD058">
            <w:pPr>
              <w:spacing w:before="154" w:line="191"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900" w:type="dxa"/>
            <w:vAlign w:val="top"/>
          </w:tcPr>
          <w:p w14:paraId="64E899D2">
            <w:pPr>
              <w:spacing w:before="154" w:line="191"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1065" w:type="dxa"/>
            <w:vAlign w:val="top"/>
          </w:tcPr>
          <w:p w14:paraId="3AAA197B">
            <w:pPr>
              <w:spacing w:before="156" w:line="190" w:lineRule="auto"/>
              <w:ind w:firstLine="188" w:firstLineChars="100"/>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854" w:type="dxa"/>
            <w:vAlign w:val="top"/>
          </w:tcPr>
          <w:p w14:paraId="5FA0FFB2">
            <w:pPr>
              <w:spacing w:before="154" w:line="191"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1201" w:type="dxa"/>
            <w:vAlign w:val="top"/>
          </w:tcPr>
          <w:p w14:paraId="6571EC0E">
            <w:pPr>
              <w:spacing w:before="154" w:line="191" w:lineRule="auto"/>
              <w:ind w:left="23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846" w:type="dxa"/>
            <w:vAlign w:val="top"/>
          </w:tcPr>
          <w:p w14:paraId="63B188A8">
            <w:pPr>
              <w:spacing w:before="154" w:line="191" w:lineRule="auto"/>
              <w:ind w:left="59"/>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916" w:type="dxa"/>
            <w:vAlign w:val="top"/>
          </w:tcPr>
          <w:p w14:paraId="2A7D2EBE">
            <w:pPr>
              <w:spacing w:before="156" w:line="190" w:lineRule="auto"/>
              <w:ind w:left="281"/>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1142" w:type="dxa"/>
            <w:vAlign w:val="top"/>
          </w:tcPr>
          <w:p w14:paraId="28167863">
            <w:pPr>
              <w:spacing w:before="154" w:line="191" w:lineRule="auto"/>
              <w:ind w:left="397"/>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1142" w:type="dxa"/>
            <w:vAlign w:val="top"/>
          </w:tcPr>
          <w:p w14:paraId="5E1FE014">
            <w:pPr>
              <w:spacing w:before="156" w:line="190" w:lineRule="auto"/>
              <w:ind w:left="395"/>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777" w:type="dxa"/>
            <w:vAlign w:val="top"/>
          </w:tcPr>
          <w:p w14:paraId="718D93E2">
            <w:pPr>
              <w:spacing w:before="154" w:line="191" w:lineRule="auto"/>
              <w:ind w:left="1213"/>
              <w:jc w:val="both"/>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58373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27ABB11F">
            <w:pPr>
              <w:spacing w:before="163" w:line="180" w:lineRule="auto"/>
              <w:ind w:left="270"/>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831" w:type="dxa"/>
            <w:vAlign w:val="top"/>
          </w:tcPr>
          <w:p w14:paraId="0220A882">
            <w:pPr>
              <w:pStyle w:val="15"/>
              <w:rPr>
                <w:color w:val="auto"/>
                <w:highlight w:val="none"/>
              </w:rPr>
            </w:pPr>
          </w:p>
        </w:tc>
        <w:tc>
          <w:tcPr>
            <w:tcW w:w="930" w:type="dxa"/>
            <w:vAlign w:val="top"/>
          </w:tcPr>
          <w:p w14:paraId="6164624D">
            <w:pPr>
              <w:pStyle w:val="15"/>
              <w:rPr>
                <w:color w:val="auto"/>
                <w:highlight w:val="none"/>
              </w:rPr>
            </w:pPr>
          </w:p>
        </w:tc>
        <w:tc>
          <w:tcPr>
            <w:tcW w:w="931" w:type="dxa"/>
            <w:vAlign w:val="top"/>
          </w:tcPr>
          <w:p w14:paraId="26E3C086">
            <w:pPr>
              <w:pStyle w:val="15"/>
              <w:rPr>
                <w:color w:val="auto"/>
                <w:highlight w:val="none"/>
              </w:rPr>
            </w:pPr>
          </w:p>
        </w:tc>
        <w:tc>
          <w:tcPr>
            <w:tcW w:w="900" w:type="dxa"/>
            <w:vAlign w:val="top"/>
          </w:tcPr>
          <w:p w14:paraId="64760B9B">
            <w:pPr>
              <w:pStyle w:val="15"/>
              <w:rPr>
                <w:color w:val="auto"/>
                <w:highlight w:val="none"/>
              </w:rPr>
            </w:pPr>
          </w:p>
        </w:tc>
        <w:tc>
          <w:tcPr>
            <w:tcW w:w="1065" w:type="dxa"/>
            <w:vAlign w:val="top"/>
          </w:tcPr>
          <w:p w14:paraId="2C51062C">
            <w:pPr>
              <w:pStyle w:val="15"/>
              <w:rPr>
                <w:color w:val="auto"/>
                <w:highlight w:val="none"/>
              </w:rPr>
            </w:pPr>
          </w:p>
        </w:tc>
        <w:tc>
          <w:tcPr>
            <w:tcW w:w="854" w:type="dxa"/>
            <w:vAlign w:val="top"/>
          </w:tcPr>
          <w:p w14:paraId="47177281">
            <w:pPr>
              <w:pStyle w:val="15"/>
              <w:rPr>
                <w:color w:val="auto"/>
                <w:highlight w:val="none"/>
              </w:rPr>
            </w:pPr>
          </w:p>
        </w:tc>
        <w:tc>
          <w:tcPr>
            <w:tcW w:w="1201" w:type="dxa"/>
            <w:vAlign w:val="top"/>
          </w:tcPr>
          <w:p w14:paraId="7FD15EB0">
            <w:pPr>
              <w:pStyle w:val="15"/>
              <w:rPr>
                <w:color w:val="auto"/>
                <w:highlight w:val="none"/>
              </w:rPr>
            </w:pPr>
          </w:p>
        </w:tc>
        <w:tc>
          <w:tcPr>
            <w:tcW w:w="846" w:type="dxa"/>
            <w:vAlign w:val="top"/>
          </w:tcPr>
          <w:p w14:paraId="076BEA7B">
            <w:pPr>
              <w:pStyle w:val="15"/>
              <w:rPr>
                <w:color w:val="auto"/>
                <w:highlight w:val="none"/>
              </w:rPr>
            </w:pPr>
          </w:p>
        </w:tc>
        <w:tc>
          <w:tcPr>
            <w:tcW w:w="916" w:type="dxa"/>
            <w:vAlign w:val="top"/>
          </w:tcPr>
          <w:p w14:paraId="47E895EF">
            <w:pPr>
              <w:pStyle w:val="15"/>
              <w:rPr>
                <w:color w:val="auto"/>
                <w:highlight w:val="none"/>
              </w:rPr>
            </w:pPr>
          </w:p>
        </w:tc>
        <w:tc>
          <w:tcPr>
            <w:tcW w:w="1142" w:type="dxa"/>
            <w:vAlign w:val="top"/>
          </w:tcPr>
          <w:p w14:paraId="66EEF96A">
            <w:pPr>
              <w:pStyle w:val="15"/>
              <w:rPr>
                <w:color w:val="auto"/>
                <w:highlight w:val="none"/>
              </w:rPr>
            </w:pPr>
          </w:p>
        </w:tc>
        <w:tc>
          <w:tcPr>
            <w:tcW w:w="1142" w:type="dxa"/>
            <w:vAlign w:val="top"/>
          </w:tcPr>
          <w:p w14:paraId="607DA590">
            <w:pPr>
              <w:pStyle w:val="15"/>
              <w:rPr>
                <w:color w:val="auto"/>
                <w:highlight w:val="none"/>
              </w:rPr>
            </w:pPr>
          </w:p>
        </w:tc>
        <w:tc>
          <w:tcPr>
            <w:tcW w:w="2777" w:type="dxa"/>
            <w:vAlign w:val="top"/>
          </w:tcPr>
          <w:p w14:paraId="3C0980B2">
            <w:pPr>
              <w:pStyle w:val="15"/>
              <w:rPr>
                <w:color w:val="auto"/>
                <w:highlight w:val="none"/>
              </w:rPr>
            </w:pPr>
          </w:p>
        </w:tc>
      </w:tr>
      <w:tr w14:paraId="1FC78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02F82334">
            <w:pPr>
              <w:spacing w:before="164"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831" w:type="dxa"/>
            <w:vAlign w:val="top"/>
          </w:tcPr>
          <w:p w14:paraId="2E31528B">
            <w:pPr>
              <w:pStyle w:val="15"/>
              <w:rPr>
                <w:color w:val="auto"/>
                <w:highlight w:val="none"/>
              </w:rPr>
            </w:pPr>
          </w:p>
        </w:tc>
        <w:tc>
          <w:tcPr>
            <w:tcW w:w="930" w:type="dxa"/>
            <w:vAlign w:val="top"/>
          </w:tcPr>
          <w:p w14:paraId="39C5962B">
            <w:pPr>
              <w:pStyle w:val="15"/>
              <w:rPr>
                <w:color w:val="auto"/>
                <w:highlight w:val="none"/>
              </w:rPr>
            </w:pPr>
          </w:p>
        </w:tc>
        <w:tc>
          <w:tcPr>
            <w:tcW w:w="931" w:type="dxa"/>
            <w:vAlign w:val="top"/>
          </w:tcPr>
          <w:p w14:paraId="62AE092B">
            <w:pPr>
              <w:pStyle w:val="15"/>
              <w:rPr>
                <w:color w:val="auto"/>
                <w:highlight w:val="none"/>
              </w:rPr>
            </w:pPr>
          </w:p>
        </w:tc>
        <w:tc>
          <w:tcPr>
            <w:tcW w:w="900" w:type="dxa"/>
            <w:vAlign w:val="top"/>
          </w:tcPr>
          <w:p w14:paraId="0C35BE76">
            <w:pPr>
              <w:pStyle w:val="15"/>
              <w:rPr>
                <w:color w:val="auto"/>
                <w:highlight w:val="none"/>
              </w:rPr>
            </w:pPr>
          </w:p>
        </w:tc>
        <w:tc>
          <w:tcPr>
            <w:tcW w:w="1065" w:type="dxa"/>
            <w:vAlign w:val="top"/>
          </w:tcPr>
          <w:p w14:paraId="7B44CAE4">
            <w:pPr>
              <w:pStyle w:val="15"/>
              <w:rPr>
                <w:color w:val="auto"/>
                <w:highlight w:val="none"/>
              </w:rPr>
            </w:pPr>
          </w:p>
        </w:tc>
        <w:tc>
          <w:tcPr>
            <w:tcW w:w="854" w:type="dxa"/>
            <w:vAlign w:val="top"/>
          </w:tcPr>
          <w:p w14:paraId="0F8FFFAA">
            <w:pPr>
              <w:pStyle w:val="15"/>
              <w:rPr>
                <w:color w:val="auto"/>
                <w:highlight w:val="none"/>
              </w:rPr>
            </w:pPr>
          </w:p>
        </w:tc>
        <w:tc>
          <w:tcPr>
            <w:tcW w:w="1201" w:type="dxa"/>
            <w:vAlign w:val="top"/>
          </w:tcPr>
          <w:p w14:paraId="10B53974">
            <w:pPr>
              <w:pStyle w:val="15"/>
              <w:rPr>
                <w:color w:val="auto"/>
                <w:highlight w:val="none"/>
              </w:rPr>
            </w:pPr>
          </w:p>
        </w:tc>
        <w:tc>
          <w:tcPr>
            <w:tcW w:w="846" w:type="dxa"/>
            <w:vAlign w:val="top"/>
          </w:tcPr>
          <w:p w14:paraId="5299B3F9">
            <w:pPr>
              <w:pStyle w:val="15"/>
              <w:rPr>
                <w:color w:val="auto"/>
                <w:highlight w:val="none"/>
              </w:rPr>
            </w:pPr>
          </w:p>
        </w:tc>
        <w:tc>
          <w:tcPr>
            <w:tcW w:w="916" w:type="dxa"/>
            <w:vAlign w:val="top"/>
          </w:tcPr>
          <w:p w14:paraId="1900D1F9">
            <w:pPr>
              <w:pStyle w:val="15"/>
              <w:rPr>
                <w:color w:val="auto"/>
                <w:highlight w:val="none"/>
              </w:rPr>
            </w:pPr>
          </w:p>
        </w:tc>
        <w:tc>
          <w:tcPr>
            <w:tcW w:w="1142" w:type="dxa"/>
            <w:vAlign w:val="top"/>
          </w:tcPr>
          <w:p w14:paraId="62369998">
            <w:pPr>
              <w:pStyle w:val="15"/>
              <w:rPr>
                <w:color w:val="auto"/>
                <w:highlight w:val="none"/>
              </w:rPr>
            </w:pPr>
          </w:p>
        </w:tc>
        <w:tc>
          <w:tcPr>
            <w:tcW w:w="1142" w:type="dxa"/>
            <w:vAlign w:val="top"/>
          </w:tcPr>
          <w:p w14:paraId="36E8027D">
            <w:pPr>
              <w:pStyle w:val="15"/>
              <w:rPr>
                <w:color w:val="auto"/>
                <w:highlight w:val="none"/>
              </w:rPr>
            </w:pPr>
          </w:p>
        </w:tc>
        <w:tc>
          <w:tcPr>
            <w:tcW w:w="2777" w:type="dxa"/>
            <w:vAlign w:val="top"/>
          </w:tcPr>
          <w:p w14:paraId="1658AEAC">
            <w:pPr>
              <w:pStyle w:val="15"/>
              <w:rPr>
                <w:color w:val="auto"/>
                <w:highlight w:val="none"/>
              </w:rPr>
            </w:pPr>
          </w:p>
        </w:tc>
      </w:tr>
      <w:tr w14:paraId="11A14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6D16EC82">
            <w:pPr>
              <w:spacing w:before="165" w:line="180" w:lineRule="auto"/>
              <w:ind w:left="264"/>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831" w:type="dxa"/>
            <w:vAlign w:val="top"/>
          </w:tcPr>
          <w:p w14:paraId="14145710">
            <w:pPr>
              <w:pStyle w:val="15"/>
              <w:rPr>
                <w:color w:val="auto"/>
                <w:highlight w:val="none"/>
              </w:rPr>
            </w:pPr>
          </w:p>
        </w:tc>
        <w:tc>
          <w:tcPr>
            <w:tcW w:w="930" w:type="dxa"/>
            <w:vAlign w:val="top"/>
          </w:tcPr>
          <w:p w14:paraId="656247F5">
            <w:pPr>
              <w:pStyle w:val="15"/>
              <w:rPr>
                <w:color w:val="auto"/>
                <w:highlight w:val="none"/>
              </w:rPr>
            </w:pPr>
          </w:p>
        </w:tc>
        <w:tc>
          <w:tcPr>
            <w:tcW w:w="931" w:type="dxa"/>
            <w:vAlign w:val="top"/>
          </w:tcPr>
          <w:p w14:paraId="64ADB863">
            <w:pPr>
              <w:pStyle w:val="15"/>
              <w:rPr>
                <w:color w:val="auto"/>
                <w:highlight w:val="none"/>
              </w:rPr>
            </w:pPr>
          </w:p>
        </w:tc>
        <w:tc>
          <w:tcPr>
            <w:tcW w:w="900" w:type="dxa"/>
            <w:vAlign w:val="top"/>
          </w:tcPr>
          <w:p w14:paraId="311E04D9">
            <w:pPr>
              <w:pStyle w:val="15"/>
              <w:rPr>
                <w:color w:val="auto"/>
                <w:highlight w:val="none"/>
              </w:rPr>
            </w:pPr>
          </w:p>
        </w:tc>
        <w:tc>
          <w:tcPr>
            <w:tcW w:w="1065" w:type="dxa"/>
            <w:vAlign w:val="top"/>
          </w:tcPr>
          <w:p w14:paraId="31A8B48D">
            <w:pPr>
              <w:pStyle w:val="15"/>
              <w:rPr>
                <w:color w:val="auto"/>
                <w:highlight w:val="none"/>
              </w:rPr>
            </w:pPr>
          </w:p>
        </w:tc>
        <w:tc>
          <w:tcPr>
            <w:tcW w:w="854" w:type="dxa"/>
            <w:vAlign w:val="top"/>
          </w:tcPr>
          <w:p w14:paraId="28679072">
            <w:pPr>
              <w:pStyle w:val="15"/>
              <w:rPr>
                <w:color w:val="auto"/>
                <w:highlight w:val="none"/>
              </w:rPr>
            </w:pPr>
          </w:p>
        </w:tc>
        <w:tc>
          <w:tcPr>
            <w:tcW w:w="1201" w:type="dxa"/>
            <w:vAlign w:val="top"/>
          </w:tcPr>
          <w:p w14:paraId="049D8F0C">
            <w:pPr>
              <w:pStyle w:val="15"/>
              <w:rPr>
                <w:color w:val="auto"/>
                <w:highlight w:val="none"/>
              </w:rPr>
            </w:pPr>
          </w:p>
        </w:tc>
        <w:tc>
          <w:tcPr>
            <w:tcW w:w="846" w:type="dxa"/>
            <w:vAlign w:val="top"/>
          </w:tcPr>
          <w:p w14:paraId="22125006">
            <w:pPr>
              <w:pStyle w:val="15"/>
              <w:rPr>
                <w:color w:val="auto"/>
                <w:highlight w:val="none"/>
              </w:rPr>
            </w:pPr>
          </w:p>
        </w:tc>
        <w:tc>
          <w:tcPr>
            <w:tcW w:w="916" w:type="dxa"/>
            <w:vAlign w:val="top"/>
          </w:tcPr>
          <w:p w14:paraId="5DAAA225">
            <w:pPr>
              <w:pStyle w:val="15"/>
              <w:rPr>
                <w:color w:val="auto"/>
                <w:highlight w:val="none"/>
              </w:rPr>
            </w:pPr>
          </w:p>
        </w:tc>
        <w:tc>
          <w:tcPr>
            <w:tcW w:w="1142" w:type="dxa"/>
            <w:vAlign w:val="top"/>
          </w:tcPr>
          <w:p w14:paraId="06E53D2C">
            <w:pPr>
              <w:pStyle w:val="15"/>
              <w:rPr>
                <w:color w:val="auto"/>
                <w:highlight w:val="none"/>
              </w:rPr>
            </w:pPr>
          </w:p>
        </w:tc>
        <w:tc>
          <w:tcPr>
            <w:tcW w:w="1142" w:type="dxa"/>
            <w:vAlign w:val="top"/>
          </w:tcPr>
          <w:p w14:paraId="54D4A6C9">
            <w:pPr>
              <w:pStyle w:val="15"/>
              <w:rPr>
                <w:color w:val="auto"/>
                <w:highlight w:val="none"/>
              </w:rPr>
            </w:pPr>
          </w:p>
        </w:tc>
        <w:tc>
          <w:tcPr>
            <w:tcW w:w="2777" w:type="dxa"/>
            <w:vAlign w:val="top"/>
          </w:tcPr>
          <w:p w14:paraId="74DBEC2E">
            <w:pPr>
              <w:pStyle w:val="15"/>
              <w:rPr>
                <w:color w:val="auto"/>
                <w:highlight w:val="none"/>
              </w:rPr>
            </w:pPr>
          </w:p>
        </w:tc>
      </w:tr>
      <w:tr w14:paraId="14773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267794D0">
            <w:pPr>
              <w:spacing w:before="169" w:line="178" w:lineRule="auto"/>
              <w:ind w:left="253"/>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831" w:type="dxa"/>
            <w:vAlign w:val="top"/>
          </w:tcPr>
          <w:p w14:paraId="35F9BFAB">
            <w:pPr>
              <w:pStyle w:val="15"/>
              <w:rPr>
                <w:color w:val="auto"/>
                <w:highlight w:val="none"/>
              </w:rPr>
            </w:pPr>
          </w:p>
        </w:tc>
        <w:tc>
          <w:tcPr>
            <w:tcW w:w="930" w:type="dxa"/>
            <w:vAlign w:val="top"/>
          </w:tcPr>
          <w:p w14:paraId="571B1702">
            <w:pPr>
              <w:pStyle w:val="15"/>
              <w:rPr>
                <w:color w:val="auto"/>
                <w:highlight w:val="none"/>
              </w:rPr>
            </w:pPr>
          </w:p>
        </w:tc>
        <w:tc>
          <w:tcPr>
            <w:tcW w:w="931" w:type="dxa"/>
            <w:vAlign w:val="top"/>
          </w:tcPr>
          <w:p w14:paraId="1FF22466">
            <w:pPr>
              <w:pStyle w:val="15"/>
              <w:rPr>
                <w:color w:val="auto"/>
                <w:highlight w:val="none"/>
              </w:rPr>
            </w:pPr>
          </w:p>
        </w:tc>
        <w:tc>
          <w:tcPr>
            <w:tcW w:w="900" w:type="dxa"/>
            <w:vAlign w:val="top"/>
          </w:tcPr>
          <w:p w14:paraId="019D6E27">
            <w:pPr>
              <w:pStyle w:val="15"/>
              <w:rPr>
                <w:color w:val="auto"/>
                <w:highlight w:val="none"/>
              </w:rPr>
            </w:pPr>
          </w:p>
        </w:tc>
        <w:tc>
          <w:tcPr>
            <w:tcW w:w="1065" w:type="dxa"/>
            <w:vAlign w:val="top"/>
          </w:tcPr>
          <w:p w14:paraId="7A685E1D">
            <w:pPr>
              <w:pStyle w:val="15"/>
              <w:rPr>
                <w:color w:val="auto"/>
                <w:highlight w:val="none"/>
              </w:rPr>
            </w:pPr>
          </w:p>
        </w:tc>
        <w:tc>
          <w:tcPr>
            <w:tcW w:w="854" w:type="dxa"/>
            <w:vAlign w:val="top"/>
          </w:tcPr>
          <w:p w14:paraId="0EDF8D66">
            <w:pPr>
              <w:pStyle w:val="15"/>
              <w:rPr>
                <w:color w:val="auto"/>
                <w:highlight w:val="none"/>
              </w:rPr>
            </w:pPr>
          </w:p>
        </w:tc>
        <w:tc>
          <w:tcPr>
            <w:tcW w:w="1201" w:type="dxa"/>
            <w:vAlign w:val="top"/>
          </w:tcPr>
          <w:p w14:paraId="4C71EB18">
            <w:pPr>
              <w:pStyle w:val="15"/>
              <w:rPr>
                <w:color w:val="auto"/>
                <w:highlight w:val="none"/>
              </w:rPr>
            </w:pPr>
          </w:p>
        </w:tc>
        <w:tc>
          <w:tcPr>
            <w:tcW w:w="846" w:type="dxa"/>
            <w:vAlign w:val="top"/>
          </w:tcPr>
          <w:p w14:paraId="2302837F">
            <w:pPr>
              <w:pStyle w:val="15"/>
              <w:rPr>
                <w:color w:val="auto"/>
                <w:highlight w:val="none"/>
              </w:rPr>
            </w:pPr>
          </w:p>
        </w:tc>
        <w:tc>
          <w:tcPr>
            <w:tcW w:w="916" w:type="dxa"/>
            <w:vAlign w:val="top"/>
          </w:tcPr>
          <w:p w14:paraId="1557D23D">
            <w:pPr>
              <w:pStyle w:val="15"/>
              <w:rPr>
                <w:color w:val="auto"/>
                <w:highlight w:val="none"/>
              </w:rPr>
            </w:pPr>
          </w:p>
        </w:tc>
        <w:tc>
          <w:tcPr>
            <w:tcW w:w="1142" w:type="dxa"/>
            <w:vAlign w:val="top"/>
          </w:tcPr>
          <w:p w14:paraId="5F91C014">
            <w:pPr>
              <w:pStyle w:val="15"/>
              <w:rPr>
                <w:color w:val="auto"/>
                <w:highlight w:val="none"/>
              </w:rPr>
            </w:pPr>
          </w:p>
        </w:tc>
        <w:tc>
          <w:tcPr>
            <w:tcW w:w="1142" w:type="dxa"/>
            <w:vAlign w:val="top"/>
          </w:tcPr>
          <w:p w14:paraId="19363646">
            <w:pPr>
              <w:pStyle w:val="15"/>
              <w:rPr>
                <w:color w:val="auto"/>
                <w:highlight w:val="none"/>
              </w:rPr>
            </w:pPr>
          </w:p>
        </w:tc>
        <w:tc>
          <w:tcPr>
            <w:tcW w:w="2777" w:type="dxa"/>
            <w:vAlign w:val="top"/>
          </w:tcPr>
          <w:p w14:paraId="71B76299">
            <w:pPr>
              <w:pStyle w:val="15"/>
              <w:rPr>
                <w:color w:val="auto"/>
                <w:highlight w:val="none"/>
              </w:rPr>
            </w:pPr>
          </w:p>
        </w:tc>
      </w:tr>
      <w:tr w14:paraId="65E36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402252E7">
            <w:pPr>
              <w:spacing w:before="169" w:line="178" w:lineRule="auto"/>
              <w:ind w:left="267"/>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831" w:type="dxa"/>
            <w:vAlign w:val="top"/>
          </w:tcPr>
          <w:p w14:paraId="7E198416">
            <w:pPr>
              <w:pStyle w:val="15"/>
              <w:rPr>
                <w:color w:val="auto"/>
                <w:highlight w:val="none"/>
              </w:rPr>
            </w:pPr>
          </w:p>
        </w:tc>
        <w:tc>
          <w:tcPr>
            <w:tcW w:w="930" w:type="dxa"/>
            <w:vAlign w:val="top"/>
          </w:tcPr>
          <w:p w14:paraId="03EB434F">
            <w:pPr>
              <w:pStyle w:val="15"/>
              <w:rPr>
                <w:color w:val="auto"/>
                <w:highlight w:val="none"/>
              </w:rPr>
            </w:pPr>
          </w:p>
        </w:tc>
        <w:tc>
          <w:tcPr>
            <w:tcW w:w="931" w:type="dxa"/>
            <w:vAlign w:val="top"/>
          </w:tcPr>
          <w:p w14:paraId="05E0D4BA">
            <w:pPr>
              <w:pStyle w:val="15"/>
              <w:rPr>
                <w:color w:val="auto"/>
                <w:highlight w:val="none"/>
              </w:rPr>
            </w:pPr>
          </w:p>
        </w:tc>
        <w:tc>
          <w:tcPr>
            <w:tcW w:w="900" w:type="dxa"/>
            <w:vAlign w:val="top"/>
          </w:tcPr>
          <w:p w14:paraId="08E9163E">
            <w:pPr>
              <w:pStyle w:val="15"/>
              <w:rPr>
                <w:color w:val="auto"/>
                <w:highlight w:val="none"/>
              </w:rPr>
            </w:pPr>
          </w:p>
        </w:tc>
        <w:tc>
          <w:tcPr>
            <w:tcW w:w="1065" w:type="dxa"/>
            <w:vAlign w:val="top"/>
          </w:tcPr>
          <w:p w14:paraId="058B5208">
            <w:pPr>
              <w:pStyle w:val="15"/>
              <w:rPr>
                <w:color w:val="auto"/>
                <w:highlight w:val="none"/>
              </w:rPr>
            </w:pPr>
          </w:p>
        </w:tc>
        <w:tc>
          <w:tcPr>
            <w:tcW w:w="854" w:type="dxa"/>
            <w:vAlign w:val="top"/>
          </w:tcPr>
          <w:p w14:paraId="6321FB33">
            <w:pPr>
              <w:pStyle w:val="15"/>
              <w:rPr>
                <w:color w:val="auto"/>
                <w:highlight w:val="none"/>
              </w:rPr>
            </w:pPr>
          </w:p>
        </w:tc>
        <w:tc>
          <w:tcPr>
            <w:tcW w:w="1201" w:type="dxa"/>
            <w:vAlign w:val="top"/>
          </w:tcPr>
          <w:p w14:paraId="4DD72291">
            <w:pPr>
              <w:pStyle w:val="15"/>
              <w:rPr>
                <w:color w:val="auto"/>
                <w:highlight w:val="none"/>
              </w:rPr>
            </w:pPr>
          </w:p>
        </w:tc>
        <w:tc>
          <w:tcPr>
            <w:tcW w:w="846" w:type="dxa"/>
            <w:vAlign w:val="top"/>
          </w:tcPr>
          <w:p w14:paraId="151E9B88">
            <w:pPr>
              <w:pStyle w:val="15"/>
              <w:rPr>
                <w:color w:val="auto"/>
                <w:highlight w:val="none"/>
              </w:rPr>
            </w:pPr>
          </w:p>
        </w:tc>
        <w:tc>
          <w:tcPr>
            <w:tcW w:w="916" w:type="dxa"/>
            <w:vAlign w:val="top"/>
          </w:tcPr>
          <w:p w14:paraId="595A3E08">
            <w:pPr>
              <w:pStyle w:val="15"/>
              <w:rPr>
                <w:color w:val="auto"/>
                <w:highlight w:val="none"/>
              </w:rPr>
            </w:pPr>
          </w:p>
        </w:tc>
        <w:tc>
          <w:tcPr>
            <w:tcW w:w="1142" w:type="dxa"/>
            <w:vAlign w:val="top"/>
          </w:tcPr>
          <w:p w14:paraId="37344C2E">
            <w:pPr>
              <w:pStyle w:val="15"/>
              <w:rPr>
                <w:color w:val="auto"/>
                <w:highlight w:val="none"/>
              </w:rPr>
            </w:pPr>
          </w:p>
        </w:tc>
        <w:tc>
          <w:tcPr>
            <w:tcW w:w="1142" w:type="dxa"/>
            <w:vAlign w:val="top"/>
          </w:tcPr>
          <w:p w14:paraId="5AB7BE7E">
            <w:pPr>
              <w:pStyle w:val="15"/>
              <w:rPr>
                <w:color w:val="auto"/>
                <w:highlight w:val="none"/>
              </w:rPr>
            </w:pPr>
          </w:p>
        </w:tc>
        <w:tc>
          <w:tcPr>
            <w:tcW w:w="2777" w:type="dxa"/>
            <w:vAlign w:val="top"/>
          </w:tcPr>
          <w:p w14:paraId="5F791F67">
            <w:pPr>
              <w:pStyle w:val="15"/>
              <w:rPr>
                <w:color w:val="auto"/>
                <w:highlight w:val="none"/>
              </w:rPr>
            </w:pPr>
          </w:p>
        </w:tc>
      </w:tr>
      <w:tr w14:paraId="4CD89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59D67846">
            <w:pPr>
              <w:spacing w:before="168" w:line="180" w:lineRule="auto"/>
              <w:ind w:left="262"/>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831" w:type="dxa"/>
            <w:vAlign w:val="top"/>
          </w:tcPr>
          <w:p w14:paraId="019E7A99">
            <w:pPr>
              <w:pStyle w:val="15"/>
              <w:rPr>
                <w:color w:val="auto"/>
                <w:highlight w:val="none"/>
              </w:rPr>
            </w:pPr>
          </w:p>
        </w:tc>
        <w:tc>
          <w:tcPr>
            <w:tcW w:w="930" w:type="dxa"/>
            <w:vAlign w:val="top"/>
          </w:tcPr>
          <w:p w14:paraId="14220414">
            <w:pPr>
              <w:pStyle w:val="15"/>
              <w:rPr>
                <w:color w:val="auto"/>
                <w:highlight w:val="none"/>
              </w:rPr>
            </w:pPr>
          </w:p>
        </w:tc>
        <w:tc>
          <w:tcPr>
            <w:tcW w:w="931" w:type="dxa"/>
            <w:vAlign w:val="top"/>
          </w:tcPr>
          <w:p w14:paraId="1459B2B9">
            <w:pPr>
              <w:pStyle w:val="15"/>
              <w:rPr>
                <w:color w:val="auto"/>
                <w:highlight w:val="none"/>
              </w:rPr>
            </w:pPr>
          </w:p>
        </w:tc>
        <w:tc>
          <w:tcPr>
            <w:tcW w:w="900" w:type="dxa"/>
            <w:vAlign w:val="top"/>
          </w:tcPr>
          <w:p w14:paraId="7AE61A94">
            <w:pPr>
              <w:pStyle w:val="15"/>
              <w:rPr>
                <w:color w:val="auto"/>
                <w:highlight w:val="none"/>
              </w:rPr>
            </w:pPr>
          </w:p>
        </w:tc>
        <w:tc>
          <w:tcPr>
            <w:tcW w:w="1065" w:type="dxa"/>
            <w:vAlign w:val="top"/>
          </w:tcPr>
          <w:p w14:paraId="4DD01266">
            <w:pPr>
              <w:pStyle w:val="15"/>
              <w:rPr>
                <w:color w:val="auto"/>
                <w:highlight w:val="none"/>
              </w:rPr>
            </w:pPr>
          </w:p>
        </w:tc>
        <w:tc>
          <w:tcPr>
            <w:tcW w:w="854" w:type="dxa"/>
            <w:vAlign w:val="top"/>
          </w:tcPr>
          <w:p w14:paraId="5750E4D3">
            <w:pPr>
              <w:pStyle w:val="15"/>
              <w:rPr>
                <w:color w:val="auto"/>
                <w:highlight w:val="none"/>
              </w:rPr>
            </w:pPr>
          </w:p>
        </w:tc>
        <w:tc>
          <w:tcPr>
            <w:tcW w:w="1201" w:type="dxa"/>
            <w:vAlign w:val="top"/>
          </w:tcPr>
          <w:p w14:paraId="0A49DE44">
            <w:pPr>
              <w:pStyle w:val="15"/>
              <w:rPr>
                <w:color w:val="auto"/>
                <w:highlight w:val="none"/>
              </w:rPr>
            </w:pPr>
          </w:p>
        </w:tc>
        <w:tc>
          <w:tcPr>
            <w:tcW w:w="846" w:type="dxa"/>
            <w:vAlign w:val="top"/>
          </w:tcPr>
          <w:p w14:paraId="1E666215">
            <w:pPr>
              <w:pStyle w:val="15"/>
              <w:rPr>
                <w:color w:val="auto"/>
                <w:highlight w:val="none"/>
              </w:rPr>
            </w:pPr>
          </w:p>
        </w:tc>
        <w:tc>
          <w:tcPr>
            <w:tcW w:w="916" w:type="dxa"/>
            <w:vAlign w:val="top"/>
          </w:tcPr>
          <w:p w14:paraId="49887AED">
            <w:pPr>
              <w:pStyle w:val="15"/>
              <w:rPr>
                <w:color w:val="auto"/>
                <w:highlight w:val="none"/>
              </w:rPr>
            </w:pPr>
          </w:p>
        </w:tc>
        <w:tc>
          <w:tcPr>
            <w:tcW w:w="1142" w:type="dxa"/>
            <w:vAlign w:val="top"/>
          </w:tcPr>
          <w:p w14:paraId="17A750EE">
            <w:pPr>
              <w:pStyle w:val="15"/>
              <w:rPr>
                <w:color w:val="auto"/>
                <w:highlight w:val="none"/>
              </w:rPr>
            </w:pPr>
          </w:p>
        </w:tc>
        <w:tc>
          <w:tcPr>
            <w:tcW w:w="1142" w:type="dxa"/>
            <w:vAlign w:val="top"/>
          </w:tcPr>
          <w:p w14:paraId="30B5072A">
            <w:pPr>
              <w:pStyle w:val="15"/>
              <w:rPr>
                <w:color w:val="auto"/>
                <w:highlight w:val="none"/>
              </w:rPr>
            </w:pPr>
          </w:p>
        </w:tc>
        <w:tc>
          <w:tcPr>
            <w:tcW w:w="2777" w:type="dxa"/>
            <w:vAlign w:val="top"/>
          </w:tcPr>
          <w:p w14:paraId="7FF507C4">
            <w:pPr>
              <w:pStyle w:val="15"/>
              <w:rPr>
                <w:color w:val="auto"/>
                <w:highlight w:val="none"/>
              </w:rPr>
            </w:pPr>
          </w:p>
        </w:tc>
      </w:tr>
      <w:tr w14:paraId="53081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hRule="atLeast"/>
        </w:trPr>
        <w:tc>
          <w:tcPr>
            <w:tcW w:w="607" w:type="dxa"/>
            <w:vAlign w:val="top"/>
          </w:tcPr>
          <w:p w14:paraId="60B048F4">
            <w:pPr>
              <w:spacing w:before="171" w:line="178" w:lineRule="auto"/>
              <w:ind w:left="261"/>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831" w:type="dxa"/>
            <w:vAlign w:val="top"/>
          </w:tcPr>
          <w:p w14:paraId="2EA335D2">
            <w:pPr>
              <w:pStyle w:val="15"/>
              <w:rPr>
                <w:color w:val="auto"/>
                <w:highlight w:val="none"/>
              </w:rPr>
            </w:pPr>
          </w:p>
        </w:tc>
        <w:tc>
          <w:tcPr>
            <w:tcW w:w="930" w:type="dxa"/>
            <w:vAlign w:val="top"/>
          </w:tcPr>
          <w:p w14:paraId="0A94584D">
            <w:pPr>
              <w:pStyle w:val="15"/>
              <w:rPr>
                <w:color w:val="auto"/>
                <w:highlight w:val="none"/>
              </w:rPr>
            </w:pPr>
          </w:p>
        </w:tc>
        <w:tc>
          <w:tcPr>
            <w:tcW w:w="931" w:type="dxa"/>
            <w:vAlign w:val="top"/>
          </w:tcPr>
          <w:p w14:paraId="4036DE56">
            <w:pPr>
              <w:pStyle w:val="15"/>
              <w:rPr>
                <w:color w:val="auto"/>
                <w:highlight w:val="none"/>
              </w:rPr>
            </w:pPr>
          </w:p>
        </w:tc>
        <w:tc>
          <w:tcPr>
            <w:tcW w:w="900" w:type="dxa"/>
            <w:vAlign w:val="top"/>
          </w:tcPr>
          <w:p w14:paraId="06BBE312">
            <w:pPr>
              <w:pStyle w:val="15"/>
              <w:rPr>
                <w:color w:val="auto"/>
                <w:highlight w:val="none"/>
              </w:rPr>
            </w:pPr>
          </w:p>
        </w:tc>
        <w:tc>
          <w:tcPr>
            <w:tcW w:w="1065" w:type="dxa"/>
            <w:vAlign w:val="top"/>
          </w:tcPr>
          <w:p w14:paraId="6A92E070">
            <w:pPr>
              <w:pStyle w:val="15"/>
              <w:rPr>
                <w:color w:val="auto"/>
                <w:highlight w:val="none"/>
              </w:rPr>
            </w:pPr>
          </w:p>
        </w:tc>
        <w:tc>
          <w:tcPr>
            <w:tcW w:w="854" w:type="dxa"/>
            <w:vAlign w:val="top"/>
          </w:tcPr>
          <w:p w14:paraId="5B176AAE">
            <w:pPr>
              <w:pStyle w:val="15"/>
              <w:rPr>
                <w:color w:val="auto"/>
                <w:highlight w:val="none"/>
              </w:rPr>
            </w:pPr>
          </w:p>
        </w:tc>
        <w:tc>
          <w:tcPr>
            <w:tcW w:w="1201" w:type="dxa"/>
            <w:vAlign w:val="top"/>
          </w:tcPr>
          <w:p w14:paraId="1B04A518">
            <w:pPr>
              <w:pStyle w:val="15"/>
              <w:rPr>
                <w:color w:val="auto"/>
                <w:highlight w:val="none"/>
              </w:rPr>
            </w:pPr>
          </w:p>
        </w:tc>
        <w:tc>
          <w:tcPr>
            <w:tcW w:w="846" w:type="dxa"/>
            <w:vAlign w:val="top"/>
          </w:tcPr>
          <w:p w14:paraId="6899ED72">
            <w:pPr>
              <w:pStyle w:val="15"/>
              <w:rPr>
                <w:color w:val="auto"/>
                <w:highlight w:val="none"/>
              </w:rPr>
            </w:pPr>
          </w:p>
        </w:tc>
        <w:tc>
          <w:tcPr>
            <w:tcW w:w="916" w:type="dxa"/>
            <w:vAlign w:val="top"/>
          </w:tcPr>
          <w:p w14:paraId="6F4FDBE5">
            <w:pPr>
              <w:pStyle w:val="15"/>
              <w:rPr>
                <w:color w:val="auto"/>
                <w:highlight w:val="none"/>
              </w:rPr>
            </w:pPr>
          </w:p>
        </w:tc>
        <w:tc>
          <w:tcPr>
            <w:tcW w:w="1142" w:type="dxa"/>
            <w:vAlign w:val="top"/>
          </w:tcPr>
          <w:p w14:paraId="3AB845FB">
            <w:pPr>
              <w:pStyle w:val="15"/>
              <w:rPr>
                <w:color w:val="auto"/>
                <w:highlight w:val="none"/>
              </w:rPr>
            </w:pPr>
          </w:p>
        </w:tc>
        <w:tc>
          <w:tcPr>
            <w:tcW w:w="1142" w:type="dxa"/>
            <w:vAlign w:val="top"/>
          </w:tcPr>
          <w:p w14:paraId="73D98857">
            <w:pPr>
              <w:pStyle w:val="15"/>
              <w:rPr>
                <w:color w:val="auto"/>
                <w:highlight w:val="none"/>
              </w:rPr>
            </w:pPr>
          </w:p>
        </w:tc>
        <w:tc>
          <w:tcPr>
            <w:tcW w:w="2777" w:type="dxa"/>
            <w:vAlign w:val="top"/>
          </w:tcPr>
          <w:p w14:paraId="40365438">
            <w:pPr>
              <w:pStyle w:val="15"/>
              <w:rPr>
                <w:color w:val="auto"/>
                <w:highlight w:val="none"/>
              </w:rPr>
            </w:pPr>
          </w:p>
        </w:tc>
      </w:tr>
      <w:tr w14:paraId="45E8E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07" w:type="dxa"/>
            <w:vAlign w:val="top"/>
          </w:tcPr>
          <w:p w14:paraId="7A132F36">
            <w:pPr>
              <w:spacing w:before="290" w:line="99" w:lineRule="exact"/>
              <w:ind w:left="249"/>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831" w:type="dxa"/>
            <w:vAlign w:val="top"/>
          </w:tcPr>
          <w:p w14:paraId="2750887A">
            <w:pPr>
              <w:pStyle w:val="15"/>
              <w:rPr>
                <w:color w:val="auto"/>
                <w:highlight w:val="none"/>
              </w:rPr>
            </w:pPr>
          </w:p>
        </w:tc>
        <w:tc>
          <w:tcPr>
            <w:tcW w:w="930" w:type="dxa"/>
            <w:vAlign w:val="top"/>
          </w:tcPr>
          <w:p w14:paraId="7D9CBF97">
            <w:pPr>
              <w:pStyle w:val="15"/>
              <w:rPr>
                <w:color w:val="auto"/>
                <w:highlight w:val="none"/>
              </w:rPr>
            </w:pPr>
          </w:p>
        </w:tc>
        <w:tc>
          <w:tcPr>
            <w:tcW w:w="931" w:type="dxa"/>
            <w:vAlign w:val="top"/>
          </w:tcPr>
          <w:p w14:paraId="08FAFE93">
            <w:pPr>
              <w:pStyle w:val="15"/>
              <w:rPr>
                <w:color w:val="auto"/>
                <w:highlight w:val="none"/>
              </w:rPr>
            </w:pPr>
          </w:p>
        </w:tc>
        <w:tc>
          <w:tcPr>
            <w:tcW w:w="900" w:type="dxa"/>
            <w:vAlign w:val="top"/>
          </w:tcPr>
          <w:p w14:paraId="3E5F47B5">
            <w:pPr>
              <w:pStyle w:val="15"/>
              <w:rPr>
                <w:color w:val="auto"/>
                <w:highlight w:val="none"/>
              </w:rPr>
            </w:pPr>
          </w:p>
        </w:tc>
        <w:tc>
          <w:tcPr>
            <w:tcW w:w="1065" w:type="dxa"/>
            <w:vAlign w:val="top"/>
          </w:tcPr>
          <w:p w14:paraId="0F983A49">
            <w:pPr>
              <w:pStyle w:val="15"/>
              <w:rPr>
                <w:color w:val="auto"/>
                <w:highlight w:val="none"/>
              </w:rPr>
            </w:pPr>
          </w:p>
        </w:tc>
        <w:tc>
          <w:tcPr>
            <w:tcW w:w="854" w:type="dxa"/>
            <w:vAlign w:val="top"/>
          </w:tcPr>
          <w:p w14:paraId="4E362269">
            <w:pPr>
              <w:pStyle w:val="15"/>
              <w:rPr>
                <w:color w:val="auto"/>
                <w:highlight w:val="none"/>
              </w:rPr>
            </w:pPr>
          </w:p>
        </w:tc>
        <w:tc>
          <w:tcPr>
            <w:tcW w:w="1201" w:type="dxa"/>
            <w:vAlign w:val="top"/>
          </w:tcPr>
          <w:p w14:paraId="1AFAAA68">
            <w:pPr>
              <w:pStyle w:val="15"/>
              <w:rPr>
                <w:color w:val="auto"/>
                <w:highlight w:val="none"/>
              </w:rPr>
            </w:pPr>
          </w:p>
        </w:tc>
        <w:tc>
          <w:tcPr>
            <w:tcW w:w="846" w:type="dxa"/>
            <w:vAlign w:val="top"/>
          </w:tcPr>
          <w:p w14:paraId="5A6C12C8">
            <w:pPr>
              <w:pStyle w:val="15"/>
              <w:rPr>
                <w:color w:val="auto"/>
                <w:highlight w:val="none"/>
              </w:rPr>
            </w:pPr>
          </w:p>
        </w:tc>
        <w:tc>
          <w:tcPr>
            <w:tcW w:w="916" w:type="dxa"/>
            <w:vAlign w:val="top"/>
          </w:tcPr>
          <w:p w14:paraId="106AC111">
            <w:pPr>
              <w:pStyle w:val="15"/>
              <w:rPr>
                <w:color w:val="auto"/>
                <w:highlight w:val="none"/>
              </w:rPr>
            </w:pPr>
          </w:p>
        </w:tc>
        <w:tc>
          <w:tcPr>
            <w:tcW w:w="1142" w:type="dxa"/>
            <w:vAlign w:val="top"/>
          </w:tcPr>
          <w:p w14:paraId="669F6606">
            <w:pPr>
              <w:pStyle w:val="15"/>
              <w:rPr>
                <w:color w:val="auto"/>
                <w:highlight w:val="none"/>
              </w:rPr>
            </w:pPr>
          </w:p>
        </w:tc>
        <w:tc>
          <w:tcPr>
            <w:tcW w:w="1142" w:type="dxa"/>
            <w:vAlign w:val="top"/>
          </w:tcPr>
          <w:p w14:paraId="64155C94">
            <w:pPr>
              <w:pStyle w:val="15"/>
              <w:rPr>
                <w:color w:val="auto"/>
                <w:highlight w:val="none"/>
              </w:rPr>
            </w:pPr>
          </w:p>
        </w:tc>
        <w:tc>
          <w:tcPr>
            <w:tcW w:w="2777" w:type="dxa"/>
            <w:vAlign w:val="top"/>
          </w:tcPr>
          <w:p w14:paraId="1D9B77E4">
            <w:pPr>
              <w:pStyle w:val="15"/>
              <w:rPr>
                <w:color w:val="auto"/>
                <w:highlight w:val="none"/>
              </w:rPr>
            </w:pPr>
          </w:p>
        </w:tc>
      </w:tr>
      <w:tr w14:paraId="423DB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607" w:type="dxa"/>
            <w:vAlign w:val="top"/>
          </w:tcPr>
          <w:p w14:paraId="31DD8922">
            <w:pPr>
              <w:pStyle w:val="15"/>
              <w:rPr>
                <w:color w:val="auto"/>
                <w:highlight w:val="none"/>
              </w:rPr>
            </w:pPr>
          </w:p>
        </w:tc>
        <w:tc>
          <w:tcPr>
            <w:tcW w:w="831" w:type="dxa"/>
            <w:vAlign w:val="top"/>
          </w:tcPr>
          <w:p w14:paraId="647D66C9">
            <w:pPr>
              <w:pStyle w:val="15"/>
              <w:rPr>
                <w:color w:val="auto"/>
                <w:highlight w:val="none"/>
              </w:rPr>
            </w:pPr>
          </w:p>
        </w:tc>
        <w:tc>
          <w:tcPr>
            <w:tcW w:w="930" w:type="dxa"/>
            <w:vAlign w:val="top"/>
          </w:tcPr>
          <w:p w14:paraId="60C2304E">
            <w:pPr>
              <w:pStyle w:val="15"/>
              <w:rPr>
                <w:color w:val="auto"/>
                <w:highlight w:val="none"/>
              </w:rPr>
            </w:pPr>
          </w:p>
        </w:tc>
        <w:tc>
          <w:tcPr>
            <w:tcW w:w="931" w:type="dxa"/>
            <w:vAlign w:val="top"/>
          </w:tcPr>
          <w:p w14:paraId="3343B11E">
            <w:pPr>
              <w:pStyle w:val="15"/>
              <w:rPr>
                <w:color w:val="auto"/>
                <w:highlight w:val="none"/>
              </w:rPr>
            </w:pPr>
          </w:p>
        </w:tc>
        <w:tc>
          <w:tcPr>
            <w:tcW w:w="900" w:type="dxa"/>
            <w:vAlign w:val="top"/>
          </w:tcPr>
          <w:p w14:paraId="44ED38CE">
            <w:pPr>
              <w:pStyle w:val="15"/>
              <w:rPr>
                <w:color w:val="auto"/>
                <w:highlight w:val="none"/>
              </w:rPr>
            </w:pPr>
          </w:p>
        </w:tc>
        <w:tc>
          <w:tcPr>
            <w:tcW w:w="1065" w:type="dxa"/>
            <w:vAlign w:val="top"/>
          </w:tcPr>
          <w:p w14:paraId="610C8A2A">
            <w:pPr>
              <w:pStyle w:val="15"/>
              <w:rPr>
                <w:color w:val="auto"/>
                <w:highlight w:val="none"/>
              </w:rPr>
            </w:pPr>
          </w:p>
        </w:tc>
        <w:tc>
          <w:tcPr>
            <w:tcW w:w="854" w:type="dxa"/>
            <w:vAlign w:val="top"/>
          </w:tcPr>
          <w:p w14:paraId="68362F05">
            <w:pPr>
              <w:pStyle w:val="15"/>
              <w:rPr>
                <w:color w:val="auto"/>
                <w:highlight w:val="none"/>
              </w:rPr>
            </w:pPr>
          </w:p>
        </w:tc>
        <w:tc>
          <w:tcPr>
            <w:tcW w:w="1201" w:type="dxa"/>
            <w:vAlign w:val="top"/>
          </w:tcPr>
          <w:p w14:paraId="29AB09BA">
            <w:pPr>
              <w:pStyle w:val="15"/>
              <w:rPr>
                <w:color w:val="auto"/>
                <w:highlight w:val="none"/>
              </w:rPr>
            </w:pPr>
          </w:p>
        </w:tc>
        <w:tc>
          <w:tcPr>
            <w:tcW w:w="846" w:type="dxa"/>
            <w:vAlign w:val="top"/>
          </w:tcPr>
          <w:p w14:paraId="11A966C7">
            <w:pPr>
              <w:pStyle w:val="15"/>
              <w:rPr>
                <w:color w:val="auto"/>
                <w:highlight w:val="none"/>
              </w:rPr>
            </w:pPr>
          </w:p>
        </w:tc>
        <w:tc>
          <w:tcPr>
            <w:tcW w:w="916" w:type="dxa"/>
            <w:vAlign w:val="top"/>
          </w:tcPr>
          <w:p w14:paraId="68356D21">
            <w:pPr>
              <w:pStyle w:val="15"/>
              <w:rPr>
                <w:color w:val="auto"/>
                <w:highlight w:val="none"/>
              </w:rPr>
            </w:pPr>
          </w:p>
        </w:tc>
        <w:tc>
          <w:tcPr>
            <w:tcW w:w="1142" w:type="dxa"/>
            <w:vAlign w:val="top"/>
          </w:tcPr>
          <w:p w14:paraId="12139A24">
            <w:pPr>
              <w:pStyle w:val="15"/>
              <w:rPr>
                <w:color w:val="auto"/>
                <w:highlight w:val="none"/>
              </w:rPr>
            </w:pPr>
          </w:p>
        </w:tc>
        <w:tc>
          <w:tcPr>
            <w:tcW w:w="1142" w:type="dxa"/>
            <w:vAlign w:val="top"/>
          </w:tcPr>
          <w:p w14:paraId="5FA5E496">
            <w:pPr>
              <w:pStyle w:val="15"/>
              <w:rPr>
                <w:color w:val="auto"/>
                <w:highlight w:val="none"/>
              </w:rPr>
            </w:pPr>
          </w:p>
        </w:tc>
        <w:tc>
          <w:tcPr>
            <w:tcW w:w="2777" w:type="dxa"/>
            <w:vAlign w:val="top"/>
          </w:tcPr>
          <w:p w14:paraId="1C77CBB7">
            <w:pPr>
              <w:pStyle w:val="15"/>
              <w:rPr>
                <w:color w:val="auto"/>
                <w:highlight w:val="none"/>
              </w:rPr>
            </w:pPr>
          </w:p>
        </w:tc>
      </w:tr>
      <w:tr w14:paraId="61F70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07" w:type="dxa"/>
            <w:vAlign w:val="top"/>
          </w:tcPr>
          <w:p w14:paraId="3CA22D51">
            <w:pPr>
              <w:spacing w:before="158" w:line="190" w:lineRule="auto"/>
              <w:ind w:left="124"/>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831" w:type="dxa"/>
            <w:vAlign w:val="top"/>
          </w:tcPr>
          <w:p w14:paraId="13E7F3C0">
            <w:pPr>
              <w:pStyle w:val="15"/>
              <w:rPr>
                <w:color w:val="auto"/>
                <w:highlight w:val="none"/>
              </w:rPr>
            </w:pPr>
          </w:p>
        </w:tc>
        <w:tc>
          <w:tcPr>
            <w:tcW w:w="930" w:type="dxa"/>
            <w:vAlign w:val="top"/>
          </w:tcPr>
          <w:p w14:paraId="2953303A">
            <w:pPr>
              <w:pStyle w:val="15"/>
              <w:rPr>
                <w:color w:val="auto"/>
                <w:highlight w:val="none"/>
              </w:rPr>
            </w:pPr>
          </w:p>
        </w:tc>
        <w:tc>
          <w:tcPr>
            <w:tcW w:w="931" w:type="dxa"/>
            <w:vAlign w:val="top"/>
          </w:tcPr>
          <w:p w14:paraId="2C04CD34">
            <w:pPr>
              <w:pStyle w:val="15"/>
              <w:rPr>
                <w:color w:val="auto"/>
                <w:highlight w:val="none"/>
              </w:rPr>
            </w:pPr>
          </w:p>
        </w:tc>
        <w:tc>
          <w:tcPr>
            <w:tcW w:w="900" w:type="dxa"/>
            <w:vAlign w:val="top"/>
          </w:tcPr>
          <w:p w14:paraId="44E52431">
            <w:pPr>
              <w:pStyle w:val="15"/>
              <w:rPr>
                <w:color w:val="auto"/>
                <w:highlight w:val="none"/>
              </w:rPr>
            </w:pPr>
          </w:p>
        </w:tc>
        <w:tc>
          <w:tcPr>
            <w:tcW w:w="1065" w:type="dxa"/>
            <w:vAlign w:val="top"/>
          </w:tcPr>
          <w:p w14:paraId="4E2198FA">
            <w:pPr>
              <w:pStyle w:val="15"/>
              <w:rPr>
                <w:color w:val="auto"/>
                <w:highlight w:val="none"/>
              </w:rPr>
            </w:pPr>
          </w:p>
        </w:tc>
        <w:tc>
          <w:tcPr>
            <w:tcW w:w="854" w:type="dxa"/>
            <w:vAlign w:val="top"/>
          </w:tcPr>
          <w:p w14:paraId="1587F838">
            <w:pPr>
              <w:pStyle w:val="15"/>
              <w:rPr>
                <w:color w:val="auto"/>
                <w:highlight w:val="none"/>
              </w:rPr>
            </w:pPr>
          </w:p>
        </w:tc>
        <w:tc>
          <w:tcPr>
            <w:tcW w:w="1201" w:type="dxa"/>
            <w:vAlign w:val="top"/>
          </w:tcPr>
          <w:p w14:paraId="4F56B81C">
            <w:pPr>
              <w:pStyle w:val="15"/>
              <w:rPr>
                <w:color w:val="auto"/>
                <w:highlight w:val="none"/>
              </w:rPr>
            </w:pPr>
          </w:p>
        </w:tc>
        <w:tc>
          <w:tcPr>
            <w:tcW w:w="846" w:type="dxa"/>
            <w:vAlign w:val="top"/>
          </w:tcPr>
          <w:p w14:paraId="140D6276">
            <w:pPr>
              <w:pStyle w:val="15"/>
              <w:rPr>
                <w:color w:val="auto"/>
                <w:highlight w:val="none"/>
              </w:rPr>
            </w:pPr>
          </w:p>
        </w:tc>
        <w:tc>
          <w:tcPr>
            <w:tcW w:w="916" w:type="dxa"/>
            <w:vAlign w:val="top"/>
          </w:tcPr>
          <w:p w14:paraId="013113EF">
            <w:pPr>
              <w:pStyle w:val="15"/>
              <w:rPr>
                <w:color w:val="auto"/>
                <w:highlight w:val="none"/>
              </w:rPr>
            </w:pPr>
          </w:p>
        </w:tc>
        <w:tc>
          <w:tcPr>
            <w:tcW w:w="1142" w:type="dxa"/>
            <w:vAlign w:val="top"/>
          </w:tcPr>
          <w:p w14:paraId="00F8064C">
            <w:pPr>
              <w:pStyle w:val="15"/>
              <w:rPr>
                <w:color w:val="auto"/>
                <w:highlight w:val="none"/>
              </w:rPr>
            </w:pPr>
          </w:p>
        </w:tc>
        <w:tc>
          <w:tcPr>
            <w:tcW w:w="1142" w:type="dxa"/>
            <w:vAlign w:val="top"/>
          </w:tcPr>
          <w:p w14:paraId="1104F014">
            <w:pPr>
              <w:pStyle w:val="15"/>
              <w:rPr>
                <w:color w:val="auto"/>
                <w:highlight w:val="none"/>
              </w:rPr>
            </w:pPr>
          </w:p>
        </w:tc>
        <w:tc>
          <w:tcPr>
            <w:tcW w:w="2777" w:type="dxa"/>
            <w:vAlign w:val="top"/>
          </w:tcPr>
          <w:p w14:paraId="1C014A99">
            <w:pPr>
              <w:pStyle w:val="15"/>
              <w:rPr>
                <w:color w:val="auto"/>
                <w:highlight w:val="none"/>
              </w:rPr>
            </w:pPr>
          </w:p>
        </w:tc>
      </w:tr>
    </w:tbl>
    <w:p w14:paraId="6F38B1BD">
      <w:pPr>
        <w:pStyle w:val="3"/>
        <w:spacing w:before="46" w:line="534" w:lineRule="exact"/>
        <w:ind w:left="68"/>
        <w:rPr>
          <w:rFonts w:hint="default" w:ascii="宋体" w:hAnsi="宋体" w:eastAsia="宋体" w:cs="宋体"/>
          <w:color w:val="auto"/>
          <w:spacing w:val="8"/>
          <w:position w:val="10"/>
          <w:sz w:val="20"/>
          <w:szCs w:val="20"/>
          <w:highlight w:val="none"/>
          <w:lang w:val="en-US" w:eastAsia="zh-CN"/>
        </w:rPr>
      </w:pPr>
      <w:r>
        <w:rPr>
          <w:rFonts w:hint="eastAsia" w:ascii="宋体" w:hAnsi="宋体" w:eastAsia="宋体" w:cs="宋体"/>
          <w:color w:val="auto"/>
          <w:spacing w:val="3"/>
          <w:position w:val="29"/>
          <w:sz w:val="18"/>
          <w:szCs w:val="18"/>
          <w:highlight w:val="none"/>
        </w:rPr>
        <w:t>说明：供应商根据对账需求可增加表头内容，不得删减表头内</w:t>
      </w:r>
      <w:r>
        <w:rPr>
          <w:rFonts w:hint="eastAsia" w:ascii="宋体" w:hAnsi="宋体" w:eastAsia="宋体" w:cs="宋体"/>
          <w:color w:val="auto"/>
          <w:spacing w:val="2"/>
          <w:position w:val="29"/>
          <w:sz w:val="18"/>
          <w:szCs w:val="18"/>
          <w:highlight w:val="none"/>
        </w:rPr>
        <w:t>容。</w:t>
      </w:r>
    </w:p>
    <w:p w14:paraId="1885AF55">
      <w:pPr>
        <w:spacing w:line="480" w:lineRule="auto"/>
        <w:jc w:val="both"/>
        <w:rPr>
          <w:rFonts w:hint="eastAsia" w:ascii="宋体" w:hAnsi="宋体" w:eastAsia="宋体" w:cs="宋体"/>
          <w:color w:val="auto"/>
          <w:spacing w:val="-5"/>
          <w:position w:val="-1"/>
          <w:sz w:val="24"/>
          <w:szCs w:val="24"/>
          <w:highlight w:val="none"/>
          <w:lang w:val="en-US"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ascii="宋体" w:hAnsi="宋体" w:cs="宋体"/>
          <w:color w:val="auto"/>
          <w:spacing w:val="8"/>
          <w:position w:val="-1"/>
          <w:sz w:val="24"/>
          <w:szCs w:val="24"/>
          <w:highlight w:val="none"/>
          <w:lang w:eastAsia="zh-CN"/>
        </w:rPr>
        <w:t>：</w:t>
      </w:r>
    </w:p>
    <w:p w14:paraId="07185CB4">
      <w:pPr>
        <w:spacing w:line="480" w:lineRule="auto"/>
        <w:jc w:val="both"/>
        <w:rPr>
          <w:rFonts w:hint="eastAsia" w:ascii="仿宋" w:hAnsi="仿宋" w:eastAsia="仿宋" w:cs="仿宋"/>
          <w:b/>
          <w:bCs/>
          <w:color w:val="auto"/>
          <w:sz w:val="44"/>
          <w:szCs w:val="44"/>
          <w:highlight w:val="none"/>
          <w:lang w:val="en-US" w:eastAsia="zh-CN"/>
        </w:rPr>
      </w:pPr>
      <w:r>
        <w:rPr>
          <w:rFonts w:hint="eastAsia" w:ascii="宋体" w:hAnsi="宋体" w:eastAsia="宋体" w:cs="宋体"/>
          <w:color w:val="auto"/>
          <w:spacing w:val="-5"/>
          <w:position w:val="-1"/>
          <w:sz w:val="24"/>
          <w:szCs w:val="24"/>
          <w:highlight w:val="none"/>
          <w:lang w:val="en-US" w:eastAsia="zh-CN"/>
        </w:rPr>
        <w:t>日期:</w:t>
      </w:r>
      <w:r>
        <w:rPr>
          <w:rFonts w:hint="eastAsia" w:ascii="宋体" w:hAnsi="宋体" w:cs="宋体"/>
          <w:color w:val="auto"/>
          <w:spacing w:val="-5"/>
          <w:position w:val="-1"/>
          <w:sz w:val="24"/>
          <w:szCs w:val="24"/>
          <w:highlight w:val="none"/>
          <w:lang w:val="en-US" w:eastAsia="zh-CN"/>
        </w:rPr>
        <w:t xml:space="preserve">                                                                              日期：</w:t>
      </w:r>
    </w:p>
    <w:p w14:paraId="0BB5F7A3">
      <w:pPr>
        <w:pageBreakBefore w:val="0"/>
        <w:wordWrap/>
        <w:topLinePunct w:val="0"/>
        <w:bidi w:val="0"/>
        <w:spacing w:line="360" w:lineRule="auto"/>
        <w:jc w:val="right"/>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099AB372">
      <w:pPr>
        <w:pStyle w:val="8"/>
        <w:ind w:firstLine="0" w:firstLineChars="0"/>
        <w:rPr>
          <w:rFonts w:hint="eastAsia" w:hAnsi="宋体" w:cs="宋体"/>
          <w:color w:val="auto"/>
          <w:spacing w:val="8"/>
          <w:position w:val="-1"/>
          <w:sz w:val="20"/>
          <w:szCs w:val="20"/>
          <w:highlight w:val="none"/>
          <w:lang w:val="en-US" w:eastAsia="zh-CN"/>
        </w:rPr>
      </w:pPr>
    </w:p>
    <w:p w14:paraId="05CC293B">
      <w:pPr>
        <w:jc w:val="right"/>
        <w:rPr>
          <w:rFonts w:hint="default" w:eastAsia="宋体"/>
          <w:color w:val="auto"/>
          <w:sz w:val="36"/>
          <w:szCs w:val="36"/>
          <w:highlight w:val="none"/>
          <w:lang w:val="en-US" w:eastAsia="zh-CN"/>
        </w:rPr>
      </w:pPr>
      <w:r>
        <w:rPr>
          <w:rFonts w:hint="eastAsia" w:ascii="仿宋" w:hAnsi="仿宋" w:eastAsia="仿宋" w:cs="仿宋"/>
          <w:b/>
          <w:bCs/>
          <w:color w:val="auto"/>
          <w:sz w:val="44"/>
          <w:szCs w:val="44"/>
          <w:highlight w:val="none"/>
          <w:lang w:val="en-US" w:eastAsia="zh-CN"/>
        </w:rPr>
        <w:t>附件八</w:t>
      </w:r>
    </w:p>
    <w:p w14:paraId="590F42AC">
      <w:pPr>
        <w:jc w:val="center"/>
        <w:rPr>
          <w:color w:val="auto"/>
          <w:highlight w:val="none"/>
        </w:rPr>
      </w:pPr>
      <w:r>
        <w:rPr>
          <w:rFonts w:hint="eastAsia"/>
          <w:color w:val="auto"/>
          <w:sz w:val="44"/>
          <w:szCs w:val="44"/>
          <w:highlight w:val="none"/>
        </w:rPr>
        <w:drawing>
          <wp:inline distT="0" distB="0" distL="0" distR="0">
            <wp:extent cx="5977255" cy="673735"/>
            <wp:effectExtent l="0" t="0" r="12065" b="12065"/>
            <wp:docPr id="1029" name="图片 6" descr="LOGO-1"/>
            <wp:cNvGraphicFramePr/>
            <a:graphic xmlns:a="http://schemas.openxmlformats.org/drawingml/2006/main">
              <a:graphicData uri="http://schemas.openxmlformats.org/drawingml/2006/picture">
                <pic:pic xmlns:pic="http://schemas.openxmlformats.org/drawingml/2006/picture">
                  <pic:nvPicPr>
                    <pic:cNvPr id="1029" name="图片 6" descr="LOGO-1"/>
                    <pic:cNvPicPr/>
                  </pic:nvPicPr>
                  <pic:blipFill>
                    <a:blip r:embed="rId12" cstate="print">
                      <a:clrChange>
                        <a:clrFrom>
                          <a:srgbClr val="FFFFFF"/>
                        </a:clrFrom>
                        <a:clrTo>
                          <a:srgbClr val="FFFFFF">
                            <a:alpha val="0"/>
                          </a:srgbClr>
                        </a:clrTo>
                      </a:clrChange>
                    </a:blip>
                    <a:srcRect/>
                    <a:stretch>
                      <a:fillRect/>
                    </a:stretch>
                  </pic:blipFill>
                  <pic:spPr>
                    <a:xfrm>
                      <a:off x="0" y="0"/>
                      <a:ext cx="5977255" cy="673735"/>
                    </a:xfrm>
                    <a:prstGeom prst="rect">
                      <a:avLst/>
                    </a:prstGeom>
                  </pic:spPr>
                </pic:pic>
              </a:graphicData>
            </a:graphic>
          </wp:inline>
        </w:drawing>
      </w:r>
    </w:p>
    <w:p w14:paraId="37835CCE">
      <w:pPr>
        <w:spacing w:line="480" w:lineRule="exact"/>
        <w:jc w:val="center"/>
        <w:rPr>
          <w:color w:val="auto"/>
          <w:sz w:val="36"/>
          <w:szCs w:val="36"/>
          <w:highlight w:val="none"/>
        </w:rPr>
      </w:pPr>
      <w:r>
        <w:rPr>
          <w:rFonts w:hint="eastAsia"/>
          <w:color w:val="auto"/>
          <w:sz w:val="36"/>
          <w:szCs w:val="36"/>
          <w:highlight w:val="none"/>
        </w:rPr>
        <w:t>物 料 申 购 单</w:t>
      </w:r>
    </w:p>
    <w:p w14:paraId="7455F18E">
      <w:pPr>
        <w:jc w:val="left"/>
        <w:rPr>
          <w:color w:val="auto"/>
          <w:highlight w:val="none"/>
        </w:rPr>
      </w:pPr>
      <w:r>
        <w:rPr>
          <w:rFonts w:hint="eastAsia"/>
          <w:color w:val="auto"/>
          <w:highlight w:val="none"/>
        </w:rPr>
        <w:t xml:space="preserve">工程名称：     </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日期 ：     </w:t>
      </w:r>
      <w:r>
        <w:rPr>
          <w:rFonts w:hint="eastAsia"/>
          <w:color w:val="auto"/>
          <w:highlight w:val="none"/>
          <w:lang w:val="en-US" w:eastAsia="zh-CN"/>
        </w:rPr>
        <w:t xml:space="preserve">202 </w:t>
      </w:r>
      <w:r>
        <w:rPr>
          <w:rFonts w:hint="eastAsia"/>
          <w:color w:val="auto"/>
          <w:highlight w:val="none"/>
        </w:rPr>
        <w:t xml:space="preserve">年 </w:t>
      </w:r>
      <w:r>
        <w:rPr>
          <w:rFonts w:hint="eastAsia"/>
          <w:color w:val="auto"/>
          <w:highlight w:val="none"/>
          <w:lang w:val="en-US" w:eastAsia="zh-CN"/>
        </w:rPr>
        <w:t xml:space="preserve"> </w:t>
      </w:r>
      <w:r>
        <w:rPr>
          <w:rFonts w:hint="eastAsia"/>
          <w:color w:val="auto"/>
          <w:highlight w:val="none"/>
        </w:rPr>
        <w:t xml:space="preserve">月  日 </w: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 xml:space="preserve">   </w:t>
      </w:r>
      <w:r>
        <w:rPr>
          <w:rFonts w:hint="eastAsia"/>
          <w:color w:val="auto"/>
          <w:highlight w:val="none"/>
        </w:rPr>
        <w:t xml:space="preserve">页                              </w:t>
      </w:r>
    </w:p>
    <w:tbl>
      <w:tblPr>
        <w:tblStyle w:val="10"/>
        <w:tblpPr w:leftFromText="180" w:rightFromText="180" w:vertAnchor="text" w:horzAnchor="page" w:tblpX="1365" w:tblpY="308"/>
        <w:tblOverlap w:val="never"/>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1632"/>
      </w:tblGrid>
      <w:tr w14:paraId="638E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0" w:type="dxa"/>
            <w:vAlign w:val="center"/>
          </w:tcPr>
          <w:p w14:paraId="3768492A">
            <w:pPr>
              <w:jc w:val="center"/>
              <w:rPr>
                <w:rFonts w:eastAsia="宋体"/>
                <w:color w:val="auto"/>
                <w:highlight w:val="none"/>
              </w:rPr>
            </w:pPr>
            <w:r>
              <w:rPr>
                <w:rFonts w:hint="eastAsia"/>
                <w:color w:val="auto"/>
                <w:highlight w:val="none"/>
              </w:rPr>
              <w:t>序号</w:t>
            </w:r>
          </w:p>
        </w:tc>
        <w:tc>
          <w:tcPr>
            <w:tcW w:w="2603" w:type="dxa"/>
            <w:vAlign w:val="center"/>
          </w:tcPr>
          <w:p w14:paraId="17B8E204">
            <w:pPr>
              <w:jc w:val="center"/>
              <w:rPr>
                <w:color w:val="auto"/>
                <w:highlight w:val="none"/>
              </w:rPr>
            </w:pPr>
            <w:r>
              <w:rPr>
                <w:rFonts w:hint="eastAsia"/>
                <w:color w:val="auto"/>
                <w:highlight w:val="none"/>
              </w:rPr>
              <w:t>材料名称/规格</w:t>
            </w:r>
          </w:p>
        </w:tc>
        <w:tc>
          <w:tcPr>
            <w:tcW w:w="1560" w:type="dxa"/>
            <w:vAlign w:val="center"/>
          </w:tcPr>
          <w:p w14:paraId="3447E146">
            <w:pPr>
              <w:jc w:val="center"/>
              <w:rPr>
                <w:color w:val="auto"/>
                <w:highlight w:val="none"/>
              </w:rPr>
            </w:pPr>
            <w:r>
              <w:rPr>
                <w:rFonts w:hint="eastAsia"/>
                <w:color w:val="auto"/>
                <w:highlight w:val="none"/>
              </w:rPr>
              <w:t>数量/单位</w:t>
            </w:r>
          </w:p>
        </w:tc>
        <w:tc>
          <w:tcPr>
            <w:tcW w:w="1335" w:type="dxa"/>
            <w:vAlign w:val="center"/>
          </w:tcPr>
          <w:p w14:paraId="70F1E67E">
            <w:pPr>
              <w:jc w:val="center"/>
              <w:rPr>
                <w:color w:val="auto"/>
                <w:highlight w:val="none"/>
              </w:rPr>
            </w:pPr>
            <w:r>
              <w:rPr>
                <w:rFonts w:hint="eastAsia"/>
                <w:color w:val="auto"/>
                <w:highlight w:val="none"/>
              </w:rPr>
              <w:t>到货日期</w:t>
            </w:r>
          </w:p>
        </w:tc>
        <w:tc>
          <w:tcPr>
            <w:tcW w:w="1515" w:type="dxa"/>
            <w:vAlign w:val="center"/>
          </w:tcPr>
          <w:p w14:paraId="6010095B">
            <w:pPr>
              <w:jc w:val="center"/>
              <w:rPr>
                <w:color w:val="auto"/>
                <w:highlight w:val="none"/>
              </w:rPr>
            </w:pPr>
            <w:r>
              <w:rPr>
                <w:rFonts w:hint="eastAsia"/>
                <w:color w:val="auto"/>
                <w:highlight w:val="none"/>
              </w:rPr>
              <w:t>质量要求</w:t>
            </w:r>
          </w:p>
        </w:tc>
        <w:tc>
          <w:tcPr>
            <w:tcW w:w="1632" w:type="dxa"/>
            <w:vAlign w:val="center"/>
          </w:tcPr>
          <w:p w14:paraId="5F90DD79">
            <w:pPr>
              <w:jc w:val="center"/>
              <w:rPr>
                <w:color w:val="auto"/>
                <w:highlight w:val="none"/>
              </w:rPr>
            </w:pPr>
            <w:r>
              <w:rPr>
                <w:rFonts w:hint="eastAsia"/>
                <w:color w:val="auto"/>
                <w:highlight w:val="none"/>
              </w:rPr>
              <w:t>用途等备注</w:t>
            </w:r>
          </w:p>
        </w:tc>
      </w:tr>
      <w:tr w14:paraId="4709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074D86E2">
            <w:pPr>
              <w:jc w:val="center"/>
              <w:rPr>
                <w:rFonts w:hint="eastAsia" w:eastAsia="宋体"/>
                <w:color w:val="auto"/>
                <w:highlight w:val="none"/>
                <w:lang w:val="en-US" w:eastAsia="zh-CN"/>
              </w:rPr>
            </w:pPr>
            <w:r>
              <w:rPr>
                <w:rFonts w:hint="eastAsia"/>
                <w:color w:val="auto"/>
                <w:highlight w:val="none"/>
                <w:lang w:val="en-US" w:eastAsia="zh-CN"/>
              </w:rPr>
              <w:t>1</w:t>
            </w:r>
          </w:p>
        </w:tc>
        <w:tc>
          <w:tcPr>
            <w:tcW w:w="2603" w:type="dxa"/>
            <w:vAlign w:val="center"/>
          </w:tcPr>
          <w:p w14:paraId="11F3EA0B">
            <w:pPr>
              <w:tabs>
                <w:tab w:val="left" w:pos="910"/>
              </w:tabs>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6D6BDC4B">
            <w:pPr>
              <w:jc w:val="center"/>
              <w:rPr>
                <w:rFonts w:hint="default" w:eastAsia="宋体"/>
                <w:color w:val="auto"/>
                <w:highlight w:val="none"/>
                <w:lang w:val="en-US" w:eastAsia="zh-CN"/>
              </w:rPr>
            </w:pPr>
          </w:p>
        </w:tc>
        <w:tc>
          <w:tcPr>
            <w:tcW w:w="1335" w:type="dxa"/>
            <w:vAlign w:val="center"/>
          </w:tcPr>
          <w:p w14:paraId="44014B9A">
            <w:pPr>
              <w:jc w:val="center"/>
              <w:rPr>
                <w:rFonts w:hint="default" w:eastAsia="宋体"/>
                <w:color w:val="auto"/>
                <w:highlight w:val="none"/>
                <w:lang w:val="en-US" w:eastAsia="zh-CN"/>
              </w:rPr>
            </w:pPr>
          </w:p>
        </w:tc>
        <w:tc>
          <w:tcPr>
            <w:tcW w:w="1515" w:type="dxa"/>
            <w:vAlign w:val="center"/>
          </w:tcPr>
          <w:p w14:paraId="2917CCBC">
            <w:pPr>
              <w:jc w:val="center"/>
              <w:rPr>
                <w:rFonts w:hint="default" w:eastAsia="宋体"/>
                <w:color w:val="auto"/>
                <w:highlight w:val="none"/>
                <w:lang w:val="en-US" w:eastAsia="zh-CN"/>
              </w:rPr>
            </w:pPr>
          </w:p>
        </w:tc>
        <w:tc>
          <w:tcPr>
            <w:tcW w:w="1632" w:type="dxa"/>
            <w:vMerge w:val="restart"/>
            <w:vAlign w:val="center"/>
          </w:tcPr>
          <w:p w14:paraId="2912317E">
            <w:pPr>
              <w:jc w:val="both"/>
              <w:rPr>
                <w:rFonts w:hint="default" w:ascii="Calibri" w:hAnsi="Calibri" w:eastAsia="宋体" w:cs="宋体"/>
                <w:color w:val="auto"/>
                <w:kern w:val="2"/>
                <w:sz w:val="21"/>
                <w:szCs w:val="24"/>
                <w:highlight w:val="none"/>
                <w:lang w:val="en-US" w:eastAsia="zh-CN" w:bidi="ar-SA"/>
              </w:rPr>
            </w:pPr>
          </w:p>
        </w:tc>
      </w:tr>
      <w:tr w14:paraId="1FBF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80" w:type="dxa"/>
            <w:vAlign w:val="center"/>
          </w:tcPr>
          <w:p w14:paraId="5B2D3B1F">
            <w:pPr>
              <w:jc w:val="center"/>
              <w:rPr>
                <w:rFonts w:hint="eastAsia" w:eastAsia="宋体"/>
                <w:color w:val="auto"/>
                <w:highlight w:val="none"/>
                <w:lang w:val="en-US" w:eastAsia="zh-CN"/>
              </w:rPr>
            </w:pPr>
            <w:r>
              <w:rPr>
                <w:rFonts w:hint="eastAsia"/>
                <w:color w:val="auto"/>
                <w:highlight w:val="none"/>
                <w:lang w:val="en-US" w:eastAsia="zh-CN"/>
              </w:rPr>
              <w:t>2</w:t>
            </w:r>
          </w:p>
        </w:tc>
        <w:tc>
          <w:tcPr>
            <w:tcW w:w="2603" w:type="dxa"/>
            <w:vAlign w:val="center"/>
          </w:tcPr>
          <w:p w14:paraId="4D4739F0">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74D25EEB">
            <w:pPr>
              <w:jc w:val="center"/>
              <w:rPr>
                <w:rFonts w:hint="default" w:eastAsia="宋体"/>
                <w:color w:val="auto"/>
                <w:highlight w:val="none"/>
                <w:lang w:val="en-US" w:eastAsia="zh-CN"/>
              </w:rPr>
            </w:pPr>
          </w:p>
        </w:tc>
        <w:tc>
          <w:tcPr>
            <w:tcW w:w="1335" w:type="dxa"/>
            <w:vAlign w:val="center"/>
          </w:tcPr>
          <w:p w14:paraId="0A57118A">
            <w:pPr>
              <w:jc w:val="center"/>
              <w:rPr>
                <w:rFonts w:hint="default" w:eastAsia="宋体"/>
                <w:color w:val="auto"/>
                <w:highlight w:val="none"/>
                <w:lang w:val="en-US" w:eastAsia="zh-CN"/>
              </w:rPr>
            </w:pPr>
          </w:p>
        </w:tc>
        <w:tc>
          <w:tcPr>
            <w:tcW w:w="1515" w:type="dxa"/>
            <w:vAlign w:val="center"/>
          </w:tcPr>
          <w:p w14:paraId="5FC1FDCB">
            <w:pPr>
              <w:jc w:val="center"/>
              <w:rPr>
                <w:rFonts w:hint="eastAsia" w:eastAsia="宋体"/>
                <w:color w:val="auto"/>
                <w:highlight w:val="none"/>
                <w:lang w:eastAsia="zh-CN"/>
              </w:rPr>
            </w:pPr>
          </w:p>
        </w:tc>
        <w:tc>
          <w:tcPr>
            <w:tcW w:w="1632" w:type="dxa"/>
            <w:vMerge w:val="continue"/>
            <w:vAlign w:val="center"/>
          </w:tcPr>
          <w:p w14:paraId="492EEADE">
            <w:pPr>
              <w:jc w:val="center"/>
              <w:rPr>
                <w:rFonts w:hint="default" w:ascii="Calibri" w:hAnsi="Calibri" w:eastAsia="宋体" w:cs="宋体"/>
                <w:color w:val="auto"/>
                <w:kern w:val="2"/>
                <w:sz w:val="21"/>
                <w:szCs w:val="24"/>
                <w:highlight w:val="none"/>
                <w:lang w:val="en-US" w:eastAsia="zh-CN" w:bidi="ar-SA"/>
              </w:rPr>
            </w:pPr>
          </w:p>
        </w:tc>
      </w:tr>
      <w:tr w14:paraId="2E8D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80" w:type="dxa"/>
            <w:vAlign w:val="center"/>
          </w:tcPr>
          <w:p w14:paraId="12DDD1FD">
            <w:pPr>
              <w:jc w:val="center"/>
              <w:rPr>
                <w:rFonts w:hint="eastAsia" w:eastAsia="宋体"/>
                <w:color w:val="auto"/>
                <w:highlight w:val="none"/>
                <w:lang w:val="en-US" w:eastAsia="zh-CN"/>
              </w:rPr>
            </w:pPr>
            <w:r>
              <w:rPr>
                <w:rFonts w:hint="eastAsia"/>
                <w:color w:val="auto"/>
                <w:highlight w:val="none"/>
                <w:lang w:val="en-US" w:eastAsia="zh-CN"/>
              </w:rPr>
              <w:t>3</w:t>
            </w:r>
          </w:p>
        </w:tc>
        <w:tc>
          <w:tcPr>
            <w:tcW w:w="2603" w:type="dxa"/>
            <w:vAlign w:val="center"/>
          </w:tcPr>
          <w:p w14:paraId="383610DA">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2A35D196">
            <w:pPr>
              <w:jc w:val="center"/>
              <w:rPr>
                <w:rFonts w:hint="default" w:eastAsia="宋体"/>
                <w:color w:val="auto"/>
                <w:highlight w:val="none"/>
                <w:lang w:val="en-US" w:eastAsia="zh-CN"/>
              </w:rPr>
            </w:pPr>
          </w:p>
        </w:tc>
        <w:tc>
          <w:tcPr>
            <w:tcW w:w="1335" w:type="dxa"/>
            <w:vAlign w:val="center"/>
          </w:tcPr>
          <w:p w14:paraId="10F97E5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6516892">
            <w:pPr>
              <w:jc w:val="center"/>
              <w:rPr>
                <w:rFonts w:hint="eastAsia" w:eastAsia="宋体"/>
                <w:color w:val="auto"/>
                <w:highlight w:val="none"/>
                <w:lang w:val="en-US" w:eastAsia="zh-CN"/>
              </w:rPr>
            </w:pPr>
          </w:p>
        </w:tc>
        <w:tc>
          <w:tcPr>
            <w:tcW w:w="1632" w:type="dxa"/>
            <w:vMerge w:val="continue"/>
            <w:vAlign w:val="center"/>
          </w:tcPr>
          <w:p w14:paraId="5AE7E4A6">
            <w:pPr>
              <w:jc w:val="center"/>
              <w:rPr>
                <w:rFonts w:hint="default" w:ascii="Calibri" w:hAnsi="Calibri" w:eastAsia="宋体" w:cs="宋体"/>
                <w:color w:val="auto"/>
                <w:kern w:val="2"/>
                <w:sz w:val="21"/>
                <w:szCs w:val="24"/>
                <w:highlight w:val="none"/>
                <w:lang w:val="en-US" w:eastAsia="zh-CN" w:bidi="ar-SA"/>
              </w:rPr>
            </w:pPr>
          </w:p>
        </w:tc>
      </w:tr>
      <w:tr w14:paraId="0011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80" w:type="dxa"/>
            <w:vAlign w:val="center"/>
          </w:tcPr>
          <w:p w14:paraId="2CCD8B27">
            <w:pPr>
              <w:jc w:val="center"/>
              <w:rPr>
                <w:rFonts w:hint="eastAsia" w:eastAsia="宋体"/>
                <w:color w:val="auto"/>
                <w:highlight w:val="none"/>
                <w:lang w:val="en-US" w:eastAsia="zh-CN"/>
              </w:rPr>
            </w:pPr>
            <w:r>
              <w:rPr>
                <w:rFonts w:hint="eastAsia"/>
                <w:color w:val="auto"/>
                <w:highlight w:val="none"/>
                <w:lang w:val="en-US" w:eastAsia="zh-CN"/>
              </w:rPr>
              <w:t>4</w:t>
            </w:r>
          </w:p>
        </w:tc>
        <w:tc>
          <w:tcPr>
            <w:tcW w:w="2603" w:type="dxa"/>
            <w:vAlign w:val="center"/>
          </w:tcPr>
          <w:p w14:paraId="3C7B86A4">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50125C50">
            <w:pPr>
              <w:jc w:val="center"/>
              <w:rPr>
                <w:rFonts w:hint="default" w:ascii="Calibri" w:hAnsi="Calibri" w:eastAsia="宋体" w:cs="宋体"/>
                <w:color w:val="auto"/>
                <w:kern w:val="2"/>
                <w:sz w:val="21"/>
                <w:szCs w:val="24"/>
                <w:highlight w:val="none"/>
                <w:lang w:val="en-US" w:eastAsia="zh-CN" w:bidi="ar-SA"/>
              </w:rPr>
            </w:pPr>
          </w:p>
        </w:tc>
        <w:tc>
          <w:tcPr>
            <w:tcW w:w="1335" w:type="dxa"/>
            <w:vAlign w:val="center"/>
          </w:tcPr>
          <w:p w14:paraId="27B0B446">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23BB0C24">
            <w:pPr>
              <w:jc w:val="center"/>
              <w:rPr>
                <w:rFonts w:hint="eastAsia" w:eastAsia="宋体"/>
                <w:color w:val="auto"/>
                <w:highlight w:val="none"/>
                <w:lang w:eastAsia="zh-CN"/>
              </w:rPr>
            </w:pPr>
          </w:p>
        </w:tc>
        <w:tc>
          <w:tcPr>
            <w:tcW w:w="1632" w:type="dxa"/>
            <w:vMerge w:val="continue"/>
            <w:vAlign w:val="center"/>
          </w:tcPr>
          <w:p w14:paraId="533525BA">
            <w:pPr>
              <w:jc w:val="center"/>
              <w:rPr>
                <w:rFonts w:hint="default" w:ascii="Calibri" w:hAnsi="Calibri" w:eastAsia="宋体" w:cs="宋体"/>
                <w:color w:val="auto"/>
                <w:kern w:val="2"/>
                <w:sz w:val="21"/>
                <w:szCs w:val="24"/>
                <w:highlight w:val="none"/>
                <w:lang w:val="en-US" w:eastAsia="zh-CN" w:bidi="ar-SA"/>
              </w:rPr>
            </w:pPr>
          </w:p>
        </w:tc>
      </w:tr>
      <w:tr w14:paraId="3BA1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80" w:type="dxa"/>
            <w:vAlign w:val="center"/>
          </w:tcPr>
          <w:p w14:paraId="41F02783">
            <w:pPr>
              <w:jc w:val="center"/>
              <w:rPr>
                <w:rFonts w:hint="default"/>
                <w:color w:val="auto"/>
                <w:highlight w:val="none"/>
                <w:lang w:val="en-US" w:eastAsia="zh-CN"/>
              </w:rPr>
            </w:pPr>
            <w:r>
              <w:rPr>
                <w:rFonts w:hint="eastAsia"/>
                <w:color w:val="auto"/>
                <w:highlight w:val="none"/>
                <w:lang w:val="en-US" w:eastAsia="zh-CN"/>
              </w:rPr>
              <w:t>5</w:t>
            </w:r>
          </w:p>
        </w:tc>
        <w:tc>
          <w:tcPr>
            <w:tcW w:w="2603" w:type="dxa"/>
            <w:vAlign w:val="center"/>
          </w:tcPr>
          <w:p w14:paraId="603141F3">
            <w:pPr>
              <w:jc w:val="center"/>
              <w:rPr>
                <w:rFonts w:hint="default" w:ascii="Calibri" w:hAnsi="Calibri" w:eastAsia="宋体" w:cs="Calibri"/>
                <w:color w:val="auto"/>
                <w:kern w:val="2"/>
                <w:sz w:val="21"/>
                <w:szCs w:val="24"/>
                <w:highlight w:val="none"/>
                <w:lang w:val="en-US" w:eastAsia="zh-CN" w:bidi="ar-SA"/>
              </w:rPr>
            </w:pPr>
          </w:p>
        </w:tc>
        <w:tc>
          <w:tcPr>
            <w:tcW w:w="1560" w:type="dxa"/>
            <w:vAlign w:val="center"/>
          </w:tcPr>
          <w:p w14:paraId="45FFCA90">
            <w:pPr>
              <w:jc w:val="center"/>
              <w:rPr>
                <w:rFonts w:hint="eastAsia" w:ascii="Calibri" w:hAnsi="Calibri" w:eastAsia="宋体" w:cs="宋体"/>
                <w:color w:val="auto"/>
                <w:kern w:val="2"/>
                <w:sz w:val="21"/>
                <w:szCs w:val="24"/>
                <w:highlight w:val="none"/>
                <w:lang w:val="en-US" w:eastAsia="zh-CN" w:bidi="ar-SA"/>
              </w:rPr>
            </w:pPr>
          </w:p>
        </w:tc>
        <w:tc>
          <w:tcPr>
            <w:tcW w:w="1335" w:type="dxa"/>
            <w:vAlign w:val="center"/>
          </w:tcPr>
          <w:p w14:paraId="0C2EA8C8">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5883E3CC">
            <w:pPr>
              <w:jc w:val="center"/>
              <w:rPr>
                <w:rFonts w:hint="eastAsia" w:ascii="Calibri" w:hAnsi="Calibri" w:eastAsia="宋体" w:cs="宋体"/>
                <w:color w:val="auto"/>
                <w:kern w:val="2"/>
                <w:sz w:val="21"/>
                <w:szCs w:val="24"/>
                <w:highlight w:val="none"/>
                <w:lang w:val="en-US" w:eastAsia="zh-CN" w:bidi="ar-SA"/>
              </w:rPr>
            </w:pPr>
          </w:p>
        </w:tc>
        <w:tc>
          <w:tcPr>
            <w:tcW w:w="1632" w:type="dxa"/>
            <w:vMerge w:val="continue"/>
            <w:vAlign w:val="center"/>
          </w:tcPr>
          <w:p w14:paraId="7A0DDB95">
            <w:pPr>
              <w:jc w:val="center"/>
              <w:rPr>
                <w:rFonts w:hint="default" w:ascii="Calibri" w:hAnsi="Calibri" w:eastAsia="宋体" w:cs="宋体"/>
                <w:color w:val="auto"/>
                <w:kern w:val="2"/>
                <w:sz w:val="21"/>
                <w:szCs w:val="24"/>
                <w:highlight w:val="none"/>
                <w:lang w:val="en-US" w:eastAsia="zh-CN" w:bidi="ar-SA"/>
              </w:rPr>
            </w:pPr>
          </w:p>
        </w:tc>
      </w:tr>
      <w:tr w14:paraId="3856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680" w:type="dxa"/>
            <w:vAlign w:val="center"/>
          </w:tcPr>
          <w:p w14:paraId="44A51C12">
            <w:pPr>
              <w:jc w:val="center"/>
              <w:rPr>
                <w:rFonts w:hint="default" w:eastAsia="宋体"/>
                <w:color w:val="auto"/>
                <w:highlight w:val="none"/>
                <w:lang w:val="en-US" w:eastAsia="zh-CN"/>
              </w:rPr>
            </w:pPr>
            <w:r>
              <w:rPr>
                <w:rFonts w:hint="eastAsia"/>
                <w:color w:val="auto"/>
                <w:highlight w:val="none"/>
                <w:lang w:val="en-US" w:eastAsia="zh-CN"/>
              </w:rPr>
              <w:t>6</w:t>
            </w:r>
          </w:p>
        </w:tc>
        <w:tc>
          <w:tcPr>
            <w:tcW w:w="2603" w:type="dxa"/>
            <w:vAlign w:val="center"/>
          </w:tcPr>
          <w:p w14:paraId="5D53E567">
            <w:pPr>
              <w:jc w:val="center"/>
              <w:rPr>
                <w:rFonts w:hint="default" w:ascii="宋体" w:hAnsi="宋体" w:eastAsia="宋体" w:cs="宋体"/>
                <w:color w:val="auto"/>
                <w:kern w:val="2"/>
                <w:sz w:val="21"/>
                <w:szCs w:val="24"/>
                <w:highlight w:val="none"/>
                <w:lang w:val="en-US" w:eastAsia="zh-CN" w:bidi="ar-SA"/>
              </w:rPr>
            </w:pPr>
          </w:p>
        </w:tc>
        <w:tc>
          <w:tcPr>
            <w:tcW w:w="1560" w:type="dxa"/>
            <w:vAlign w:val="center"/>
          </w:tcPr>
          <w:p w14:paraId="432A12AA">
            <w:pPr>
              <w:jc w:val="center"/>
              <w:rPr>
                <w:rFonts w:hint="default" w:eastAsia="宋体"/>
                <w:color w:val="auto"/>
                <w:highlight w:val="none"/>
                <w:lang w:val="en-US" w:eastAsia="zh-CN"/>
              </w:rPr>
            </w:pPr>
          </w:p>
        </w:tc>
        <w:tc>
          <w:tcPr>
            <w:tcW w:w="1335" w:type="dxa"/>
            <w:vAlign w:val="center"/>
          </w:tcPr>
          <w:p w14:paraId="6C4A9FB8">
            <w:pPr>
              <w:jc w:val="center"/>
              <w:rPr>
                <w:rFonts w:hint="eastAsia" w:ascii="Calibri" w:hAnsi="Calibri" w:eastAsia="宋体" w:cs="宋体"/>
                <w:color w:val="auto"/>
                <w:kern w:val="2"/>
                <w:sz w:val="21"/>
                <w:szCs w:val="24"/>
                <w:highlight w:val="none"/>
                <w:lang w:val="en-US" w:eastAsia="zh-CN" w:bidi="ar-SA"/>
              </w:rPr>
            </w:pPr>
          </w:p>
        </w:tc>
        <w:tc>
          <w:tcPr>
            <w:tcW w:w="1515" w:type="dxa"/>
            <w:vAlign w:val="center"/>
          </w:tcPr>
          <w:p w14:paraId="50E47EE4">
            <w:pPr>
              <w:jc w:val="center"/>
              <w:rPr>
                <w:rFonts w:hint="eastAsia" w:eastAsia="宋体"/>
                <w:color w:val="auto"/>
                <w:highlight w:val="none"/>
                <w:lang w:eastAsia="zh-CN"/>
              </w:rPr>
            </w:pPr>
          </w:p>
        </w:tc>
        <w:tc>
          <w:tcPr>
            <w:tcW w:w="1632" w:type="dxa"/>
            <w:vMerge w:val="continue"/>
            <w:vAlign w:val="center"/>
          </w:tcPr>
          <w:p w14:paraId="61543770">
            <w:pPr>
              <w:jc w:val="center"/>
              <w:rPr>
                <w:rFonts w:hint="default" w:eastAsia="宋体"/>
                <w:color w:val="auto"/>
                <w:highlight w:val="none"/>
                <w:lang w:val="en-US" w:eastAsia="zh-CN"/>
              </w:rPr>
            </w:pPr>
          </w:p>
        </w:tc>
      </w:tr>
      <w:tr w14:paraId="7644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37A0BDD6">
            <w:pPr>
              <w:jc w:val="center"/>
              <w:rPr>
                <w:rFonts w:hint="default"/>
                <w:color w:val="auto"/>
                <w:highlight w:val="none"/>
                <w:lang w:val="en-US" w:eastAsia="zh-CN"/>
              </w:rPr>
            </w:pPr>
            <w:r>
              <w:rPr>
                <w:rFonts w:hint="eastAsia"/>
                <w:color w:val="auto"/>
                <w:highlight w:val="none"/>
                <w:lang w:val="en-US" w:eastAsia="zh-CN"/>
              </w:rPr>
              <w:t>7</w:t>
            </w:r>
          </w:p>
        </w:tc>
        <w:tc>
          <w:tcPr>
            <w:tcW w:w="2603" w:type="dxa"/>
            <w:vAlign w:val="center"/>
          </w:tcPr>
          <w:p w14:paraId="4AFF9CF3">
            <w:pPr>
              <w:jc w:val="center"/>
              <w:rPr>
                <w:rFonts w:hint="default" w:eastAsia="宋体"/>
                <w:color w:val="auto"/>
                <w:highlight w:val="none"/>
                <w:lang w:val="en-US" w:eastAsia="zh-CN"/>
              </w:rPr>
            </w:pPr>
          </w:p>
        </w:tc>
        <w:tc>
          <w:tcPr>
            <w:tcW w:w="1560" w:type="dxa"/>
            <w:vAlign w:val="center"/>
          </w:tcPr>
          <w:p w14:paraId="07C0C009">
            <w:pPr>
              <w:jc w:val="center"/>
              <w:rPr>
                <w:rFonts w:hint="default" w:eastAsia="宋体"/>
                <w:color w:val="auto"/>
                <w:highlight w:val="none"/>
                <w:lang w:val="en-US" w:eastAsia="zh-CN"/>
              </w:rPr>
            </w:pPr>
          </w:p>
        </w:tc>
        <w:tc>
          <w:tcPr>
            <w:tcW w:w="1335" w:type="dxa"/>
            <w:vAlign w:val="center"/>
          </w:tcPr>
          <w:p w14:paraId="12D0ABB5">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78D3F012">
            <w:pPr>
              <w:jc w:val="center"/>
              <w:rPr>
                <w:rFonts w:hint="default" w:eastAsia="宋体"/>
                <w:color w:val="auto"/>
                <w:highlight w:val="none"/>
                <w:lang w:val="en-US" w:eastAsia="zh-CN"/>
              </w:rPr>
            </w:pPr>
          </w:p>
        </w:tc>
        <w:tc>
          <w:tcPr>
            <w:tcW w:w="1632" w:type="dxa"/>
            <w:vMerge w:val="continue"/>
            <w:vAlign w:val="center"/>
          </w:tcPr>
          <w:p w14:paraId="4E4F89C8">
            <w:pPr>
              <w:jc w:val="center"/>
              <w:rPr>
                <w:rFonts w:hint="eastAsia" w:ascii="Calibri" w:hAnsi="Calibri" w:eastAsia="宋体" w:cs="宋体"/>
                <w:color w:val="auto"/>
                <w:kern w:val="2"/>
                <w:sz w:val="21"/>
                <w:szCs w:val="24"/>
                <w:highlight w:val="none"/>
                <w:lang w:val="en-US" w:eastAsia="zh-CN" w:bidi="ar-SA"/>
              </w:rPr>
            </w:pPr>
          </w:p>
        </w:tc>
      </w:tr>
      <w:tr w14:paraId="263D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0" w:type="dxa"/>
            <w:vAlign w:val="center"/>
          </w:tcPr>
          <w:p w14:paraId="021F7746">
            <w:pPr>
              <w:jc w:val="center"/>
              <w:rPr>
                <w:rFonts w:hint="default"/>
                <w:color w:val="auto"/>
                <w:highlight w:val="none"/>
                <w:lang w:val="en-US" w:eastAsia="zh-CN"/>
              </w:rPr>
            </w:pPr>
            <w:r>
              <w:rPr>
                <w:rFonts w:hint="eastAsia"/>
                <w:color w:val="auto"/>
                <w:highlight w:val="none"/>
                <w:lang w:val="en-US" w:eastAsia="zh-CN"/>
              </w:rPr>
              <w:t>8</w:t>
            </w:r>
          </w:p>
        </w:tc>
        <w:tc>
          <w:tcPr>
            <w:tcW w:w="2603" w:type="dxa"/>
            <w:vAlign w:val="center"/>
          </w:tcPr>
          <w:p w14:paraId="680A2B98">
            <w:pPr>
              <w:jc w:val="center"/>
              <w:rPr>
                <w:rFonts w:hint="eastAsia" w:eastAsia="宋体"/>
                <w:color w:val="auto"/>
                <w:highlight w:val="none"/>
                <w:lang w:val="en-US" w:eastAsia="zh-CN"/>
              </w:rPr>
            </w:pPr>
          </w:p>
        </w:tc>
        <w:tc>
          <w:tcPr>
            <w:tcW w:w="1560" w:type="dxa"/>
            <w:vAlign w:val="center"/>
          </w:tcPr>
          <w:p w14:paraId="7DA2071B">
            <w:pPr>
              <w:jc w:val="center"/>
              <w:rPr>
                <w:rFonts w:hint="default" w:eastAsia="宋体"/>
                <w:color w:val="auto"/>
                <w:highlight w:val="none"/>
                <w:lang w:val="en-US" w:eastAsia="zh-CN"/>
              </w:rPr>
            </w:pPr>
          </w:p>
        </w:tc>
        <w:tc>
          <w:tcPr>
            <w:tcW w:w="1335" w:type="dxa"/>
            <w:vAlign w:val="center"/>
          </w:tcPr>
          <w:p w14:paraId="32D92B12">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35663F28">
            <w:pPr>
              <w:jc w:val="center"/>
              <w:rPr>
                <w:rFonts w:hint="default" w:eastAsia="宋体"/>
                <w:color w:val="auto"/>
                <w:highlight w:val="none"/>
                <w:lang w:val="en-US" w:eastAsia="zh-CN"/>
              </w:rPr>
            </w:pPr>
          </w:p>
        </w:tc>
        <w:tc>
          <w:tcPr>
            <w:tcW w:w="1632" w:type="dxa"/>
            <w:vMerge w:val="continue"/>
            <w:vAlign w:val="center"/>
          </w:tcPr>
          <w:p w14:paraId="2D4CE460">
            <w:pPr>
              <w:jc w:val="center"/>
              <w:rPr>
                <w:rFonts w:hint="eastAsia" w:ascii="Calibri" w:hAnsi="Calibri" w:eastAsia="宋体" w:cs="宋体"/>
                <w:color w:val="auto"/>
                <w:kern w:val="2"/>
                <w:sz w:val="21"/>
                <w:szCs w:val="24"/>
                <w:highlight w:val="none"/>
                <w:lang w:val="en-US" w:eastAsia="zh-CN" w:bidi="ar-SA"/>
              </w:rPr>
            </w:pPr>
          </w:p>
        </w:tc>
      </w:tr>
      <w:tr w14:paraId="5637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80" w:type="dxa"/>
            <w:vAlign w:val="center"/>
          </w:tcPr>
          <w:p w14:paraId="592C9A30">
            <w:pPr>
              <w:jc w:val="center"/>
              <w:rPr>
                <w:rFonts w:hint="default"/>
                <w:color w:val="auto"/>
                <w:highlight w:val="none"/>
                <w:lang w:val="en-US" w:eastAsia="zh-CN"/>
              </w:rPr>
            </w:pPr>
            <w:r>
              <w:rPr>
                <w:rFonts w:hint="eastAsia"/>
                <w:color w:val="auto"/>
                <w:highlight w:val="none"/>
                <w:lang w:val="en-US" w:eastAsia="zh-CN"/>
              </w:rPr>
              <w:t>9</w:t>
            </w:r>
          </w:p>
        </w:tc>
        <w:tc>
          <w:tcPr>
            <w:tcW w:w="2603" w:type="dxa"/>
            <w:vAlign w:val="center"/>
          </w:tcPr>
          <w:p w14:paraId="22439C2B">
            <w:pPr>
              <w:jc w:val="center"/>
              <w:rPr>
                <w:rFonts w:hint="eastAsia" w:eastAsia="宋体"/>
                <w:color w:val="auto"/>
                <w:highlight w:val="none"/>
                <w:lang w:val="en-US" w:eastAsia="zh-CN"/>
              </w:rPr>
            </w:pPr>
          </w:p>
        </w:tc>
        <w:tc>
          <w:tcPr>
            <w:tcW w:w="1560" w:type="dxa"/>
            <w:vAlign w:val="center"/>
          </w:tcPr>
          <w:p w14:paraId="672D678F">
            <w:pPr>
              <w:jc w:val="center"/>
              <w:rPr>
                <w:rFonts w:hint="default" w:eastAsia="宋体"/>
                <w:color w:val="auto"/>
                <w:highlight w:val="none"/>
                <w:lang w:val="en-US" w:eastAsia="zh-CN"/>
              </w:rPr>
            </w:pPr>
          </w:p>
        </w:tc>
        <w:tc>
          <w:tcPr>
            <w:tcW w:w="1335" w:type="dxa"/>
            <w:vAlign w:val="center"/>
          </w:tcPr>
          <w:p w14:paraId="6B15DA39">
            <w:pPr>
              <w:jc w:val="center"/>
              <w:rPr>
                <w:rFonts w:hint="default" w:ascii="Calibri" w:hAnsi="Calibri" w:eastAsia="宋体" w:cs="宋体"/>
                <w:color w:val="auto"/>
                <w:kern w:val="2"/>
                <w:sz w:val="21"/>
                <w:szCs w:val="24"/>
                <w:highlight w:val="none"/>
                <w:lang w:val="en-US" w:eastAsia="zh-CN" w:bidi="ar-SA"/>
              </w:rPr>
            </w:pPr>
          </w:p>
        </w:tc>
        <w:tc>
          <w:tcPr>
            <w:tcW w:w="1515" w:type="dxa"/>
            <w:vAlign w:val="center"/>
          </w:tcPr>
          <w:p w14:paraId="4CFC8AF2">
            <w:pPr>
              <w:jc w:val="center"/>
              <w:rPr>
                <w:rFonts w:hint="default" w:eastAsia="宋体"/>
                <w:color w:val="auto"/>
                <w:highlight w:val="none"/>
                <w:lang w:val="en-US" w:eastAsia="zh-CN"/>
              </w:rPr>
            </w:pPr>
          </w:p>
        </w:tc>
        <w:tc>
          <w:tcPr>
            <w:tcW w:w="1632" w:type="dxa"/>
            <w:vMerge w:val="continue"/>
            <w:vAlign w:val="center"/>
          </w:tcPr>
          <w:p w14:paraId="23913088">
            <w:pPr>
              <w:jc w:val="center"/>
              <w:rPr>
                <w:rFonts w:hint="eastAsia" w:eastAsia="宋体"/>
                <w:color w:val="auto"/>
                <w:highlight w:val="none"/>
                <w:lang w:eastAsia="zh-CN"/>
              </w:rPr>
            </w:pPr>
          </w:p>
        </w:tc>
      </w:tr>
      <w:tr w14:paraId="4DC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0" w:type="dxa"/>
            <w:vAlign w:val="center"/>
          </w:tcPr>
          <w:p w14:paraId="61E18382">
            <w:pPr>
              <w:jc w:val="center"/>
              <w:rPr>
                <w:rFonts w:hint="default"/>
                <w:color w:val="auto"/>
                <w:highlight w:val="none"/>
                <w:lang w:val="en-US" w:eastAsia="zh-CN"/>
              </w:rPr>
            </w:pPr>
            <w:r>
              <w:rPr>
                <w:rFonts w:hint="eastAsia"/>
                <w:color w:val="auto"/>
                <w:highlight w:val="none"/>
                <w:lang w:val="en-US" w:eastAsia="zh-CN"/>
              </w:rPr>
              <w:t>10</w:t>
            </w:r>
          </w:p>
        </w:tc>
        <w:tc>
          <w:tcPr>
            <w:tcW w:w="2603" w:type="dxa"/>
            <w:vAlign w:val="center"/>
          </w:tcPr>
          <w:p w14:paraId="3D2D8281">
            <w:pPr>
              <w:jc w:val="center"/>
              <w:rPr>
                <w:rFonts w:hint="eastAsia" w:eastAsia="宋体"/>
                <w:color w:val="auto"/>
                <w:highlight w:val="none"/>
                <w:lang w:val="en-US" w:eastAsia="zh-CN"/>
              </w:rPr>
            </w:pPr>
          </w:p>
        </w:tc>
        <w:tc>
          <w:tcPr>
            <w:tcW w:w="1560" w:type="dxa"/>
            <w:vAlign w:val="center"/>
          </w:tcPr>
          <w:p w14:paraId="3E2F848B">
            <w:pPr>
              <w:jc w:val="center"/>
              <w:rPr>
                <w:rFonts w:hint="default" w:eastAsia="宋体"/>
                <w:color w:val="auto"/>
                <w:highlight w:val="none"/>
                <w:lang w:val="en-US" w:eastAsia="zh-CN"/>
              </w:rPr>
            </w:pPr>
          </w:p>
        </w:tc>
        <w:tc>
          <w:tcPr>
            <w:tcW w:w="1335" w:type="dxa"/>
            <w:vAlign w:val="center"/>
          </w:tcPr>
          <w:p w14:paraId="54F5B863">
            <w:pPr>
              <w:jc w:val="center"/>
              <w:rPr>
                <w:rFonts w:hint="default" w:eastAsia="宋体"/>
                <w:color w:val="auto"/>
                <w:highlight w:val="none"/>
                <w:lang w:val="en-US" w:eastAsia="zh-CN"/>
              </w:rPr>
            </w:pPr>
          </w:p>
        </w:tc>
        <w:tc>
          <w:tcPr>
            <w:tcW w:w="1515" w:type="dxa"/>
            <w:vAlign w:val="center"/>
          </w:tcPr>
          <w:p w14:paraId="0D09AB08">
            <w:pPr>
              <w:jc w:val="center"/>
              <w:rPr>
                <w:rFonts w:hint="default" w:eastAsia="宋体"/>
                <w:color w:val="auto"/>
                <w:highlight w:val="none"/>
                <w:lang w:val="en-US" w:eastAsia="zh-CN"/>
              </w:rPr>
            </w:pPr>
          </w:p>
        </w:tc>
        <w:tc>
          <w:tcPr>
            <w:tcW w:w="1632" w:type="dxa"/>
            <w:vMerge w:val="continue"/>
            <w:vAlign w:val="center"/>
          </w:tcPr>
          <w:p w14:paraId="306C6146">
            <w:pPr>
              <w:jc w:val="center"/>
              <w:rPr>
                <w:rFonts w:hint="eastAsia" w:eastAsia="宋体"/>
                <w:color w:val="auto"/>
                <w:highlight w:val="none"/>
                <w:lang w:eastAsia="zh-CN"/>
              </w:rPr>
            </w:pPr>
          </w:p>
        </w:tc>
      </w:tr>
      <w:tr w14:paraId="1C299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6B7101A2">
            <w:pPr>
              <w:jc w:val="center"/>
              <w:rPr>
                <w:rFonts w:hint="default"/>
                <w:color w:val="auto"/>
                <w:highlight w:val="none"/>
                <w:lang w:val="en-US" w:eastAsia="zh-CN"/>
              </w:rPr>
            </w:pPr>
            <w:r>
              <w:rPr>
                <w:rFonts w:hint="eastAsia"/>
                <w:color w:val="auto"/>
                <w:highlight w:val="none"/>
                <w:lang w:val="en-US" w:eastAsia="zh-CN"/>
              </w:rPr>
              <w:t>11</w:t>
            </w:r>
          </w:p>
        </w:tc>
        <w:tc>
          <w:tcPr>
            <w:tcW w:w="2603" w:type="dxa"/>
            <w:vAlign w:val="center"/>
          </w:tcPr>
          <w:p w14:paraId="57ABC1F4">
            <w:pPr>
              <w:jc w:val="center"/>
              <w:rPr>
                <w:rFonts w:hint="eastAsia" w:eastAsia="宋体"/>
                <w:color w:val="auto"/>
                <w:highlight w:val="none"/>
                <w:lang w:val="en-US" w:eastAsia="zh-CN"/>
              </w:rPr>
            </w:pPr>
          </w:p>
        </w:tc>
        <w:tc>
          <w:tcPr>
            <w:tcW w:w="1560" w:type="dxa"/>
            <w:vAlign w:val="center"/>
          </w:tcPr>
          <w:p w14:paraId="7EF23E7F">
            <w:pPr>
              <w:jc w:val="center"/>
              <w:rPr>
                <w:rFonts w:hint="default"/>
                <w:color w:val="auto"/>
                <w:highlight w:val="none"/>
                <w:lang w:val="en-US" w:eastAsia="zh-CN"/>
              </w:rPr>
            </w:pPr>
          </w:p>
        </w:tc>
        <w:tc>
          <w:tcPr>
            <w:tcW w:w="1335" w:type="dxa"/>
            <w:vAlign w:val="center"/>
          </w:tcPr>
          <w:p w14:paraId="1C3AC47B">
            <w:pPr>
              <w:jc w:val="center"/>
              <w:rPr>
                <w:rFonts w:hint="default"/>
                <w:color w:val="auto"/>
                <w:highlight w:val="none"/>
                <w:lang w:val="en-US" w:eastAsia="zh-CN"/>
              </w:rPr>
            </w:pPr>
          </w:p>
        </w:tc>
        <w:tc>
          <w:tcPr>
            <w:tcW w:w="1515" w:type="dxa"/>
            <w:vAlign w:val="center"/>
          </w:tcPr>
          <w:p w14:paraId="03512538">
            <w:pPr>
              <w:jc w:val="center"/>
              <w:rPr>
                <w:rFonts w:hint="default" w:eastAsia="宋体"/>
                <w:color w:val="auto"/>
                <w:highlight w:val="none"/>
                <w:lang w:val="en-US" w:eastAsia="zh-CN"/>
              </w:rPr>
            </w:pPr>
          </w:p>
        </w:tc>
        <w:tc>
          <w:tcPr>
            <w:tcW w:w="1632" w:type="dxa"/>
            <w:vMerge w:val="continue"/>
            <w:vAlign w:val="center"/>
          </w:tcPr>
          <w:p w14:paraId="75246804">
            <w:pPr>
              <w:jc w:val="center"/>
              <w:rPr>
                <w:rFonts w:hint="eastAsia" w:eastAsia="宋体"/>
                <w:color w:val="auto"/>
                <w:highlight w:val="none"/>
                <w:lang w:eastAsia="zh-CN"/>
              </w:rPr>
            </w:pPr>
          </w:p>
        </w:tc>
      </w:tr>
      <w:tr w14:paraId="0A09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13E5B7DF">
            <w:pPr>
              <w:jc w:val="center"/>
              <w:rPr>
                <w:rFonts w:hint="default"/>
                <w:color w:val="auto"/>
                <w:highlight w:val="none"/>
                <w:lang w:val="en-US" w:eastAsia="zh-CN"/>
              </w:rPr>
            </w:pPr>
            <w:r>
              <w:rPr>
                <w:rFonts w:hint="eastAsia"/>
                <w:color w:val="auto"/>
                <w:highlight w:val="none"/>
                <w:lang w:val="en-US" w:eastAsia="zh-CN"/>
              </w:rPr>
              <w:t>12</w:t>
            </w:r>
          </w:p>
        </w:tc>
        <w:tc>
          <w:tcPr>
            <w:tcW w:w="2603" w:type="dxa"/>
            <w:vAlign w:val="center"/>
          </w:tcPr>
          <w:p w14:paraId="2C719D87">
            <w:pPr>
              <w:jc w:val="center"/>
              <w:rPr>
                <w:rFonts w:hint="eastAsia" w:eastAsia="宋体"/>
                <w:color w:val="auto"/>
                <w:highlight w:val="none"/>
                <w:lang w:val="en-US" w:eastAsia="zh-CN"/>
              </w:rPr>
            </w:pPr>
          </w:p>
        </w:tc>
        <w:tc>
          <w:tcPr>
            <w:tcW w:w="1560" w:type="dxa"/>
            <w:vAlign w:val="center"/>
          </w:tcPr>
          <w:p w14:paraId="32F5B6D7">
            <w:pPr>
              <w:jc w:val="center"/>
              <w:rPr>
                <w:rFonts w:hint="default"/>
                <w:color w:val="auto"/>
                <w:highlight w:val="none"/>
                <w:lang w:val="en-US" w:eastAsia="zh-CN"/>
              </w:rPr>
            </w:pPr>
          </w:p>
        </w:tc>
        <w:tc>
          <w:tcPr>
            <w:tcW w:w="1335" w:type="dxa"/>
            <w:vAlign w:val="center"/>
          </w:tcPr>
          <w:p w14:paraId="76708FEE">
            <w:pPr>
              <w:jc w:val="center"/>
              <w:rPr>
                <w:rFonts w:hint="default"/>
                <w:color w:val="auto"/>
                <w:highlight w:val="none"/>
                <w:lang w:val="en-US" w:eastAsia="zh-CN"/>
              </w:rPr>
            </w:pPr>
          </w:p>
        </w:tc>
        <w:tc>
          <w:tcPr>
            <w:tcW w:w="1515" w:type="dxa"/>
            <w:vAlign w:val="center"/>
          </w:tcPr>
          <w:p w14:paraId="133BBB1C">
            <w:pPr>
              <w:jc w:val="center"/>
              <w:rPr>
                <w:rFonts w:hint="default" w:eastAsia="宋体"/>
                <w:color w:val="auto"/>
                <w:highlight w:val="none"/>
                <w:lang w:val="en-US" w:eastAsia="zh-CN"/>
              </w:rPr>
            </w:pPr>
          </w:p>
        </w:tc>
        <w:tc>
          <w:tcPr>
            <w:tcW w:w="1632" w:type="dxa"/>
            <w:vMerge w:val="continue"/>
            <w:vAlign w:val="center"/>
          </w:tcPr>
          <w:p w14:paraId="195CEAEE">
            <w:pPr>
              <w:jc w:val="center"/>
              <w:rPr>
                <w:rFonts w:hint="eastAsia" w:eastAsia="宋体"/>
                <w:color w:val="auto"/>
                <w:highlight w:val="none"/>
                <w:lang w:eastAsia="zh-CN"/>
              </w:rPr>
            </w:pPr>
          </w:p>
        </w:tc>
      </w:tr>
      <w:tr w14:paraId="0642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80" w:type="dxa"/>
            <w:vAlign w:val="center"/>
          </w:tcPr>
          <w:p w14:paraId="6597E309">
            <w:pPr>
              <w:jc w:val="center"/>
              <w:rPr>
                <w:rFonts w:hint="default"/>
                <w:color w:val="auto"/>
                <w:highlight w:val="none"/>
                <w:lang w:val="en-US" w:eastAsia="zh-CN"/>
              </w:rPr>
            </w:pPr>
            <w:r>
              <w:rPr>
                <w:rFonts w:hint="eastAsia"/>
                <w:color w:val="auto"/>
                <w:highlight w:val="none"/>
                <w:lang w:val="en-US" w:eastAsia="zh-CN"/>
              </w:rPr>
              <w:t>13</w:t>
            </w:r>
          </w:p>
        </w:tc>
        <w:tc>
          <w:tcPr>
            <w:tcW w:w="2603" w:type="dxa"/>
            <w:vAlign w:val="center"/>
          </w:tcPr>
          <w:p w14:paraId="22997187">
            <w:pPr>
              <w:tabs>
                <w:tab w:val="left" w:pos="631"/>
              </w:tabs>
              <w:jc w:val="left"/>
              <w:rPr>
                <w:rFonts w:hint="eastAsia" w:eastAsia="宋体"/>
                <w:color w:val="auto"/>
                <w:highlight w:val="none"/>
                <w:lang w:val="en-US" w:eastAsia="zh-CN"/>
              </w:rPr>
            </w:pPr>
          </w:p>
        </w:tc>
        <w:tc>
          <w:tcPr>
            <w:tcW w:w="1560" w:type="dxa"/>
            <w:vAlign w:val="center"/>
          </w:tcPr>
          <w:p w14:paraId="14927710">
            <w:pPr>
              <w:jc w:val="center"/>
              <w:rPr>
                <w:rFonts w:hint="default"/>
                <w:color w:val="auto"/>
                <w:highlight w:val="none"/>
                <w:lang w:val="en-US" w:eastAsia="zh-CN"/>
              </w:rPr>
            </w:pPr>
          </w:p>
        </w:tc>
        <w:tc>
          <w:tcPr>
            <w:tcW w:w="1335" w:type="dxa"/>
            <w:vAlign w:val="center"/>
          </w:tcPr>
          <w:p w14:paraId="34CA7D77">
            <w:pPr>
              <w:jc w:val="center"/>
              <w:rPr>
                <w:rFonts w:hint="default"/>
                <w:color w:val="auto"/>
                <w:highlight w:val="none"/>
                <w:lang w:val="en-US" w:eastAsia="zh-CN"/>
              </w:rPr>
            </w:pPr>
          </w:p>
        </w:tc>
        <w:tc>
          <w:tcPr>
            <w:tcW w:w="1515" w:type="dxa"/>
            <w:vAlign w:val="center"/>
          </w:tcPr>
          <w:p w14:paraId="56002389">
            <w:pPr>
              <w:jc w:val="center"/>
              <w:rPr>
                <w:rFonts w:hint="default" w:eastAsia="宋体"/>
                <w:color w:val="auto"/>
                <w:highlight w:val="none"/>
                <w:lang w:val="en-US" w:eastAsia="zh-CN"/>
              </w:rPr>
            </w:pPr>
          </w:p>
        </w:tc>
        <w:tc>
          <w:tcPr>
            <w:tcW w:w="1632" w:type="dxa"/>
            <w:vMerge w:val="continue"/>
            <w:vAlign w:val="center"/>
          </w:tcPr>
          <w:p w14:paraId="1BEDF2B4">
            <w:pPr>
              <w:jc w:val="center"/>
              <w:rPr>
                <w:rFonts w:hint="eastAsia" w:eastAsia="宋体"/>
                <w:color w:val="auto"/>
                <w:highlight w:val="none"/>
                <w:lang w:eastAsia="zh-CN"/>
              </w:rPr>
            </w:pPr>
          </w:p>
        </w:tc>
      </w:tr>
      <w:tr w14:paraId="080F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AC7FFF6">
            <w:pPr>
              <w:jc w:val="center"/>
              <w:rPr>
                <w:rFonts w:hint="default"/>
                <w:color w:val="auto"/>
                <w:highlight w:val="none"/>
                <w:lang w:val="en-US" w:eastAsia="zh-CN"/>
              </w:rPr>
            </w:pPr>
            <w:r>
              <w:rPr>
                <w:rFonts w:hint="eastAsia"/>
                <w:color w:val="auto"/>
                <w:highlight w:val="none"/>
                <w:lang w:val="en-US" w:eastAsia="zh-CN"/>
              </w:rPr>
              <w:t>14</w:t>
            </w:r>
          </w:p>
        </w:tc>
        <w:tc>
          <w:tcPr>
            <w:tcW w:w="2603" w:type="dxa"/>
            <w:vAlign w:val="center"/>
          </w:tcPr>
          <w:p w14:paraId="439EF7F9">
            <w:pPr>
              <w:jc w:val="center"/>
              <w:rPr>
                <w:rFonts w:hint="eastAsia" w:eastAsia="宋体"/>
                <w:color w:val="auto"/>
                <w:highlight w:val="none"/>
                <w:lang w:val="en-US" w:eastAsia="zh-CN"/>
              </w:rPr>
            </w:pPr>
          </w:p>
        </w:tc>
        <w:tc>
          <w:tcPr>
            <w:tcW w:w="1560" w:type="dxa"/>
            <w:vAlign w:val="center"/>
          </w:tcPr>
          <w:p w14:paraId="6F9DD8BF">
            <w:pPr>
              <w:jc w:val="center"/>
              <w:rPr>
                <w:rFonts w:hint="default"/>
                <w:color w:val="auto"/>
                <w:highlight w:val="none"/>
                <w:lang w:val="en-US" w:eastAsia="zh-CN"/>
              </w:rPr>
            </w:pPr>
          </w:p>
        </w:tc>
        <w:tc>
          <w:tcPr>
            <w:tcW w:w="1335" w:type="dxa"/>
            <w:vAlign w:val="center"/>
          </w:tcPr>
          <w:p w14:paraId="749D1A0E">
            <w:pPr>
              <w:jc w:val="center"/>
              <w:rPr>
                <w:rFonts w:hint="default"/>
                <w:color w:val="auto"/>
                <w:highlight w:val="none"/>
                <w:lang w:val="en-US" w:eastAsia="zh-CN"/>
              </w:rPr>
            </w:pPr>
          </w:p>
        </w:tc>
        <w:tc>
          <w:tcPr>
            <w:tcW w:w="1515" w:type="dxa"/>
            <w:vAlign w:val="center"/>
          </w:tcPr>
          <w:p w14:paraId="7430A4CD">
            <w:pPr>
              <w:jc w:val="center"/>
              <w:rPr>
                <w:rFonts w:hint="default" w:eastAsia="宋体"/>
                <w:color w:val="auto"/>
                <w:highlight w:val="none"/>
                <w:lang w:val="en-US" w:eastAsia="zh-CN"/>
              </w:rPr>
            </w:pPr>
          </w:p>
        </w:tc>
        <w:tc>
          <w:tcPr>
            <w:tcW w:w="1632" w:type="dxa"/>
            <w:vMerge w:val="continue"/>
            <w:vAlign w:val="center"/>
          </w:tcPr>
          <w:p w14:paraId="0C66FFDE">
            <w:pPr>
              <w:jc w:val="center"/>
              <w:rPr>
                <w:rFonts w:hint="default" w:eastAsia="宋体"/>
                <w:color w:val="auto"/>
                <w:highlight w:val="none"/>
                <w:lang w:val="en-US" w:eastAsia="zh-CN"/>
              </w:rPr>
            </w:pPr>
          </w:p>
        </w:tc>
      </w:tr>
      <w:tr w14:paraId="5CF7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09CC158">
            <w:pPr>
              <w:jc w:val="center"/>
              <w:rPr>
                <w:rFonts w:hint="default"/>
                <w:color w:val="auto"/>
                <w:highlight w:val="none"/>
                <w:lang w:val="en-US" w:eastAsia="zh-CN"/>
              </w:rPr>
            </w:pPr>
            <w:r>
              <w:rPr>
                <w:rFonts w:hint="eastAsia"/>
                <w:color w:val="auto"/>
                <w:highlight w:val="none"/>
                <w:lang w:val="en-US" w:eastAsia="zh-CN"/>
              </w:rPr>
              <w:t>15</w:t>
            </w:r>
          </w:p>
        </w:tc>
        <w:tc>
          <w:tcPr>
            <w:tcW w:w="2603" w:type="dxa"/>
            <w:vAlign w:val="center"/>
          </w:tcPr>
          <w:p w14:paraId="0C94977F">
            <w:pPr>
              <w:jc w:val="center"/>
              <w:rPr>
                <w:rFonts w:hint="eastAsia" w:eastAsia="宋体"/>
                <w:color w:val="auto"/>
                <w:highlight w:val="none"/>
                <w:lang w:val="en-US" w:eastAsia="zh-CN"/>
              </w:rPr>
            </w:pPr>
          </w:p>
        </w:tc>
        <w:tc>
          <w:tcPr>
            <w:tcW w:w="1560" w:type="dxa"/>
            <w:vAlign w:val="center"/>
          </w:tcPr>
          <w:p w14:paraId="6D235F2D">
            <w:pPr>
              <w:jc w:val="center"/>
              <w:rPr>
                <w:rFonts w:hint="default"/>
                <w:color w:val="auto"/>
                <w:highlight w:val="none"/>
                <w:lang w:val="en-US" w:eastAsia="zh-CN"/>
              </w:rPr>
            </w:pPr>
          </w:p>
        </w:tc>
        <w:tc>
          <w:tcPr>
            <w:tcW w:w="1335" w:type="dxa"/>
            <w:vAlign w:val="center"/>
          </w:tcPr>
          <w:p w14:paraId="7CCDD19E">
            <w:pPr>
              <w:jc w:val="center"/>
              <w:rPr>
                <w:rFonts w:hint="default"/>
                <w:color w:val="auto"/>
                <w:highlight w:val="none"/>
                <w:lang w:val="en-US" w:eastAsia="zh-CN"/>
              </w:rPr>
            </w:pPr>
          </w:p>
        </w:tc>
        <w:tc>
          <w:tcPr>
            <w:tcW w:w="1515" w:type="dxa"/>
            <w:vAlign w:val="center"/>
          </w:tcPr>
          <w:p w14:paraId="312E34E2">
            <w:pPr>
              <w:jc w:val="center"/>
              <w:rPr>
                <w:rFonts w:hint="default" w:eastAsia="宋体"/>
                <w:color w:val="auto"/>
                <w:highlight w:val="none"/>
                <w:lang w:val="en-US" w:eastAsia="zh-CN"/>
              </w:rPr>
            </w:pPr>
          </w:p>
        </w:tc>
        <w:tc>
          <w:tcPr>
            <w:tcW w:w="1632" w:type="dxa"/>
            <w:vMerge w:val="continue"/>
            <w:vAlign w:val="center"/>
          </w:tcPr>
          <w:p w14:paraId="637F7BE5">
            <w:pPr>
              <w:jc w:val="center"/>
              <w:rPr>
                <w:rFonts w:hint="eastAsia" w:eastAsia="宋体"/>
                <w:color w:val="auto"/>
                <w:highlight w:val="none"/>
                <w:lang w:val="en-US" w:eastAsia="zh-CN"/>
              </w:rPr>
            </w:pPr>
          </w:p>
        </w:tc>
      </w:tr>
      <w:tr w14:paraId="0D351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0" w:type="dxa"/>
            <w:vAlign w:val="center"/>
          </w:tcPr>
          <w:p w14:paraId="70BB885A">
            <w:pPr>
              <w:jc w:val="center"/>
              <w:rPr>
                <w:rFonts w:hint="default"/>
                <w:color w:val="auto"/>
                <w:highlight w:val="none"/>
                <w:lang w:val="en-US" w:eastAsia="zh-CN"/>
              </w:rPr>
            </w:pPr>
            <w:r>
              <w:rPr>
                <w:rFonts w:hint="eastAsia"/>
                <w:color w:val="auto"/>
                <w:highlight w:val="none"/>
                <w:lang w:val="en-US" w:eastAsia="zh-CN"/>
              </w:rPr>
              <w:t>16</w:t>
            </w:r>
          </w:p>
        </w:tc>
        <w:tc>
          <w:tcPr>
            <w:tcW w:w="2603" w:type="dxa"/>
            <w:vAlign w:val="center"/>
          </w:tcPr>
          <w:p w14:paraId="0898E385">
            <w:pPr>
              <w:jc w:val="center"/>
              <w:rPr>
                <w:rFonts w:hint="eastAsia" w:eastAsia="宋体"/>
                <w:color w:val="auto"/>
                <w:highlight w:val="none"/>
                <w:lang w:val="en-US" w:eastAsia="zh-CN"/>
              </w:rPr>
            </w:pPr>
          </w:p>
        </w:tc>
        <w:tc>
          <w:tcPr>
            <w:tcW w:w="1560" w:type="dxa"/>
            <w:vAlign w:val="center"/>
          </w:tcPr>
          <w:p w14:paraId="29A26516">
            <w:pPr>
              <w:jc w:val="center"/>
              <w:rPr>
                <w:rFonts w:hint="default"/>
                <w:color w:val="auto"/>
                <w:highlight w:val="none"/>
                <w:lang w:val="en-US" w:eastAsia="zh-CN"/>
              </w:rPr>
            </w:pPr>
          </w:p>
        </w:tc>
        <w:tc>
          <w:tcPr>
            <w:tcW w:w="1335" w:type="dxa"/>
            <w:vAlign w:val="center"/>
          </w:tcPr>
          <w:p w14:paraId="6AC9545B">
            <w:pPr>
              <w:jc w:val="center"/>
              <w:rPr>
                <w:rFonts w:hint="default"/>
                <w:color w:val="auto"/>
                <w:highlight w:val="none"/>
                <w:lang w:val="en-US" w:eastAsia="zh-CN"/>
              </w:rPr>
            </w:pPr>
          </w:p>
        </w:tc>
        <w:tc>
          <w:tcPr>
            <w:tcW w:w="1515" w:type="dxa"/>
            <w:vAlign w:val="center"/>
          </w:tcPr>
          <w:p w14:paraId="5779DF7E">
            <w:pPr>
              <w:jc w:val="center"/>
              <w:rPr>
                <w:rFonts w:hint="default" w:eastAsia="宋体"/>
                <w:color w:val="auto"/>
                <w:highlight w:val="none"/>
                <w:lang w:val="en-US" w:eastAsia="zh-CN"/>
              </w:rPr>
            </w:pPr>
          </w:p>
        </w:tc>
        <w:tc>
          <w:tcPr>
            <w:tcW w:w="1632" w:type="dxa"/>
            <w:vMerge w:val="continue"/>
            <w:vAlign w:val="center"/>
          </w:tcPr>
          <w:p w14:paraId="76ACC014">
            <w:pPr>
              <w:jc w:val="center"/>
              <w:rPr>
                <w:rFonts w:hint="eastAsia" w:eastAsia="宋体"/>
                <w:color w:val="auto"/>
                <w:highlight w:val="none"/>
                <w:lang w:eastAsia="zh-CN"/>
              </w:rPr>
            </w:pPr>
          </w:p>
        </w:tc>
      </w:tr>
      <w:tr w14:paraId="5879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0" w:type="dxa"/>
            <w:vAlign w:val="center"/>
          </w:tcPr>
          <w:p w14:paraId="56A7E9ED">
            <w:pPr>
              <w:jc w:val="center"/>
              <w:rPr>
                <w:rFonts w:hint="default"/>
                <w:color w:val="auto"/>
                <w:highlight w:val="none"/>
                <w:lang w:val="en-US" w:eastAsia="zh-CN"/>
              </w:rPr>
            </w:pPr>
            <w:r>
              <w:rPr>
                <w:rFonts w:hint="eastAsia"/>
                <w:color w:val="auto"/>
                <w:highlight w:val="none"/>
                <w:lang w:val="en-US" w:eastAsia="zh-CN"/>
              </w:rPr>
              <w:t>17</w:t>
            </w:r>
          </w:p>
        </w:tc>
        <w:tc>
          <w:tcPr>
            <w:tcW w:w="2603" w:type="dxa"/>
            <w:vAlign w:val="center"/>
          </w:tcPr>
          <w:p w14:paraId="35101673">
            <w:pPr>
              <w:jc w:val="center"/>
              <w:rPr>
                <w:rFonts w:hint="eastAsia" w:eastAsia="宋体"/>
                <w:color w:val="auto"/>
                <w:highlight w:val="none"/>
                <w:lang w:val="en-US" w:eastAsia="zh-CN"/>
              </w:rPr>
            </w:pPr>
          </w:p>
        </w:tc>
        <w:tc>
          <w:tcPr>
            <w:tcW w:w="1560" w:type="dxa"/>
            <w:vAlign w:val="center"/>
          </w:tcPr>
          <w:p w14:paraId="132055D2">
            <w:pPr>
              <w:jc w:val="center"/>
              <w:rPr>
                <w:rFonts w:hint="default"/>
                <w:color w:val="auto"/>
                <w:highlight w:val="none"/>
                <w:lang w:val="en-US" w:eastAsia="zh-CN"/>
              </w:rPr>
            </w:pPr>
          </w:p>
        </w:tc>
        <w:tc>
          <w:tcPr>
            <w:tcW w:w="1335" w:type="dxa"/>
            <w:vAlign w:val="center"/>
          </w:tcPr>
          <w:p w14:paraId="1A0F8DFA">
            <w:pPr>
              <w:jc w:val="center"/>
              <w:rPr>
                <w:rFonts w:hint="default"/>
                <w:color w:val="auto"/>
                <w:highlight w:val="none"/>
                <w:lang w:val="en-US" w:eastAsia="zh-CN"/>
              </w:rPr>
            </w:pPr>
          </w:p>
        </w:tc>
        <w:tc>
          <w:tcPr>
            <w:tcW w:w="1515" w:type="dxa"/>
            <w:vAlign w:val="center"/>
          </w:tcPr>
          <w:p w14:paraId="6772196E">
            <w:pPr>
              <w:jc w:val="center"/>
              <w:rPr>
                <w:rFonts w:hint="default" w:eastAsia="宋体"/>
                <w:color w:val="auto"/>
                <w:highlight w:val="none"/>
                <w:lang w:val="en-US" w:eastAsia="zh-CN"/>
              </w:rPr>
            </w:pPr>
          </w:p>
        </w:tc>
        <w:tc>
          <w:tcPr>
            <w:tcW w:w="1632" w:type="dxa"/>
            <w:vMerge w:val="continue"/>
            <w:vAlign w:val="center"/>
          </w:tcPr>
          <w:p w14:paraId="2AC31812">
            <w:pPr>
              <w:jc w:val="center"/>
              <w:rPr>
                <w:rFonts w:hint="eastAsia" w:eastAsia="宋体"/>
                <w:color w:val="auto"/>
                <w:highlight w:val="none"/>
                <w:lang w:eastAsia="zh-CN"/>
              </w:rPr>
            </w:pPr>
          </w:p>
        </w:tc>
      </w:tr>
      <w:tr w14:paraId="7026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80" w:type="dxa"/>
            <w:vAlign w:val="center"/>
          </w:tcPr>
          <w:p w14:paraId="68A27665">
            <w:pPr>
              <w:jc w:val="center"/>
              <w:rPr>
                <w:rFonts w:hint="default"/>
                <w:color w:val="auto"/>
                <w:highlight w:val="none"/>
                <w:lang w:val="en-US" w:eastAsia="zh-CN"/>
              </w:rPr>
            </w:pPr>
            <w:r>
              <w:rPr>
                <w:rFonts w:hint="eastAsia"/>
                <w:color w:val="auto"/>
                <w:highlight w:val="none"/>
                <w:lang w:val="en-US" w:eastAsia="zh-CN"/>
              </w:rPr>
              <w:t>18</w:t>
            </w:r>
          </w:p>
        </w:tc>
        <w:tc>
          <w:tcPr>
            <w:tcW w:w="2603" w:type="dxa"/>
            <w:vAlign w:val="center"/>
          </w:tcPr>
          <w:p w14:paraId="69A4B83F">
            <w:pPr>
              <w:jc w:val="center"/>
              <w:rPr>
                <w:rFonts w:hint="default" w:ascii="Calibri" w:hAnsi="Calibri" w:cs="Calibri"/>
                <w:color w:val="auto"/>
                <w:kern w:val="2"/>
                <w:sz w:val="21"/>
                <w:szCs w:val="24"/>
                <w:highlight w:val="none"/>
                <w:lang w:val="en-US" w:eastAsia="zh-CN" w:bidi="ar-SA"/>
              </w:rPr>
            </w:pPr>
          </w:p>
        </w:tc>
        <w:tc>
          <w:tcPr>
            <w:tcW w:w="1560" w:type="dxa"/>
            <w:vAlign w:val="center"/>
          </w:tcPr>
          <w:p w14:paraId="38E12C35">
            <w:pPr>
              <w:jc w:val="center"/>
              <w:rPr>
                <w:rFonts w:hint="default"/>
                <w:color w:val="auto"/>
                <w:highlight w:val="none"/>
                <w:lang w:val="en-US" w:eastAsia="zh-CN"/>
              </w:rPr>
            </w:pPr>
          </w:p>
        </w:tc>
        <w:tc>
          <w:tcPr>
            <w:tcW w:w="1335" w:type="dxa"/>
            <w:vAlign w:val="center"/>
          </w:tcPr>
          <w:p w14:paraId="22249AC5">
            <w:pPr>
              <w:jc w:val="center"/>
              <w:rPr>
                <w:rFonts w:hint="default"/>
                <w:color w:val="auto"/>
                <w:highlight w:val="none"/>
                <w:lang w:val="en-US" w:eastAsia="zh-CN"/>
              </w:rPr>
            </w:pPr>
          </w:p>
        </w:tc>
        <w:tc>
          <w:tcPr>
            <w:tcW w:w="1515" w:type="dxa"/>
            <w:vAlign w:val="center"/>
          </w:tcPr>
          <w:p w14:paraId="37EC63A0">
            <w:pPr>
              <w:jc w:val="center"/>
              <w:rPr>
                <w:rFonts w:hint="default" w:eastAsia="宋体"/>
                <w:color w:val="auto"/>
                <w:highlight w:val="none"/>
                <w:lang w:val="en-US" w:eastAsia="zh-CN"/>
              </w:rPr>
            </w:pPr>
          </w:p>
        </w:tc>
        <w:tc>
          <w:tcPr>
            <w:tcW w:w="1632" w:type="dxa"/>
            <w:vMerge w:val="continue"/>
            <w:vAlign w:val="center"/>
          </w:tcPr>
          <w:p w14:paraId="5BCCC0D3">
            <w:pPr>
              <w:jc w:val="center"/>
              <w:rPr>
                <w:rFonts w:hint="eastAsia" w:eastAsia="宋体"/>
                <w:color w:val="auto"/>
                <w:highlight w:val="none"/>
                <w:lang w:eastAsia="zh-CN"/>
              </w:rPr>
            </w:pPr>
          </w:p>
        </w:tc>
      </w:tr>
    </w:tbl>
    <w:p w14:paraId="6C6BE2D0">
      <w:pPr>
        <w:jc w:val="left"/>
        <w:rPr>
          <w:color w:val="auto"/>
          <w:highlight w:val="none"/>
        </w:rPr>
      </w:pPr>
      <w:r>
        <w:rPr>
          <w:color w:val="auto"/>
          <w:highlight w:val="none"/>
        </w:rPr>
        <mc:AlternateContent>
          <mc:Choice Requires="wps">
            <w:drawing>
              <wp:anchor distT="0" distB="0" distL="0" distR="0" simplePos="0" relativeHeight="251659264" behindDoc="0" locked="0" layoutInCell="1" allowOverlap="1">
                <wp:simplePos x="0" y="0"/>
                <wp:positionH relativeFrom="column">
                  <wp:posOffset>9387840</wp:posOffset>
                </wp:positionH>
                <wp:positionV relativeFrom="paragraph">
                  <wp:posOffset>193040</wp:posOffset>
                </wp:positionV>
                <wp:extent cx="351790" cy="4276725"/>
                <wp:effectExtent l="0" t="0" r="0" b="0"/>
                <wp:wrapNone/>
                <wp:docPr id="1030" name="文本框 7"/>
                <wp:cNvGraphicFramePr/>
                <a:graphic xmlns:a="http://schemas.openxmlformats.org/drawingml/2006/main">
                  <a:graphicData uri="http://schemas.microsoft.com/office/word/2010/wordprocessingShape">
                    <wps:wsp>
                      <wps:cNvSpPr/>
                      <wps:spPr>
                        <a:xfrm>
                          <a:off x="0" y="0"/>
                          <a:ext cx="351790" cy="4276725"/>
                        </a:xfrm>
                        <a:prstGeom prst="rect">
                          <a:avLst/>
                        </a:prstGeom>
                        <a:ln>
                          <a:noFill/>
                        </a:ln>
                      </wps:spPr>
                      <wps:txbx>
                        <w:txbxContent>
                          <w:p w14:paraId="28FE0D9A">
                            <w:pPr>
                              <w:jc w:val="center"/>
                              <w:rPr>
                                <w:rFonts w:eastAsia="宋体"/>
                                <w:szCs w:val="21"/>
                              </w:rPr>
                            </w:pPr>
                            <w:r>
                              <w:rPr>
                                <w:rFonts w:hint="eastAsia"/>
                                <w:szCs w:val="21"/>
                              </w:rPr>
                              <w:t>一 存根（白）二 财务（红）三 顾客（绿）</w:t>
                            </w:r>
                          </w:p>
                        </w:txbxContent>
                      </wps:txbx>
                      <wps:bodyPr vert="eaVert" wrap="square" lIns="91440" tIns="45720" rIns="91440" bIns="45720" anchor="t">
                        <a:noAutofit/>
                      </wps:bodyPr>
                    </wps:wsp>
                  </a:graphicData>
                </a:graphic>
              </wp:anchor>
            </w:drawing>
          </mc:Choice>
          <mc:Fallback>
            <w:pict>
              <v:rect id="文本框 7" o:spid="_x0000_s1026" o:spt="1" style="position:absolute;left:0pt;margin-left:739.2pt;margin-top:15.2pt;height:336.75pt;width:27.7pt;z-index:251659264;mso-width-relative:page;mso-height-relative:page;" filled="f" stroked="f" coordsize="21600,21600" o:gfxdata="UEsDBAoAAAAAAIdO4kAAAAAAAAAAAAAAAAAEAAAAZHJzL1BLAwQUAAAACACHTuJAe/dtdNsAAAAM&#10;AQAADwAAAGRycy9kb3ducmV2LnhtbE2Py07CQBSG9ya+w+SYuJMZKJZSO2VBoiauBCWE3dA5vcS5&#10;1M5A8e09rHR18ud8+S/F6mINO+MQOu8kTCcCGLrK6841Ej4/nh8yYCEqp5XxDiX8YIBVeXtTqFz7&#10;0W3wvI0NIxMXciWhjbHPOQ9Vi1aFie/R0a/2g1WR5NBwPaiRzK3hMyFSblXnKKFVPa5brL62Jyuh&#10;z8xYZ/vZ+z6tX9Zvu9dDn34fpLy/m4onYBEv8Q+Ga32qDiV1OvqT04EZ0vNFNidWQiLoXonHJKE1&#10;RwkLkSyBlwX/P6L8BVBLAwQUAAAACACHTuJAM1jph9oBAAClAwAADgAAAGRycy9lMm9Eb2MueG1s&#10;rVPBjtMwEL0j8Q+W7zRptt2wUdMVUrUICcFKC9xdx24sxR5ju036A/AHnLhw57v6HYyd0K2Wyx64&#10;2B6P8+a9N5PV7aA7chDOKzA1nc9ySoTh0Cizq+nnT3evXlPiAzMN68CImh6Fp7frly9Wva1EAS10&#10;jXAEQYyvelvTNgRbZZnnrdDMz8AKg0kJTrOAodtljWM9ousuK/L8OuvBNdYBF97j7WZM0gnRPQcQ&#10;pFRcbIDvtTBhRHWiYwEl+VZZT9eJrZSCh49SehFIV1NUGtKKRfC8jWu2XrFq55htFZ8osOdQeKJJ&#10;M2Ww6BlqwwIje6f+gdKKO/Agw4yDzkYhyRFUMc+fePPQMiuSFrTa27Pp/v/B8g+He0dUg5OQX6Ep&#10;hmns+enH99PP36df30gZHeqtr/Dhg713U+TxGOUO0um4oxAyJFePZ1fFEAjHy6vlvLxBaI6pRVFe&#10;l8UygmaPX1vnw1sBmsRDTR12LZnJDu99GJ/+fRKLdSauBu5U143ZeJNFliOveArDdpjIbqE5okic&#10;eQQX7AvulPTY85r6r3vmBCXdO4Om3swXizgkKVgsywIDd5nZXmaY4S3gKI1cDbzZB5Aq8Y0ExqoT&#10;L+xeUjxNWhyPyzi9evy71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e/dtdNsAAAAMAQAADwAA&#10;AAAAAAABACAAAAAiAAAAZHJzL2Rvd25yZXYueG1sUEsBAhQAFAAAAAgAh07iQDNY6YfaAQAApQMA&#10;AA4AAAAAAAAAAQAgAAAAKgEAAGRycy9lMm9Eb2MueG1sUEsFBgAAAAAGAAYAWQEAAHYFAAAAAA==&#10;">
                <v:fill on="f" focussize="0,0"/>
                <v:stroke on="f"/>
                <v:imagedata o:title=""/>
                <o:lock v:ext="edit" aspectratio="f"/>
                <v:textbox style="layout-flow:vertical-ideographic;">
                  <w:txbxContent>
                    <w:p w14:paraId="28FE0D9A">
                      <w:pPr>
                        <w:jc w:val="center"/>
                        <w:rPr>
                          <w:rFonts w:eastAsia="宋体"/>
                          <w:szCs w:val="21"/>
                        </w:rPr>
                      </w:pPr>
                      <w:r>
                        <w:rPr>
                          <w:rFonts w:hint="eastAsia"/>
                          <w:szCs w:val="21"/>
                        </w:rPr>
                        <w:t>一 存根（白）二 财务（红）三 顾客（绿）</w:t>
                      </w:r>
                    </w:p>
                  </w:txbxContent>
                </v:textbox>
              </v:rect>
            </w:pict>
          </mc:Fallback>
        </mc:AlternateContent>
      </w:r>
    </w:p>
    <w:p w14:paraId="3371AA76">
      <w:pPr>
        <w:pStyle w:val="3"/>
        <w:spacing w:before="79" w:line="184" w:lineRule="auto"/>
        <w:rPr>
          <w:rFonts w:hint="eastAsia" w:ascii="宋体" w:hAnsi="宋体"/>
          <w:color w:val="auto"/>
          <w:sz w:val="18"/>
          <w:szCs w:val="18"/>
          <w:highlight w:val="none"/>
        </w:rPr>
      </w:pPr>
      <w:r>
        <w:rPr>
          <w:rFonts w:hint="eastAsia" w:ascii="宋体" w:hAnsi="宋体"/>
          <w:color w:val="auto"/>
          <w:sz w:val="18"/>
          <w:szCs w:val="18"/>
          <w:highlight w:val="none"/>
        </w:rPr>
        <w:t>审批人：（项目经理）         审核人：（项目副经理</w:t>
      </w:r>
      <w:r>
        <w:rPr>
          <w:rFonts w:hint="eastAsia" w:ascii="宋体" w:hAnsi="宋体"/>
          <w:color w:val="auto"/>
          <w:sz w:val="18"/>
          <w:szCs w:val="18"/>
          <w:highlight w:val="none"/>
          <w:lang w:val="en-US" w:eastAsia="zh-CN"/>
        </w:rPr>
        <w:t>/技术负责人</w:t>
      </w:r>
      <w:r>
        <w:rPr>
          <w:rFonts w:hint="eastAsia" w:ascii="宋体" w:hAnsi="宋体"/>
          <w:color w:val="auto"/>
          <w:sz w:val="18"/>
          <w:szCs w:val="18"/>
          <w:highlight w:val="none"/>
          <w:lang w:eastAsia="zh-CN"/>
        </w:rPr>
        <w:t>）</w:t>
      </w:r>
      <w:r>
        <w:rPr>
          <w:rFonts w:hint="eastAsia" w:ascii="宋体" w:hAnsi="宋体"/>
          <w:color w:val="auto"/>
          <w:sz w:val="18"/>
          <w:szCs w:val="18"/>
          <w:highlight w:val="none"/>
          <w:lang w:val="en-US" w:eastAsia="zh-CN"/>
        </w:rPr>
        <w:t xml:space="preserve">        </w:t>
      </w:r>
      <w:r>
        <w:rPr>
          <w:rFonts w:hint="eastAsia" w:ascii="宋体" w:hAnsi="宋体"/>
          <w:color w:val="auto"/>
          <w:sz w:val="18"/>
          <w:szCs w:val="18"/>
          <w:highlight w:val="none"/>
        </w:rPr>
        <w:t>编制人：（栋号施工员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材料员</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lang w:eastAsia="zh-CN"/>
        </w:rPr>
        <w:t>使用</w:t>
      </w:r>
      <w:r>
        <w:rPr>
          <w:rFonts w:hint="eastAsia" w:ascii="宋体" w:hAnsi="宋体"/>
          <w:color w:val="auto"/>
          <w:sz w:val="18"/>
          <w:szCs w:val="18"/>
          <w:highlight w:val="none"/>
        </w:rPr>
        <w:t>）</w:t>
      </w:r>
    </w:p>
    <w:p w14:paraId="4241A9A2">
      <w:pPr>
        <w:jc w:val="right"/>
        <w:rPr>
          <w:rFonts w:hint="eastAsia" w:ascii="仿宋" w:hAnsi="仿宋" w:eastAsia="仿宋" w:cs="仿宋"/>
          <w:b/>
          <w:bCs/>
          <w:color w:val="auto"/>
          <w:sz w:val="44"/>
          <w:szCs w:val="44"/>
          <w:highlight w:val="none"/>
          <w:lang w:val="en-US" w:eastAsia="zh-CN"/>
        </w:rPr>
      </w:pPr>
      <w:r>
        <w:rPr>
          <w:rFonts w:hint="eastAsia" w:ascii="宋体" w:hAnsi="宋体"/>
          <w:color w:val="auto"/>
          <w:highlight w:val="none"/>
        </w:rPr>
        <w:t xml:space="preserve"> </w:t>
      </w:r>
      <w:r>
        <w:rPr>
          <w:rFonts w:hint="eastAsia" w:ascii="仿宋" w:hAnsi="仿宋" w:eastAsia="仿宋" w:cs="仿宋"/>
          <w:b/>
          <w:bCs/>
          <w:color w:val="auto"/>
          <w:sz w:val="44"/>
          <w:szCs w:val="44"/>
          <w:highlight w:val="none"/>
          <w:lang w:val="en-US" w:eastAsia="zh-CN"/>
        </w:rPr>
        <w:t>附件九</w:t>
      </w:r>
    </w:p>
    <w:p w14:paraId="7712E42E">
      <w:pPr>
        <w:jc w:val="right"/>
        <w:rPr>
          <w:rFonts w:hint="eastAsia" w:ascii="仿宋" w:hAnsi="仿宋" w:eastAsia="仿宋" w:cs="仿宋"/>
          <w:b/>
          <w:bCs/>
          <w:color w:val="auto"/>
          <w:sz w:val="44"/>
          <w:szCs w:val="44"/>
          <w:highlight w:val="none"/>
          <w:lang w:val="en-US" w:eastAsia="zh-CN"/>
        </w:rPr>
      </w:pPr>
    </w:p>
    <w:tbl>
      <w:tblPr>
        <w:tblStyle w:val="9"/>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415"/>
        <w:gridCol w:w="967"/>
        <w:gridCol w:w="836"/>
        <w:gridCol w:w="5331"/>
      </w:tblGrid>
      <w:tr w14:paraId="4765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180" w:type="dxa"/>
            <w:gridSpan w:val="5"/>
            <w:tcBorders>
              <w:top w:val="nil"/>
              <w:left w:val="nil"/>
              <w:bottom w:val="nil"/>
              <w:right w:val="nil"/>
            </w:tcBorders>
            <w:shd w:val="clear" w:color="auto" w:fill="auto"/>
            <w:vAlign w:val="center"/>
          </w:tcPr>
          <w:p w14:paraId="0B6D764D">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报价清单</w:t>
            </w:r>
          </w:p>
        </w:tc>
      </w:tr>
      <w:tr w14:paraId="7722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1" w:type="dxa"/>
            <w:tcBorders>
              <w:top w:val="single" w:color="000000" w:sz="4" w:space="0"/>
              <w:left w:val="single" w:color="000000" w:sz="4" w:space="0"/>
              <w:bottom w:val="nil"/>
              <w:right w:val="single" w:color="000000" w:sz="4" w:space="0"/>
            </w:tcBorders>
            <w:shd w:val="clear" w:color="auto" w:fill="auto"/>
            <w:vAlign w:val="center"/>
          </w:tcPr>
          <w:p w14:paraId="3B59BC2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415" w:type="dxa"/>
            <w:tcBorders>
              <w:top w:val="single" w:color="000000" w:sz="4" w:space="0"/>
              <w:left w:val="single" w:color="000000" w:sz="4" w:space="0"/>
              <w:bottom w:val="nil"/>
              <w:right w:val="single" w:color="000000" w:sz="4" w:space="0"/>
            </w:tcBorders>
            <w:shd w:val="clear" w:color="auto" w:fill="auto"/>
            <w:vAlign w:val="center"/>
          </w:tcPr>
          <w:p w14:paraId="637DE1B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967" w:type="dxa"/>
            <w:tcBorders>
              <w:top w:val="single" w:color="000000" w:sz="4" w:space="0"/>
              <w:left w:val="single" w:color="000000" w:sz="4" w:space="0"/>
              <w:bottom w:val="nil"/>
              <w:right w:val="single" w:color="000000" w:sz="4" w:space="0"/>
            </w:tcBorders>
            <w:shd w:val="clear" w:color="auto" w:fill="auto"/>
            <w:vAlign w:val="center"/>
          </w:tcPr>
          <w:p w14:paraId="0AB4EB9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规格</w:t>
            </w:r>
          </w:p>
        </w:tc>
        <w:tc>
          <w:tcPr>
            <w:tcW w:w="836" w:type="dxa"/>
            <w:tcBorders>
              <w:top w:val="single" w:color="000000" w:sz="4" w:space="0"/>
              <w:left w:val="single" w:color="000000" w:sz="4" w:space="0"/>
              <w:bottom w:val="nil"/>
              <w:right w:val="single" w:color="000000" w:sz="4" w:space="0"/>
            </w:tcBorders>
            <w:shd w:val="clear" w:color="auto" w:fill="auto"/>
            <w:vAlign w:val="center"/>
          </w:tcPr>
          <w:p w14:paraId="48578F3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5331" w:type="dxa"/>
            <w:tcBorders>
              <w:top w:val="single" w:color="000000" w:sz="4" w:space="0"/>
              <w:left w:val="nil"/>
              <w:bottom w:val="single" w:color="000000" w:sz="4" w:space="0"/>
              <w:right w:val="single" w:color="000000" w:sz="4" w:space="0"/>
            </w:tcBorders>
            <w:shd w:val="clear" w:color="auto" w:fill="auto"/>
            <w:vAlign w:val="center"/>
          </w:tcPr>
          <w:p w14:paraId="210EE4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开具</w:t>
            </w:r>
            <w:r>
              <w:rPr>
                <w:rFonts w:hint="eastAsia" w:ascii="宋体" w:hAnsi="宋体" w:cs="宋体"/>
                <w:b/>
                <w:bCs/>
                <w:i w:val="0"/>
                <w:iCs w:val="0"/>
                <w:color w:val="auto"/>
                <w:kern w:val="0"/>
                <w:sz w:val="24"/>
                <w:szCs w:val="24"/>
                <w:highlight w:val="none"/>
                <w:u w:val="non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%专票</w:t>
            </w:r>
            <w:r>
              <w:rPr>
                <w:rFonts w:hint="eastAsia" w:ascii="宋体" w:hAnsi="宋体" w:eastAsia="宋体" w:cs="宋体"/>
                <w:i w:val="0"/>
                <w:iCs w:val="0"/>
                <w:color w:val="auto"/>
                <w:kern w:val="0"/>
                <w:sz w:val="24"/>
                <w:szCs w:val="24"/>
                <w:highlight w:val="none"/>
                <w:u w:val="none"/>
                <w:lang w:val="en-US" w:eastAsia="zh-CN" w:bidi="ar"/>
              </w:rPr>
              <w:t>的</w:t>
            </w:r>
            <w:r>
              <w:rPr>
                <w:rFonts w:hint="eastAsia" w:ascii="宋体" w:hAnsi="宋体" w:cs="宋体"/>
                <w:i w:val="0"/>
                <w:iCs w:val="0"/>
                <w:color w:val="auto"/>
                <w:kern w:val="0"/>
                <w:sz w:val="24"/>
                <w:szCs w:val="24"/>
                <w:highlight w:val="none"/>
                <w:u w:val="none"/>
                <w:lang w:val="en-US" w:eastAsia="zh-CN" w:bidi="ar"/>
              </w:rPr>
              <w:t>固定下浮率合同</w:t>
            </w:r>
            <w:r>
              <w:rPr>
                <w:rFonts w:hint="eastAsia" w:ascii="宋体" w:hAnsi="宋体" w:eastAsia="宋体" w:cs="宋体"/>
                <w:i w:val="0"/>
                <w:iCs w:val="0"/>
                <w:color w:val="auto"/>
                <w:kern w:val="0"/>
                <w:sz w:val="24"/>
                <w:szCs w:val="24"/>
                <w:highlight w:val="none"/>
                <w:u w:val="none"/>
                <w:lang w:val="en-US" w:eastAsia="zh-CN" w:bidi="ar"/>
              </w:rPr>
              <w:t>单价</w:t>
            </w:r>
          </w:p>
        </w:tc>
      </w:tr>
      <w:tr w14:paraId="75667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00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688A">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湿拌</w:t>
            </w:r>
            <w:r>
              <w:rPr>
                <w:rFonts w:hint="eastAsia" w:ascii="宋体" w:hAnsi="宋体" w:eastAsia="宋体" w:cs="宋体"/>
                <w:i w:val="0"/>
                <w:iCs w:val="0"/>
                <w:color w:val="auto"/>
                <w:kern w:val="0"/>
                <w:sz w:val="24"/>
                <w:szCs w:val="24"/>
                <w:highlight w:val="none"/>
                <w:u w:val="none"/>
                <w:lang w:val="en-US" w:eastAsia="zh-CN" w:bidi="ar"/>
              </w:rPr>
              <w:t>砂浆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42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全规格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95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m³</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4A00">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按送货当月《</w:t>
            </w:r>
            <w:r>
              <w:rPr>
                <w:rFonts w:hint="eastAsia" w:ascii="宋体" w:hAnsi="宋体" w:cs="宋体"/>
                <w:i w:val="0"/>
                <w:iCs w:val="0"/>
                <w:color w:val="auto"/>
                <w:kern w:val="0"/>
                <w:sz w:val="24"/>
                <w:szCs w:val="24"/>
                <w:highlight w:val="none"/>
                <w:u w:val="none"/>
                <w:lang w:val="en-US" w:eastAsia="zh-CN" w:bidi="ar"/>
              </w:rPr>
              <w:t>玉林</w:t>
            </w:r>
            <w:r>
              <w:rPr>
                <w:rFonts w:hint="eastAsia" w:ascii="宋体" w:hAnsi="宋体" w:eastAsia="宋体" w:cs="宋体"/>
                <w:i w:val="0"/>
                <w:iCs w:val="0"/>
                <w:color w:val="auto"/>
                <w:kern w:val="0"/>
                <w:sz w:val="24"/>
                <w:szCs w:val="24"/>
                <w:highlight w:val="none"/>
                <w:u w:val="none"/>
                <w:lang w:val="en-US" w:eastAsia="zh-CN" w:bidi="ar"/>
              </w:rPr>
              <w:t>建设工程</w:t>
            </w:r>
            <w:r>
              <w:rPr>
                <w:rFonts w:hint="eastAsia" w:ascii="宋体" w:hAnsi="宋体" w:cs="宋体"/>
                <w:i w:val="0"/>
                <w:iCs w:val="0"/>
                <w:color w:val="auto"/>
                <w:kern w:val="0"/>
                <w:sz w:val="24"/>
                <w:szCs w:val="24"/>
                <w:highlight w:val="none"/>
                <w:u w:val="none"/>
                <w:lang w:val="en-US" w:eastAsia="zh-CN" w:bidi="ar"/>
              </w:rPr>
              <w:t>造价信息</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玉林市建设标准工程造价站及玉林市建设工程造价管理协会</w:t>
            </w:r>
            <w:r>
              <w:rPr>
                <w:rFonts w:hint="eastAsia" w:ascii="宋体" w:hAnsi="宋体" w:eastAsia="宋体" w:cs="宋体"/>
                <w:i w:val="0"/>
                <w:iCs w:val="0"/>
                <w:color w:val="auto"/>
                <w:kern w:val="0"/>
                <w:sz w:val="24"/>
                <w:szCs w:val="24"/>
                <w:highlight w:val="none"/>
                <w:u w:val="none"/>
                <w:lang w:val="en-US" w:eastAsia="zh-CN" w:bidi="ar"/>
              </w:rPr>
              <w:t>编制）的“</w:t>
            </w:r>
            <w:r>
              <w:rPr>
                <w:rFonts w:hint="eastAsia" w:ascii="宋体" w:hAnsi="宋体" w:cs="宋体"/>
                <w:i w:val="0"/>
                <w:iCs w:val="0"/>
                <w:color w:val="auto"/>
                <w:kern w:val="0"/>
                <w:sz w:val="24"/>
                <w:szCs w:val="24"/>
                <w:highlight w:val="none"/>
                <w:u w:val="none"/>
                <w:lang w:val="en-US" w:eastAsia="zh-CN" w:bidi="ar"/>
              </w:rPr>
              <w:t>湿拌砂浆</w:t>
            </w:r>
            <w:r>
              <w:rPr>
                <w:rFonts w:hint="eastAsia" w:ascii="宋体" w:hAnsi="宋体" w:eastAsia="宋体" w:cs="宋体"/>
                <w:i w:val="0"/>
                <w:iCs w:val="0"/>
                <w:color w:val="auto"/>
                <w:kern w:val="0"/>
                <w:sz w:val="24"/>
                <w:szCs w:val="24"/>
                <w:highlight w:val="none"/>
                <w:u w:val="none"/>
                <w:lang w:val="en-US" w:eastAsia="zh-CN" w:bidi="ar"/>
              </w:rPr>
              <w:t>”“含税价格”</w:t>
            </w:r>
            <w:r>
              <w:rPr>
                <w:rFonts w:hint="eastAsia" w:ascii="宋体" w:hAnsi="宋体" w:eastAsia="宋体" w:cs="宋体"/>
                <w:b/>
                <w:bCs/>
                <w:i w:val="0"/>
                <w:iCs w:val="0"/>
                <w:color w:val="auto"/>
                <w:kern w:val="0"/>
                <w:sz w:val="24"/>
                <w:szCs w:val="24"/>
                <w:highlight w:val="none"/>
                <w:u w:val="none"/>
                <w:lang w:val="en-US" w:eastAsia="zh-CN" w:bidi="ar"/>
              </w:rPr>
              <w:t>下浮</w:t>
            </w:r>
            <w:r>
              <w:rPr>
                <w:rFonts w:hint="eastAsia" w:ascii="宋体" w:hAnsi="宋体" w:cs="宋体"/>
                <w:b/>
                <w:bCs/>
                <w:i w:val="0"/>
                <w:iCs w:val="0"/>
                <w:color w:val="auto"/>
                <w:kern w:val="0"/>
                <w:sz w:val="24"/>
                <w:szCs w:val="24"/>
                <w:highlight w:val="none"/>
                <w:u w:val="singl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作为当月含税结算单价</w:t>
            </w:r>
            <w:r>
              <w:rPr>
                <w:rFonts w:hint="eastAsia" w:ascii="宋体" w:hAnsi="宋体" w:cs="宋体"/>
                <w:i w:val="0"/>
                <w:iCs w:val="0"/>
                <w:color w:val="auto"/>
                <w:kern w:val="0"/>
                <w:sz w:val="24"/>
                <w:szCs w:val="24"/>
                <w:highlight w:val="none"/>
                <w:u w:val="none"/>
                <w:lang w:val="en-US" w:eastAsia="zh-CN" w:bidi="ar"/>
              </w:rPr>
              <w:t>。</w:t>
            </w:r>
          </w:p>
        </w:tc>
      </w:tr>
      <w:tr w14:paraId="53AAE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3887">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20E8">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干混</w:t>
            </w:r>
            <w:r>
              <w:rPr>
                <w:rFonts w:hint="eastAsia" w:ascii="宋体" w:hAnsi="宋体" w:eastAsia="宋体" w:cs="宋体"/>
                <w:i w:val="0"/>
                <w:iCs w:val="0"/>
                <w:color w:val="auto"/>
                <w:kern w:val="0"/>
                <w:sz w:val="24"/>
                <w:szCs w:val="24"/>
                <w:highlight w:val="none"/>
                <w:u w:val="none"/>
                <w:lang w:val="en-US" w:eastAsia="zh-CN" w:bidi="ar"/>
              </w:rPr>
              <w:t>砂浆</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FB37">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sz w:val="24"/>
                <w:szCs w:val="24"/>
                <w:highlight w:val="none"/>
                <w:u w:val="none"/>
                <w:lang w:val="en-US" w:eastAsia="zh-CN"/>
              </w:rPr>
              <w:t>全规格</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8AC8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cs="宋体"/>
                <w:i w:val="0"/>
                <w:iCs w:val="0"/>
                <w:color w:val="auto"/>
                <w:kern w:val="0"/>
                <w:sz w:val="24"/>
                <w:szCs w:val="24"/>
                <w:highlight w:val="none"/>
                <w:u w:val="none"/>
                <w:lang w:val="en-US" w:eastAsia="zh-CN" w:bidi="ar"/>
              </w:rPr>
              <w:t>吨</w:t>
            </w:r>
          </w:p>
        </w:tc>
        <w:tc>
          <w:tcPr>
            <w:tcW w:w="5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25B6">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按送货当月《</w:t>
            </w:r>
            <w:r>
              <w:rPr>
                <w:rFonts w:hint="eastAsia" w:ascii="宋体" w:hAnsi="宋体" w:cs="宋体"/>
                <w:i w:val="0"/>
                <w:iCs w:val="0"/>
                <w:color w:val="auto"/>
                <w:kern w:val="0"/>
                <w:sz w:val="24"/>
                <w:szCs w:val="24"/>
                <w:highlight w:val="none"/>
                <w:u w:val="none"/>
                <w:lang w:val="en-US" w:eastAsia="zh-CN" w:bidi="ar"/>
              </w:rPr>
              <w:t>玉林</w:t>
            </w:r>
            <w:r>
              <w:rPr>
                <w:rFonts w:hint="eastAsia" w:ascii="宋体" w:hAnsi="宋体" w:eastAsia="宋体" w:cs="宋体"/>
                <w:i w:val="0"/>
                <w:iCs w:val="0"/>
                <w:color w:val="auto"/>
                <w:kern w:val="0"/>
                <w:sz w:val="24"/>
                <w:szCs w:val="24"/>
                <w:highlight w:val="none"/>
                <w:u w:val="none"/>
                <w:lang w:val="en-US" w:eastAsia="zh-CN" w:bidi="ar"/>
              </w:rPr>
              <w:t>建设工程</w:t>
            </w:r>
            <w:r>
              <w:rPr>
                <w:rFonts w:hint="eastAsia" w:ascii="宋体" w:hAnsi="宋体" w:cs="宋体"/>
                <w:i w:val="0"/>
                <w:iCs w:val="0"/>
                <w:color w:val="auto"/>
                <w:kern w:val="0"/>
                <w:sz w:val="24"/>
                <w:szCs w:val="24"/>
                <w:highlight w:val="none"/>
                <w:u w:val="none"/>
                <w:lang w:val="en-US" w:eastAsia="zh-CN" w:bidi="ar"/>
              </w:rPr>
              <w:t>造价信息</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玉林市建设标准工程造价站及玉林市建设工程造价管理协会</w:t>
            </w:r>
            <w:r>
              <w:rPr>
                <w:rFonts w:hint="eastAsia" w:ascii="宋体" w:hAnsi="宋体" w:eastAsia="宋体" w:cs="宋体"/>
                <w:i w:val="0"/>
                <w:iCs w:val="0"/>
                <w:color w:val="auto"/>
                <w:kern w:val="0"/>
                <w:sz w:val="24"/>
                <w:szCs w:val="24"/>
                <w:highlight w:val="none"/>
                <w:u w:val="none"/>
                <w:lang w:val="en-US" w:eastAsia="zh-CN" w:bidi="ar"/>
              </w:rPr>
              <w:t>编制）的“</w:t>
            </w:r>
            <w:r>
              <w:rPr>
                <w:rFonts w:hint="eastAsia" w:ascii="宋体" w:hAnsi="宋体" w:cs="宋体"/>
                <w:i w:val="0"/>
                <w:iCs w:val="0"/>
                <w:color w:val="auto"/>
                <w:kern w:val="0"/>
                <w:sz w:val="24"/>
                <w:szCs w:val="24"/>
                <w:highlight w:val="none"/>
                <w:u w:val="none"/>
                <w:lang w:val="en-US" w:eastAsia="zh-CN" w:bidi="ar"/>
              </w:rPr>
              <w:t>干混砂浆</w:t>
            </w:r>
            <w:r>
              <w:rPr>
                <w:rFonts w:hint="eastAsia" w:ascii="宋体" w:hAnsi="宋体" w:eastAsia="宋体" w:cs="宋体"/>
                <w:i w:val="0"/>
                <w:iCs w:val="0"/>
                <w:color w:val="auto"/>
                <w:kern w:val="0"/>
                <w:sz w:val="24"/>
                <w:szCs w:val="24"/>
                <w:highlight w:val="none"/>
                <w:u w:val="none"/>
                <w:lang w:val="en-US" w:eastAsia="zh-CN" w:bidi="ar"/>
              </w:rPr>
              <w:t>”“含税价格”</w:t>
            </w:r>
            <w:r>
              <w:rPr>
                <w:rFonts w:hint="eastAsia" w:ascii="宋体" w:hAnsi="宋体" w:eastAsia="宋体" w:cs="宋体"/>
                <w:b/>
                <w:bCs/>
                <w:i w:val="0"/>
                <w:iCs w:val="0"/>
                <w:color w:val="auto"/>
                <w:kern w:val="0"/>
                <w:sz w:val="24"/>
                <w:szCs w:val="24"/>
                <w:highlight w:val="none"/>
                <w:u w:val="none"/>
                <w:lang w:val="en-US" w:eastAsia="zh-CN" w:bidi="ar"/>
              </w:rPr>
              <w:t>下浮</w:t>
            </w:r>
            <w:r>
              <w:rPr>
                <w:rFonts w:hint="eastAsia" w:ascii="宋体" w:hAnsi="宋体" w:cs="宋体"/>
                <w:b/>
                <w:bCs/>
                <w:i w:val="0"/>
                <w:iCs w:val="0"/>
                <w:color w:val="auto"/>
                <w:kern w:val="0"/>
                <w:sz w:val="24"/>
                <w:szCs w:val="24"/>
                <w:highlight w:val="none"/>
                <w:u w:val="single"/>
                <w:lang w:val="en-US" w:eastAsia="zh-CN" w:bidi="ar"/>
              </w:rPr>
              <w:t xml:space="preserve">  </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作为当月含税结算单价</w:t>
            </w:r>
            <w:r>
              <w:rPr>
                <w:rFonts w:hint="eastAsia" w:ascii="宋体" w:hAnsi="宋体" w:cs="宋体"/>
                <w:i w:val="0"/>
                <w:iCs w:val="0"/>
                <w:color w:val="auto"/>
                <w:kern w:val="0"/>
                <w:sz w:val="24"/>
                <w:szCs w:val="24"/>
                <w:highlight w:val="none"/>
                <w:u w:val="none"/>
                <w:lang w:val="en-US" w:eastAsia="zh-CN" w:bidi="ar"/>
              </w:rPr>
              <w:t>。</w:t>
            </w:r>
            <w:bookmarkStart w:id="194" w:name="_GoBack"/>
            <w:bookmarkEnd w:id="194"/>
          </w:p>
        </w:tc>
      </w:tr>
      <w:tr w14:paraId="7668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2" w:hRule="atLeast"/>
        </w:trPr>
        <w:tc>
          <w:tcPr>
            <w:tcW w:w="9180" w:type="dxa"/>
            <w:gridSpan w:val="5"/>
            <w:tcBorders>
              <w:top w:val="nil"/>
              <w:left w:val="nil"/>
              <w:bottom w:val="nil"/>
              <w:right w:val="nil"/>
            </w:tcBorders>
            <w:shd w:val="clear" w:color="auto" w:fill="auto"/>
            <w:vAlign w:val="center"/>
          </w:tcPr>
          <w:p w14:paraId="1FE71F64">
            <w:pPr>
              <w:numPr>
                <w:ilvl w:val="0"/>
                <w:numId w:val="0"/>
              </w:numPr>
              <w:jc w:val="left"/>
              <w:rPr>
                <w:rFonts w:hint="eastAsia" w:ascii="宋体" w:hAnsi="宋体" w:cs="宋体"/>
                <w:i w:val="0"/>
                <w:iCs w:val="0"/>
                <w:color w:val="auto"/>
                <w:sz w:val="24"/>
                <w:szCs w:val="24"/>
                <w:highlight w:val="none"/>
                <w:lang w:val="en-US" w:eastAsia="zh-CN"/>
              </w:rPr>
            </w:pPr>
            <w:r>
              <w:rPr>
                <w:rFonts w:hint="eastAsia" w:ascii="宋体" w:hAnsi="宋体" w:cs="宋体"/>
                <w:i w:val="0"/>
                <w:iCs w:val="0"/>
                <w:color w:val="auto"/>
                <w:sz w:val="24"/>
                <w:szCs w:val="24"/>
                <w:highlight w:val="none"/>
                <w:lang w:val="en-US" w:eastAsia="zh-CN"/>
              </w:rPr>
              <w:t>备注：</w:t>
            </w:r>
          </w:p>
          <w:p w14:paraId="760CE6E6">
            <w:pPr>
              <w:numPr>
                <w:ilvl w:val="0"/>
                <w:numId w:val="0"/>
              </w:numPr>
              <w:jc w:val="left"/>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u w:val="none"/>
                <w:lang w:val="en-US" w:eastAsia="zh-CN"/>
              </w:rPr>
              <w:t>起送量：</w:t>
            </w:r>
            <w:r>
              <w:rPr>
                <w:rFonts w:hint="eastAsia" w:ascii="宋体" w:hAnsi="宋体" w:cs="宋体"/>
                <w:i w:val="0"/>
                <w:iCs w:val="0"/>
                <w:color w:val="auto"/>
                <w:sz w:val="24"/>
                <w:szCs w:val="24"/>
                <w:highlight w:val="none"/>
                <w:u w:val="none"/>
                <w:lang w:val="en-US" w:eastAsia="zh-CN"/>
              </w:rPr>
              <w:t>无起送量要求。</w:t>
            </w:r>
          </w:p>
          <w:p w14:paraId="67FDB7AA">
            <w:pPr>
              <w:numPr>
                <w:ilvl w:val="0"/>
                <w:numId w:val="0"/>
              </w:numPr>
              <w:jc w:val="left"/>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lang w:val="en-US" w:eastAsia="zh-CN"/>
              </w:rPr>
              <w:t>2</w:t>
            </w:r>
            <w:r>
              <w:rPr>
                <w:rFonts w:hint="default" w:ascii="宋体" w:hAnsi="宋体" w:eastAsia="宋体" w:cs="宋体"/>
                <w:i w:val="0"/>
                <w:iCs w:val="0"/>
                <w:color w:val="auto"/>
                <w:sz w:val="24"/>
                <w:szCs w:val="24"/>
                <w:highlight w:val="none"/>
                <w:lang w:val="en-US" w:eastAsia="zh-CN"/>
              </w:rPr>
              <w:t>、凝结时间</w:t>
            </w:r>
            <w:r>
              <w:rPr>
                <w:rFonts w:hint="eastAsia" w:ascii="宋体" w:hAnsi="宋体" w:cs="宋体"/>
                <w:i w:val="0"/>
                <w:iCs w:val="0"/>
                <w:color w:val="auto"/>
                <w:sz w:val="24"/>
                <w:szCs w:val="24"/>
                <w:highlight w:val="none"/>
                <w:lang w:val="en-US" w:eastAsia="zh-CN"/>
              </w:rPr>
              <w:t>12小时以内和</w:t>
            </w:r>
            <w:r>
              <w:rPr>
                <w:rFonts w:hint="default" w:ascii="宋体" w:hAnsi="宋体" w:eastAsia="宋体" w:cs="宋体"/>
                <w:i w:val="0"/>
                <w:iCs w:val="0"/>
                <w:color w:val="auto"/>
                <w:sz w:val="24"/>
                <w:szCs w:val="24"/>
                <w:highlight w:val="none"/>
                <w:lang w:val="en-US" w:eastAsia="zh-CN"/>
              </w:rPr>
              <w:t>24小时以内</w:t>
            </w:r>
            <w:r>
              <w:rPr>
                <w:rFonts w:hint="eastAsia" w:ascii="宋体" w:hAnsi="宋体" w:cs="宋体"/>
                <w:i w:val="0"/>
                <w:iCs w:val="0"/>
                <w:color w:val="auto"/>
                <w:sz w:val="24"/>
                <w:szCs w:val="24"/>
                <w:highlight w:val="none"/>
                <w:lang w:val="en-US" w:eastAsia="zh-CN"/>
              </w:rPr>
              <w:t>均按原砂浆级别价格，凝结时间</w:t>
            </w:r>
            <w:r>
              <w:rPr>
                <w:rFonts w:hint="default" w:ascii="宋体" w:hAnsi="宋体" w:eastAsia="宋体" w:cs="宋体"/>
                <w:i w:val="0"/>
                <w:iCs w:val="0"/>
                <w:color w:val="auto"/>
                <w:sz w:val="24"/>
                <w:szCs w:val="24"/>
                <w:highlight w:val="none"/>
                <w:lang w:val="en-US" w:eastAsia="zh-CN"/>
              </w:rPr>
              <w:t>36小时以内</w:t>
            </w:r>
            <w:r>
              <w:rPr>
                <w:rFonts w:hint="eastAsia" w:ascii="宋体" w:hAnsi="宋体" w:cs="宋体"/>
                <w:i w:val="0"/>
                <w:iCs w:val="0"/>
                <w:color w:val="auto"/>
                <w:sz w:val="24"/>
                <w:szCs w:val="24"/>
                <w:highlight w:val="none"/>
                <w:lang w:val="en-US" w:eastAsia="zh-CN"/>
              </w:rPr>
              <w:t>的</w:t>
            </w:r>
            <w:r>
              <w:rPr>
                <w:rFonts w:hint="eastAsia" w:ascii="宋体" w:hAnsi="宋体" w:eastAsia="宋体" w:cs="宋体"/>
                <w:i w:val="0"/>
                <w:iCs w:val="0"/>
                <w:color w:val="auto"/>
                <w:sz w:val="24"/>
                <w:szCs w:val="24"/>
                <w:highlight w:val="none"/>
                <w:u w:val="none"/>
                <w:lang w:val="en-US" w:eastAsia="zh-CN"/>
              </w:rPr>
              <w:t>在原砂浆级别基础上</w:t>
            </w:r>
            <w:r>
              <w:rPr>
                <w:rFonts w:hint="default" w:ascii="宋体" w:hAnsi="宋体" w:eastAsia="宋体" w:cs="宋体"/>
                <w:i w:val="0"/>
                <w:iCs w:val="0"/>
                <w:color w:val="auto"/>
                <w:sz w:val="24"/>
                <w:szCs w:val="24"/>
                <w:highlight w:val="none"/>
                <w:u w:val="none"/>
                <w:lang w:val="en-US" w:eastAsia="zh-CN"/>
              </w:rPr>
              <w:t>加</w:t>
            </w:r>
            <w:r>
              <w:rPr>
                <w:rFonts w:hint="eastAsia" w:ascii="宋体" w:hAnsi="宋体" w:cs="宋体"/>
                <w:b/>
                <w:bCs/>
                <w:i w:val="0"/>
                <w:iCs w:val="0"/>
                <w:color w:val="auto"/>
                <w:sz w:val="24"/>
                <w:szCs w:val="24"/>
                <w:highlight w:val="none"/>
                <w:u w:val="single"/>
                <w:lang w:val="en-US" w:eastAsia="zh-CN"/>
              </w:rPr>
              <w:t xml:space="preserve">  </w:t>
            </w:r>
            <w:r>
              <w:rPr>
                <w:rFonts w:hint="default" w:ascii="宋体" w:hAnsi="宋体" w:eastAsia="宋体" w:cs="宋体"/>
                <w:b/>
                <w:bCs/>
                <w:i w:val="0"/>
                <w:iCs w:val="0"/>
                <w:color w:val="auto"/>
                <w:kern w:val="0"/>
                <w:sz w:val="24"/>
                <w:szCs w:val="24"/>
                <w:highlight w:val="none"/>
                <w:u w:val="none"/>
                <w:lang w:val="en-US" w:eastAsia="zh-CN" w:bidi="ar"/>
              </w:rPr>
              <w:t>元/</w:t>
            </w:r>
            <w:r>
              <w:rPr>
                <w:rFonts w:hint="eastAsia" w:ascii="宋体" w:hAnsi="宋体" w:cs="宋体"/>
                <w:b/>
                <w:bCs/>
                <w:i w:val="0"/>
                <w:iCs w:val="0"/>
                <w:color w:val="auto"/>
                <w:kern w:val="0"/>
                <w:sz w:val="24"/>
                <w:szCs w:val="24"/>
                <w:highlight w:val="none"/>
                <w:u w:val="none"/>
                <w:lang w:val="en-US" w:eastAsia="zh-CN" w:bidi="ar"/>
              </w:rPr>
              <w:t>m³</w:t>
            </w:r>
            <w:r>
              <w:rPr>
                <w:rFonts w:hint="default" w:ascii="宋体" w:hAnsi="宋体" w:eastAsia="宋体" w:cs="宋体"/>
                <w:i w:val="0"/>
                <w:iCs w:val="0"/>
                <w:color w:val="auto"/>
                <w:sz w:val="24"/>
                <w:szCs w:val="24"/>
                <w:highlight w:val="none"/>
                <w:lang w:val="en-US" w:eastAsia="zh-CN"/>
              </w:rPr>
              <w:t>，</w:t>
            </w:r>
            <w:r>
              <w:rPr>
                <w:rFonts w:hint="default" w:ascii="宋体" w:hAnsi="宋体" w:eastAsia="宋体" w:cs="宋体"/>
                <w:i w:val="0"/>
                <w:iCs w:val="0"/>
                <w:color w:val="auto"/>
                <w:sz w:val="24"/>
                <w:szCs w:val="24"/>
                <w:highlight w:val="none"/>
                <w:u w:val="none"/>
                <w:lang w:val="en-US" w:eastAsia="zh-CN"/>
              </w:rPr>
              <w:t>防水</w:t>
            </w:r>
            <w:r>
              <w:rPr>
                <w:rFonts w:hint="eastAsia" w:ascii="宋体" w:hAnsi="宋体" w:eastAsia="宋体" w:cs="宋体"/>
                <w:i w:val="0"/>
                <w:iCs w:val="0"/>
                <w:color w:val="auto"/>
                <w:sz w:val="24"/>
                <w:szCs w:val="24"/>
                <w:highlight w:val="none"/>
                <w:u w:val="none"/>
                <w:lang w:val="en-US" w:eastAsia="zh-CN"/>
              </w:rPr>
              <w:t>在原砂浆级别基础上</w:t>
            </w:r>
            <w:r>
              <w:rPr>
                <w:rFonts w:hint="default" w:ascii="宋体" w:hAnsi="宋体" w:eastAsia="宋体" w:cs="宋体"/>
                <w:i w:val="0"/>
                <w:iCs w:val="0"/>
                <w:color w:val="auto"/>
                <w:sz w:val="24"/>
                <w:szCs w:val="24"/>
                <w:highlight w:val="none"/>
                <w:u w:val="none"/>
                <w:lang w:val="en-US" w:eastAsia="zh-CN"/>
              </w:rPr>
              <w:t>加</w:t>
            </w:r>
            <w:r>
              <w:rPr>
                <w:rFonts w:hint="eastAsia" w:ascii="宋体" w:hAnsi="宋体" w:cs="宋体"/>
                <w:b/>
                <w:bCs/>
                <w:i w:val="0"/>
                <w:iCs w:val="0"/>
                <w:color w:val="auto"/>
                <w:kern w:val="0"/>
                <w:sz w:val="24"/>
                <w:szCs w:val="24"/>
                <w:highlight w:val="none"/>
                <w:u w:val="single"/>
                <w:lang w:val="en-US" w:eastAsia="zh-CN" w:bidi="ar"/>
              </w:rPr>
              <w:t xml:space="preserve">  </w:t>
            </w:r>
            <w:r>
              <w:rPr>
                <w:rFonts w:hint="default" w:ascii="宋体" w:hAnsi="宋体" w:eastAsia="宋体" w:cs="宋体"/>
                <w:b/>
                <w:bCs/>
                <w:i w:val="0"/>
                <w:iCs w:val="0"/>
                <w:color w:val="auto"/>
                <w:kern w:val="0"/>
                <w:sz w:val="24"/>
                <w:szCs w:val="24"/>
                <w:highlight w:val="none"/>
                <w:u w:val="none"/>
                <w:lang w:val="en-US" w:eastAsia="zh-CN" w:bidi="ar"/>
              </w:rPr>
              <w:t>元/</w:t>
            </w:r>
            <w:r>
              <w:rPr>
                <w:rFonts w:hint="eastAsia" w:ascii="宋体" w:hAnsi="宋体" w:cs="宋体"/>
                <w:b/>
                <w:bCs/>
                <w:i w:val="0"/>
                <w:iCs w:val="0"/>
                <w:color w:val="auto"/>
                <w:kern w:val="0"/>
                <w:sz w:val="24"/>
                <w:szCs w:val="24"/>
                <w:highlight w:val="none"/>
                <w:u w:val="none"/>
                <w:lang w:val="en-US" w:eastAsia="zh-CN" w:bidi="ar"/>
              </w:rPr>
              <w:t>m³</w:t>
            </w:r>
            <w:r>
              <w:rPr>
                <w:rFonts w:hint="default" w:ascii="宋体" w:hAnsi="宋体" w:eastAsia="宋体" w:cs="宋体"/>
                <w:i w:val="0"/>
                <w:iCs w:val="0"/>
                <w:color w:val="auto"/>
                <w:sz w:val="24"/>
                <w:szCs w:val="24"/>
                <w:highlight w:val="none"/>
                <w:u w:val="none"/>
                <w:lang w:val="en-US" w:eastAsia="zh-CN"/>
              </w:rPr>
              <w:t>，防冻</w:t>
            </w:r>
            <w:r>
              <w:rPr>
                <w:rFonts w:hint="eastAsia" w:ascii="宋体" w:hAnsi="宋体" w:eastAsia="宋体" w:cs="宋体"/>
                <w:i w:val="0"/>
                <w:iCs w:val="0"/>
                <w:color w:val="auto"/>
                <w:sz w:val="24"/>
                <w:szCs w:val="24"/>
                <w:highlight w:val="none"/>
                <w:u w:val="none"/>
                <w:lang w:val="en-US" w:eastAsia="zh-CN"/>
              </w:rPr>
              <w:t>在原砂浆级别基础上</w:t>
            </w:r>
            <w:r>
              <w:rPr>
                <w:rFonts w:hint="default" w:ascii="宋体" w:hAnsi="宋体" w:eastAsia="宋体" w:cs="宋体"/>
                <w:i w:val="0"/>
                <w:iCs w:val="0"/>
                <w:color w:val="auto"/>
                <w:sz w:val="24"/>
                <w:szCs w:val="24"/>
                <w:highlight w:val="none"/>
                <w:u w:val="none"/>
                <w:lang w:val="en-US" w:eastAsia="zh-CN"/>
              </w:rPr>
              <w:t>加</w:t>
            </w:r>
            <w:r>
              <w:rPr>
                <w:rFonts w:hint="eastAsia" w:ascii="宋体" w:hAnsi="宋体" w:cs="宋体"/>
                <w:b/>
                <w:bCs/>
                <w:i w:val="0"/>
                <w:iCs w:val="0"/>
                <w:color w:val="auto"/>
                <w:kern w:val="0"/>
                <w:sz w:val="24"/>
                <w:szCs w:val="24"/>
                <w:highlight w:val="none"/>
                <w:u w:val="single"/>
                <w:lang w:val="en-US" w:eastAsia="zh-CN" w:bidi="ar"/>
              </w:rPr>
              <w:t xml:space="preserve">  </w:t>
            </w:r>
            <w:r>
              <w:rPr>
                <w:rFonts w:hint="default" w:ascii="宋体" w:hAnsi="宋体" w:eastAsia="宋体" w:cs="宋体"/>
                <w:b/>
                <w:bCs/>
                <w:i w:val="0"/>
                <w:iCs w:val="0"/>
                <w:color w:val="auto"/>
                <w:kern w:val="0"/>
                <w:sz w:val="24"/>
                <w:szCs w:val="24"/>
                <w:highlight w:val="none"/>
                <w:u w:val="none"/>
                <w:lang w:val="en-US" w:eastAsia="zh-CN" w:bidi="ar"/>
              </w:rPr>
              <w:t>元/</w:t>
            </w:r>
            <w:r>
              <w:rPr>
                <w:rFonts w:hint="eastAsia" w:ascii="宋体" w:hAnsi="宋体" w:cs="宋体"/>
                <w:b/>
                <w:bCs/>
                <w:i w:val="0"/>
                <w:iCs w:val="0"/>
                <w:color w:val="auto"/>
                <w:kern w:val="0"/>
                <w:sz w:val="24"/>
                <w:szCs w:val="24"/>
                <w:highlight w:val="none"/>
                <w:u w:val="none"/>
                <w:lang w:val="en-US" w:eastAsia="zh-CN" w:bidi="ar"/>
              </w:rPr>
              <w:t>m³</w:t>
            </w:r>
            <w:r>
              <w:rPr>
                <w:rFonts w:hint="eastAsia" w:ascii="宋体" w:hAnsi="宋体" w:eastAsia="宋体" w:cs="宋体"/>
                <w:i w:val="0"/>
                <w:iCs w:val="0"/>
                <w:color w:val="auto"/>
                <w:sz w:val="24"/>
                <w:szCs w:val="24"/>
                <w:highlight w:val="none"/>
                <w:u w:val="none"/>
                <w:lang w:val="en-US" w:eastAsia="zh-CN"/>
              </w:rPr>
              <w:t>。</w:t>
            </w:r>
          </w:p>
          <w:p w14:paraId="13A84648">
            <w:pPr>
              <w:numPr>
                <w:ilvl w:val="0"/>
                <w:numId w:val="0"/>
              </w:numPr>
              <w:jc w:val="left"/>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3、上述单价均含税，开具税率</w:t>
            </w:r>
            <w:r>
              <w:rPr>
                <w:rFonts w:hint="eastAsia" w:ascii="宋体" w:hAnsi="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none"/>
                <w:lang w:val="en-US" w:eastAsia="zh-CN"/>
              </w:rPr>
              <w:t>的专票。</w:t>
            </w:r>
          </w:p>
        </w:tc>
      </w:tr>
    </w:tbl>
    <w:p w14:paraId="625ADD51">
      <w:pPr>
        <w:jc w:val="right"/>
        <w:rPr>
          <w:rFonts w:hint="default" w:ascii="仿宋" w:hAnsi="仿宋" w:eastAsia="仿宋" w:cs="仿宋"/>
          <w:b/>
          <w:bCs/>
          <w:color w:val="auto"/>
          <w:sz w:val="44"/>
          <w:szCs w:val="44"/>
          <w:highlight w:val="none"/>
          <w:lang w:val="en-US" w:eastAsia="zh-CN"/>
        </w:rPr>
      </w:pPr>
    </w:p>
    <w:p w14:paraId="1CF0179F">
      <w:pPr>
        <w:pStyle w:val="3"/>
        <w:spacing w:before="79" w:line="184" w:lineRule="auto"/>
        <w:rPr>
          <w:rFonts w:hint="default"/>
          <w:color w:val="auto"/>
          <w:highlight w:val="none"/>
          <w:lang w:val="en-US" w:eastAsia="zh-CN"/>
        </w:rPr>
      </w:pPr>
    </w:p>
    <w:sectPr>
      <w:footerReference r:id="rId7" w:type="default"/>
      <w:pgSz w:w="11906" w:h="16838"/>
      <w:pgMar w:top="1134" w:right="1035" w:bottom="1134" w:left="1411"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014DC">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C796">
    <w:pPr>
      <w:pStyle w:val="5"/>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E5E4">
    <w:pPr>
      <w:pStyle w:val="5"/>
      <w:jc w:val="center"/>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F561B">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E3F561B">
                    <w:pPr>
                      <w:pStyle w:val="5"/>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24E6">
    <w:pPr>
      <w:pStyle w:val="5"/>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26446">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3326446">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997D4">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A8A8AA"/>
    <w:multiLevelType w:val="singleLevel"/>
    <w:tmpl w:val="D1A8A8A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01BD2"/>
    <w:rsid w:val="03496ADF"/>
    <w:rsid w:val="03561F09"/>
    <w:rsid w:val="03812400"/>
    <w:rsid w:val="039F5377"/>
    <w:rsid w:val="04E74C57"/>
    <w:rsid w:val="05571F68"/>
    <w:rsid w:val="05DA1E6B"/>
    <w:rsid w:val="07014144"/>
    <w:rsid w:val="082E1370"/>
    <w:rsid w:val="094C6397"/>
    <w:rsid w:val="0B89394B"/>
    <w:rsid w:val="0C5C6B8E"/>
    <w:rsid w:val="0D7F1BEB"/>
    <w:rsid w:val="0DC91017"/>
    <w:rsid w:val="10A971A1"/>
    <w:rsid w:val="10C62E94"/>
    <w:rsid w:val="146C6F91"/>
    <w:rsid w:val="167C4503"/>
    <w:rsid w:val="1A3024A7"/>
    <w:rsid w:val="1B147676"/>
    <w:rsid w:val="1E711508"/>
    <w:rsid w:val="27C74434"/>
    <w:rsid w:val="29D11A3A"/>
    <w:rsid w:val="2CA174A1"/>
    <w:rsid w:val="2F365903"/>
    <w:rsid w:val="2F5B6C27"/>
    <w:rsid w:val="2FBE01D2"/>
    <w:rsid w:val="333C2FC4"/>
    <w:rsid w:val="353A1D60"/>
    <w:rsid w:val="35F71203"/>
    <w:rsid w:val="361D240F"/>
    <w:rsid w:val="37F3558F"/>
    <w:rsid w:val="38206066"/>
    <w:rsid w:val="3BE03A79"/>
    <w:rsid w:val="415A660F"/>
    <w:rsid w:val="43FB20D6"/>
    <w:rsid w:val="49007529"/>
    <w:rsid w:val="4AA91F5E"/>
    <w:rsid w:val="4D0A5F5E"/>
    <w:rsid w:val="4DFD70CE"/>
    <w:rsid w:val="50126AEF"/>
    <w:rsid w:val="50827466"/>
    <w:rsid w:val="50C35389"/>
    <w:rsid w:val="513160C6"/>
    <w:rsid w:val="53E759DE"/>
    <w:rsid w:val="56B95AC1"/>
    <w:rsid w:val="572D2463"/>
    <w:rsid w:val="57BB27E2"/>
    <w:rsid w:val="592C19E0"/>
    <w:rsid w:val="5CA22C3E"/>
    <w:rsid w:val="5D6578A6"/>
    <w:rsid w:val="5DD01BAB"/>
    <w:rsid w:val="5DE03A1E"/>
    <w:rsid w:val="5F334021"/>
    <w:rsid w:val="5F6A5FA3"/>
    <w:rsid w:val="5FDC2AF4"/>
    <w:rsid w:val="60BA1064"/>
    <w:rsid w:val="616F5B33"/>
    <w:rsid w:val="621F6626"/>
    <w:rsid w:val="62CF5E0F"/>
    <w:rsid w:val="64B24495"/>
    <w:rsid w:val="65114216"/>
    <w:rsid w:val="6C5B5A1E"/>
    <w:rsid w:val="6E812185"/>
    <w:rsid w:val="70042908"/>
    <w:rsid w:val="744B654A"/>
    <w:rsid w:val="74E706DA"/>
    <w:rsid w:val="751664B3"/>
    <w:rsid w:val="75D4756D"/>
    <w:rsid w:val="791B1956"/>
    <w:rsid w:val="7BFA35AA"/>
    <w:rsid w:val="7CD32B0A"/>
    <w:rsid w:val="7EDB12AE"/>
    <w:rsid w:val="7F0810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qFormat/>
    <w:uiPriority w:val="0"/>
  </w:style>
  <w:style w:type="table" w:default="1" w:styleId="9">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 w:hAnsi="仿宋" w:eastAsia="仿宋" w:cs="仿宋"/>
      <w:sz w:val="30"/>
      <w:szCs w:val="30"/>
      <w:lang w:val="zh-CN" w:eastAsia="zh-CN" w:bidi="zh-CN"/>
    </w:rPr>
  </w:style>
  <w:style w:type="paragraph" w:styleId="4">
    <w:name w:val="Body Text Indent"/>
    <w:basedOn w:val="1"/>
    <w:qFormat/>
    <w:uiPriority w:val="99"/>
    <w:pPr>
      <w:ind w:firstLine="525"/>
      <w:jc w:val="left"/>
    </w:pPr>
    <w:rPr>
      <w:rFonts w:ascii="宋体" w:hAnsi="Times New Roman" w:cs="Times New Roman"/>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basedOn w:val="4"/>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table" w:customStyle="1" w:styleId="14">
    <w:name w:val="Table Normal"/>
    <w:qFormat/>
    <w:uiPriority w:val="0"/>
    <w:tblPr>
      <w:tblCellMar>
        <w:top w:w="0" w:type="dxa"/>
        <w:left w:w="0" w:type="dxa"/>
        <w:bottom w:w="0" w:type="dxa"/>
        <w:right w:w="0" w:type="dxa"/>
      </w:tblCellMar>
    </w:tblPr>
  </w:style>
  <w:style w:type="paragraph" w:customStyle="1" w:styleId="15">
    <w:name w:val="Table Text"/>
    <w:basedOn w:val="1"/>
    <w:qFormat/>
    <w:uiPriority w:val="0"/>
    <w:rPr>
      <w:rFonts w:ascii="Arial" w:hAnsi="Arial" w:eastAsia="Arial" w:cs="Arial"/>
      <w:sz w:val="21"/>
      <w:szCs w:val="21"/>
      <w:lang w:val="en-US" w:eastAsia="en-US" w:bidi="ar-SA"/>
    </w:rPr>
  </w:style>
  <w:style w:type="character" w:customStyle="1" w:styleId="16">
    <w:name w:val="font112"/>
    <w:basedOn w:val="11"/>
    <w:qFormat/>
    <w:uiPriority w:val="0"/>
    <w:rPr>
      <w:rFonts w:hint="eastAsia" w:ascii="宋体" w:hAnsi="宋体" w:eastAsia="宋体" w:cs="宋体"/>
      <w:color w:val="000000"/>
      <w:sz w:val="22"/>
      <w:szCs w:val="22"/>
      <w:u w:val="none"/>
    </w:rPr>
  </w:style>
  <w:style w:type="character" w:customStyle="1" w:styleId="17">
    <w:name w:val="font151"/>
    <w:basedOn w:val="11"/>
    <w:qFormat/>
    <w:uiPriority w:val="0"/>
    <w:rPr>
      <w:rFonts w:hint="eastAsia" w:ascii="宋体" w:hAnsi="宋体" w:eastAsia="宋体" w:cs="宋体"/>
      <w:color w:val="000000"/>
      <w:sz w:val="22"/>
      <w:szCs w:val="22"/>
      <w:u w:val="single"/>
    </w:rPr>
  </w:style>
  <w:style w:type="character" w:customStyle="1" w:styleId="18">
    <w:name w:val="font121"/>
    <w:basedOn w:val="11"/>
    <w:qFormat/>
    <w:uiPriority w:val="0"/>
    <w:rPr>
      <w:rFonts w:hint="eastAsia" w:ascii="宋体" w:hAnsi="宋体" w:eastAsia="宋体" w:cs="宋体"/>
      <w:color w:val="FF0000"/>
      <w:sz w:val="22"/>
      <w:szCs w:val="22"/>
      <w:u w:val="none"/>
    </w:rPr>
  </w:style>
  <w:style w:type="character" w:customStyle="1" w:styleId="19">
    <w:name w:val="font161"/>
    <w:basedOn w:val="11"/>
    <w:qFormat/>
    <w:uiPriority w:val="0"/>
    <w:rPr>
      <w:rFonts w:hint="eastAsia" w:ascii="宋体" w:hAnsi="宋体" w:eastAsia="宋体" w:cs="宋体"/>
      <w:color w:val="FF0000"/>
      <w:sz w:val="22"/>
      <w:szCs w:val="22"/>
      <w:u w:val="single"/>
    </w:rPr>
  </w:style>
  <w:style w:type="character" w:customStyle="1" w:styleId="20">
    <w:name w:val="font131"/>
    <w:basedOn w:val="11"/>
    <w:qFormat/>
    <w:uiPriority w:val="0"/>
    <w:rPr>
      <w:rFonts w:hint="default" w:ascii="Times New Roman" w:hAnsi="Times New Roman" w:cs="Times New Roman"/>
      <w:color w:val="000000"/>
      <w:sz w:val="22"/>
      <w:szCs w:val="22"/>
      <w:u w:val="none"/>
    </w:rPr>
  </w:style>
  <w:style w:type="character" w:customStyle="1" w:styleId="21">
    <w:name w:val="font41"/>
    <w:basedOn w:val="11"/>
    <w:qFormat/>
    <w:uiPriority w:val="0"/>
    <w:rPr>
      <w:rFonts w:hint="eastAsia" w:ascii="宋体" w:hAnsi="宋体" w:eastAsia="宋体" w:cs="宋体"/>
      <w:color w:val="000000"/>
      <w:sz w:val="24"/>
      <w:szCs w:val="24"/>
      <w:u w:val="none"/>
    </w:rPr>
  </w:style>
  <w:style w:type="character" w:customStyle="1" w:styleId="22">
    <w:name w:val="font81"/>
    <w:basedOn w:val="11"/>
    <w:qFormat/>
    <w:uiPriority w:val="0"/>
    <w:rPr>
      <w:rFonts w:hint="eastAsia" w:ascii="宋体" w:hAnsi="宋体" w:eastAsia="宋体" w:cs="宋体"/>
      <w:color w:val="FF0000"/>
      <w:sz w:val="24"/>
      <w:szCs w:val="24"/>
      <w:u w:val="none"/>
    </w:rPr>
  </w:style>
  <w:style w:type="character" w:customStyle="1" w:styleId="23">
    <w:name w:val="font51"/>
    <w:basedOn w:val="11"/>
    <w:qFormat/>
    <w:uiPriority w:val="0"/>
    <w:rPr>
      <w:rFonts w:hint="eastAsia" w:ascii="宋体" w:hAnsi="宋体" w:eastAsia="宋体" w:cs="宋体"/>
      <w:color w:val="000000"/>
      <w:sz w:val="24"/>
      <w:szCs w:val="24"/>
      <w:u w:val="none"/>
    </w:rPr>
  </w:style>
  <w:style w:type="character" w:customStyle="1" w:styleId="24">
    <w:name w:val="font91"/>
    <w:basedOn w:val="11"/>
    <w:qFormat/>
    <w:uiPriority w:val="0"/>
    <w:rPr>
      <w:rFonts w:hint="eastAsia" w:ascii="宋体" w:hAnsi="宋体" w:eastAsia="宋体" w:cs="宋体"/>
      <w:color w:val="FF0000"/>
      <w:sz w:val="24"/>
      <w:szCs w:val="24"/>
      <w:u w:val="none"/>
    </w:rPr>
  </w:style>
  <w:style w:type="character" w:customStyle="1" w:styleId="25">
    <w:name w:val="font101"/>
    <w:basedOn w:val="11"/>
    <w:qFormat/>
    <w:uiPriority w:val="0"/>
    <w:rPr>
      <w:rFonts w:hint="eastAsia" w:ascii="宋体" w:hAnsi="宋体" w:eastAsia="宋体" w:cs="宋体"/>
      <w:color w:val="FF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f8635-d16a-4f96-91b7-a38d0a96ed24}">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14313</Words>
  <Characters>14902</Characters>
  <Paragraphs>854</Paragraphs>
  <TotalTime>94</TotalTime>
  <ScaleCrop>false</ScaleCrop>
  <LinksUpToDate>false</LinksUpToDate>
  <CharactersWithSpaces>15545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2024-08-21T09:56:00Z</cp:lastPrinted>
  <dcterms:modified xsi:type="dcterms:W3CDTF">2025-10-29T02:58:13Z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B80E78B5AF9F46719ABC9B042EB65C08_13</vt:lpwstr>
  </property>
  <property fmtid="{D5CDD505-2E9C-101B-9397-08002B2CF9AE}" pid="4" name="KSOTemplateDocerSaveRecord">
    <vt:lpwstr>eyJoZGlkIjoiZTZlZWQxYjNiOGQwOWQ3ZDcwYzI4ZTE0M2ZhZmIzYTgiLCJ1c2VySWQiOiIzMjYyOTIwOTcifQ==</vt:lpwstr>
  </property>
</Properties>
</file>