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81DAA">
      <w:pPr>
        <w:keepNext w:val="0"/>
        <w:keepLines w:val="0"/>
        <w:pageBreakBefore w:val="0"/>
        <w:shd w:val="clear" w:color="auto" w:fill="auto"/>
        <w:kinsoku/>
        <w:wordWrap/>
        <w:overflowPunct/>
        <w:topLinePunct w:val="0"/>
        <w:autoSpaceDE/>
        <w:autoSpaceDN/>
        <w:bidi w:val="0"/>
        <w:adjustRightInd/>
        <w:snapToGrid w:val="0"/>
        <w:spacing w:line="360" w:lineRule="auto"/>
        <w:ind w:firstLine="501" w:firstLineChars="179"/>
        <w:jc w:val="both"/>
        <w:rPr>
          <w:rFonts w:hint="eastAsia" w:ascii="仿宋" w:hAnsi="仿宋" w:eastAsia="仿宋" w:cs="仿宋"/>
          <w:color w:val="auto"/>
          <w:highlight w:val="none"/>
          <w:lang w:val="en-US" w:eastAsia="zh-CN"/>
        </w:rPr>
      </w:pPr>
    </w:p>
    <w:p w14:paraId="6EB5040D">
      <w:pPr>
        <w:keepNext w:val="0"/>
        <w:keepLines w:val="0"/>
        <w:pageBreakBefore w:val="0"/>
        <w:shd w:val="clear" w:color="auto" w:fill="auto"/>
        <w:kinsoku/>
        <w:wordWrap/>
        <w:overflowPunct/>
        <w:topLinePunct w:val="0"/>
        <w:autoSpaceDE/>
        <w:autoSpaceDN/>
        <w:bidi w:val="0"/>
        <w:adjustRightInd/>
        <w:snapToGrid w:val="0"/>
        <w:spacing w:line="360" w:lineRule="auto"/>
        <w:ind w:firstLine="429" w:firstLineChars="179"/>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p>
    <w:p w14:paraId="633C92C3">
      <w:pPr>
        <w:keepNext w:val="0"/>
        <w:keepLines w:val="0"/>
        <w:pageBreakBefore w:val="0"/>
        <w:shd w:val="clear" w:color="auto" w:fill="auto"/>
        <w:kinsoku/>
        <w:wordWrap/>
        <w:overflowPunct/>
        <w:topLinePunct w:val="0"/>
        <w:autoSpaceDE/>
        <w:autoSpaceDN/>
        <w:bidi w:val="0"/>
        <w:adjustRightInd/>
        <w:snapToGrid w:val="0"/>
        <w:spacing w:line="360" w:lineRule="auto"/>
        <w:ind w:firstLine="1294" w:firstLineChars="179"/>
        <w:jc w:val="center"/>
        <w:rPr>
          <w:rFonts w:hint="eastAsia" w:ascii="仿宋" w:hAnsi="仿宋" w:eastAsia="仿宋" w:cs="仿宋"/>
          <w:b/>
          <w:color w:val="auto"/>
          <w:sz w:val="72"/>
          <w:highlight w:val="none"/>
          <w:lang w:val="en-US" w:eastAsia="zh-CN"/>
        </w:rPr>
      </w:pPr>
    </w:p>
    <w:p w14:paraId="244D28FD">
      <w:pPr>
        <w:pStyle w:val="16"/>
        <w:keepNext w:val="0"/>
        <w:keepLines w:val="0"/>
        <w:pageBreakBefore w:val="0"/>
        <w:overflowPunct/>
        <w:topLinePunct w:val="0"/>
        <w:bidi w:val="0"/>
        <w:snapToGrid w:val="0"/>
        <w:spacing w:line="360" w:lineRule="auto"/>
        <w:ind w:firstLine="501" w:firstLineChars="179"/>
        <w:rPr>
          <w:rFonts w:hint="eastAsia"/>
          <w:color w:val="auto"/>
          <w:highlight w:val="none"/>
          <w:lang w:val="en-US" w:eastAsia="zh-CN"/>
        </w:rPr>
      </w:pPr>
    </w:p>
    <w:p w14:paraId="513AD072">
      <w:pPr>
        <w:pStyle w:val="16"/>
        <w:keepNext w:val="0"/>
        <w:keepLines w:val="0"/>
        <w:pageBreakBefore w:val="0"/>
        <w:overflowPunct/>
        <w:topLinePunct w:val="0"/>
        <w:bidi w:val="0"/>
        <w:snapToGrid w:val="0"/>
        <w:spacing w:line="360" w:lineRule="auto"/>
        <w:ind w:firstLine="501" w:firstLineChars="179"/>
        <w:rPr>
          <w:rFonts w:hint="eastAsia"/>
          <w:color w:val="auto"/>
          <w:highlight w:val="none"/>
          <w:lang w:val="en-US" w:eastAsia="zh-CN"/>
        </w:rPr>
      </w:pPr>
    </w:p>
    <w:p w14:paraId="270AE225">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default"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none"/>
          <w:lang w:val="en-US" w:eastAsia="zh-CN"/>
        </w:rPr>
        <w:t>东莞市麻涌镇豪丰电镀、印染专业基地集中污水处理厂二期工程深度处理池桩基础工程</w:t>
      </w:r>
    </w:p>
    <w:p w14:paraId="3447D456">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val="0"/>
          <w:color w:val="auto"/>
          <w:sz w:val="52"/>
          <w:szCs w:val="52"/>
          <w:highlight w:val="none"/>
          <w:u w:val="none"/>
          <w:lang w:val="en-US" w:eastAsia="zh-CN"/>
        </w:rPr>
      </w:pPr>
      <w:bookmarkStart w:id="0" w:name="_Toc18261"/>
      <w:bookmarkStart w:id="1" w:name="_Toc28644"/>
      <w:bookmarkStart w:id="2" w:name="_Toc18193"/>
      <w:bookmarkStart w:id="3" w:name="_Toc19490"/>
      <w:bookmarkStart w:id="4" w:name="_Toc8615"/>
      <w:bookmarkStart w:id="5" w:name="_Toc27796"/>
      <w:r>
        <w:rPr>
          <w:rFonts w:hint="eastAsia" w:ascii="仿宋" w:hAnsi="仿宋" w:eastAsia="仿宋" w:cs="仿宋"/>
          <w:b/>
          <w:bCs w:val="0"/>
          <w:color w:val="auto"/>
          <w:sz w:val="52"/>
          <w:szCs w:val="52"/>
          <w:highlight w:val="none"/>
          <w:u w:val="none"/>
          <w:lang w:val="en-US" w:eastAsia="zh-CN"/>
        </w:rPr>
        <w:t>施</w:t>
      </w:r>
      <w:bookmarkEnd w:id="0"/>
      <w:bookmarkEnd w:id="1"/>
      <w:bookmarkEnd w:id="2"/>
      <w:bookmarkEnd w:id="3"/>
      <w:bookmarkEnd w:id="4"/>
      <w:bookmarkEnd w:id="5"/>
    </w:p>
    <w:p w14:paraId="2176B16F">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default" w:ascii="仿宋" w:hAnsi="仿宋" w:eastAsia="仿宋" w:cs="仿宋"/>
          <w:b/>
          <w:bCs w:val="0"/>
          <w:color w:val="auto"/>
          <w:sz w:val="52"/>
          <w:szCs w:val="52"/>
          <w:highlight w:val="none"/>
          <w:u w:val="none"/>
          <w:lang w:val="en-US" w:eastAsia="zh-CN"/>
        </w:rPr>
      </w:pPr>
      <w:bookmarkStart w:id="6" w:name="_Toc13064"/>
      <w:bookmarkStart w:id="7" w:name="_Toc28032"/>
      <w:bookmarkStart w:id="8" w:name="_Toc19523"/>
      <w:bookmarkStart w:id="9" w:name="_Toc25253"/>
      <w:bookmarkStart w:id="10" w:name="_Toc7915"/>
      <w:bookmarkStart w:id="11" w:name="_Toc29861"/>
      <w:r>
        <w:rPr>
          <w:rFonts w:hint="eastAsia" w:ascii="仿宋" w:hAnsi="仿宋" w:eastAsia="仿宋" w:cs="仿宋"/>
          <w:b/>
          <w:bCs w:val="0"/>
          <w:color w:val="auto"/>
          <w:sz w:val="52"/>
          <w:szCs w:val="52"/>
          <w:highlight w:val="none"/>
          <w:u w:val="none"/>
          <w:lang w:val="en-US" w:eastAsia="zh-CN"/>
        </w:rPr>
        <w:t>工</w:t>
      </w:r>
      <w:bookmarkEnd w:id="6"/>
      <w:bookmarkEnd w:id="7"/>
      <w:bookmarkEnd w:id="8"/>
      <w:bookmarkEnd w:id="9"/>
      <w:bookmarkEnd w:id="10"/>
      <w:bookmarkEnd w:id="11"/>
    </w:p>
    <w:p w14:paraId="013FB39B">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12" w:name="_Toc25976"/>
      <w:bookmarkStart w:id="13" w:name="_Toc14710"/>
      <w:bookmarkStart w:id="14" w:name="_Toc9299"/>
      <w:bookmarkStart w:id="15" w:name="_Toc21539"/>
      <w:bookmarkStart w:id="16" w:name="_Toc29957"/>
      <w:r>
        <w:rPr>
          <w:rFonts w:hint="eastAsia" w:ascii="仿宋" w:hAnsi="仿宋" w:eastAsia="仿宋" w:cs="仿宋"/>
          <w:b/>
          <w:color w:val="auto"/>
          <w:sz w:val="52"/>
          <w:szCs w:val="52"/>
          <w:highlight w:val="none"/>
          <w:lang w:val="en-US" w:eastAsia="zh-CN"/>
        </w:rPr>
        <w:t>合</w:t>
      </w:r>
      <w:bookmarkEnd w:id="12"/>
      <w:bookmarkEnd w:id="13"/>
      <w:bookmarkEnd w:id="14"/>
      <w:bookmarkEnd w:id="15"/>
      <w:bookmarkEnd w:id="16"/>
    </w:p>
    <w:p w14:paraId="76B01BA4">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17" w:name="_Toc3655"/>
      <w:bookmarkStart w:id="18" w:name="_Toc17573"/>
      <w:bookmarkStart w:id="19" w:name="_Toc24"/>
      <w:bookmarkStart w:id="20" w:name="_Toc15511"/>
      <w:bookmarkStart w:id="21" w:name="_Toc31161"/>
      <w:bookmarkStart w:id="22" w:name="_Toc24854"/>
      <w:r>
        <w:rPr>
          <w:rFonts w:hint="eastAsia" w:ascii="仿宋" w:hAnsi="仿宋" w:eastAsia="仿宋" w:cs="仿宋"/>
          <w:b/>
          <w:color w:val="auto"/>
          <w:sz w:val="52"/>
          <w:szCs w:val="52"/>
          <w:highlight w:val="none"/>
          <w:lang w:val="en-US" w:eastAsia="zh-CN"/>
        </w:rPr>
        <w:t>同</w:t>
      </w:r>
      <w:bookmarkEnd w:id="17"/>
      <w:bookmarkEnd w:id="18"/>
      <w:bookmarkEnd w:id="19"/>
      <w:bookmarkEnd w:id="20"/>
      <w:bookmarkEnd w:id="21"/>
      <w:bookmarkEnd w:id="22"/>
    </w:p>
    <w:p w14:paraId="2D0A7656">
      <w:pPr>
        <w:pStyle w:val="16"/>
        <w:keepNext w:val="0"/>
        <w:keepLines w:val="0"/>
        <w:pageBreakBefore w:val="0"/>
        <w:shd w:val="clear" w:color="auto" w:fill="auto"/>
        <w:overflowPunct/>
        <w:topLinePunct w:val="0"/>
        <w:bidi w:val="0"/>
        <w:snapToGrid w:val="0"/>
        <w:spacing w:line="360" w:lineRule="auto"/>
        <w:ind w:firstLine="501" w:firstLineChars="179"/>
        <w:rPr>
          <w:rFonts w:hint="eastAsia"/>
          <w:color w:val="auto"/>
          <w:highlight w:val="none"/>
          <w:lang w:val="en-US" w:eastAsia="zh-CN"/>
        </w:rPr>
      </w:pPr>
    </w:p>
    <w:p w14:paraId="302D1BA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043C4595">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甲方（发包方）：东莞市中泰建安工程有限公司</w:t>
      </w:r>
    </w:p>
    <w:p w14:paraId="318BC41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宋体"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 xml:space="preserve">乙方（承包方）： </w:t>
      </w:r>
    </w:p>
    <w:p w14:paraId="418F649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5CCD767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26"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lang w:val="en-US" w:eastAsia="zh-CN"/>
        </w:rPr>
        <w:t>签订地点：广东东莞南城。</w:t>
      </w:r>
    </w:p>
    <w:sdt>
      <w:sdtPr>
        <w:rPr>
          <w:rFonts w:ascii="宋体" w:hAnsi="宋体" w:eastAsia="宋体" w:cs="Times New Roman"/>
          <w:kern w:val="2"/>
          <w:sz w:val="20"/>
          <w:szCs w:val="18"/>
          <w:highlight w:val="none"/>
          <w:lang w:val="en-US" w:eastAsia="zh-CN" w:bidi="ar-SA"/>
        </w:rPr>
        <w:id w:val="147452857"/>
        <w15:color w:val="DBDBDB"/>
        <w:docPartObj>
          <w:docPartGallery w:val="Table of Contents"/>
          <w:docPartUnique/>
        </w:docPartObj>
      </w:sdtPr>
      <w:sdtEndPr>
        <w:rPr>
          <w:rFonts w:ascii="宋体" w:hAnsi="宋体" w:eastAsia="宋体" w:cs="Times New Roman"/>
          <w:b/>
          <w:kern w:val="2"/>
          <w:sz w:val="32"/>
          <w:szCs w:val="32"/>
          <w:highlight w:val="none"/>
          <w:lang w:val="en-US" w:eastAsia="zh-CN" w:bidi="ar-SA"/>
        </w:rPr>
      </w:sdtEndPr>
      <w:sdtContent>
        <w:p w14:paraId="4250CF5A">
          <w:pPr>
            <w:keepNext w:val="0"/>
            <w:keepLines w:val="0"/>
            <w:pageBreakBefore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center"/>
            <w:textAlignment w:val="auto"/>
            <w:rPr>
              <w:b/>
              <w:bCs/>
              <w:sz w:val="44"/>
              <w:szCs w:val="28"/>
              <w:highlight w:val="none"/>
            </w:rPr>
          </w:pPr>
          <w:bookmarkStart w:id="23" w:name="_Toc17539"/>
          <w:bookmarkStart w:id="24" w:name="_Toc17907"/>
          <w:r>
            <w:rPr>
              <w:rFonts w:ascii="宋体" w:hAnsi="宋体" w:eastAsia="宋体"/>
              <w:b/>
              <w:bCs/>
              <w:sz w:val="32"/>
              <w:szCs w:val="28"/>
              <w:highlight w:val="none"/>
            </w:rPr>
            <w:t>目录</w:t>
          </w:r>
        </w:p>
        <w:p w14:paraId="0EC77910">
          <w:pPr>
            <w:pStyle w:val="25"/>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highlight w:val="none"/>
            </w:rPr>
          </w:pPr>
          <w:r>
            <w:rPr>
              <w:sz w:val="28"/>
              <w:szCs w:val="28"/>
              <w:highlight w:val="none"/>
            </w:rPr>
            <w:fldChar w:fldCharType="begin"/>
          </w:r>
          <w:r>
            <w:rPr>
              <w:sz w:val="28"/>
              <w:szCs w:val="28"/>
              <w:highlight w:val="none"/>
            </w:rPr>
            <w:instrText xml:space="preserve">TOC \o "1-2" \h \u </w:instrText>
          </w:r>
          <w:r>
            <w:rPr>
              <w:sz w:val="28"/>
              <w:szCs w:val="28"/>
              <w:highlight w:val="none"/>
            </w:rPr>
            <w:fldChar w:fldCharType="separate"/>
          </w:r>
          <w:r>
            <w:rPr>
              <w:b/>
              <w:sz w:val="28"/>
              <w:szCs w:val="28"/>
              <w:highlight w:val="none"/>
            </w:rPr>
            <w:fldChar w:fldCharType="begin"/>
          </w:r>
          <w:r>
            <w:rPr>
              <w:b/>
              <w:sz w:val="28"/>
              <w:szCs w:val="28"/>
              <w:highlight w:val="none"/>
            </w:rPr>
            <w:instrText xml:space="preserve"> HYPERLINK \l _Toc8352 </w:instrText>
          </w:r>
          <w:r>
            <w:rPr>
              <w:b/>
              <w:sz w:val="28"/>
              <w:szCs w:val="28"/>
              <w:highlight w:val="none"/>
            </w:rPr>
            <w:fldChar w:fldCharType="separate"/>
          </w:r>
          <w:r>
            <w:rPr>
              <w:rFonts w:hint="eastAsia" w:ascii="仿宋_GB2312" w:hAnsi="仿宋_GB2312" w:eastAsia="仿宋_GB2312" w:cs="仿宋_GB2312"/>
              <w:b/>
              <w:bCs/>
              <w:i w:val="0"/>
              <w:iCs w:val="0"/>
              <w:kern w:val="0"/>
              <w:sz w:val="28"/>
              <w:szCs w:val="44"/>
              <w:highlight w:val="none"/>
              <w:shd w:val="clear" w:fill="auto"/>
              <w:lang w:val="en-US" w:eastAsia="zh-CN" w:bidi="ar-SA"/>
            </w:rPr>
            <w:t xml:space="preserve">第一部分 </w:t>
          </w:r>
          <w:r>
            <w:rPr>
              <w:rFonts w:hint="eastAsia" w:ascii="仿宋_GB2312" w:hAnsi="仿宋_GB2312" w:eastAsia="仿宋_GB2312" w:cs="仿宋_GB2312"/>
              <w:b/>
              <w:bCs/>
              <w:i w:val="0"/>
              <w:iCs w:val="0"/>
              <w:kern w:val="0"/>
              <w:sz w:val="28"/>
              <w:szCs w:val="44"/>
              <w:highlight w:val="none"/>
              <w:shd w:val="clear" w:color="auto" w:fill="auto"/>
              <w:lang w:val="en-US" w:eastAsia="zh-CN"/>
            </w:rPr>
            <w:t>合同专用条款</w:t>
          </w:r>
          <w:r>
            <w:rPr>
              <w:b/>
              <w:sz w:val="28"/>
              <w:szCs w:val="28"/>
              <w:highlight w:val="none"/>
            </w:rPr>
            <w:tab/>
          </w:r>
          <w:r>
            <w:rPr>
              <w:b/>
              <w:sz w:val="28"/>
              <w:szCs w:val="28"/>
              <w:highlight w:val="none"/>
            </w:rPr>
            <w:fldChar w:fldCharType="begin"/>
          </w:r>
          <w:r>
            <w:rPr>
              <w:b/>
              <w:sz w:val="28"/>
              <w:szCs w:val="28"/>
              <w:highlight w:val="none"/>
            </w:rPr>
            <w:instrText xml:space="preserve"> PAGEREF _Toc8352 \h </w:instrText>
          </w:r>
          <w:r>
            <w:rPr>
              <w:b/>
              <w:sz w:val="28"/>
              <w:szCs w:val="28"/>
              <w:highlight w:val="none"/>
            </w:rPr>
            <w:fldChar w:fldCharType="separate"/>
          </w:r>
          <w:r>
            <w:rPr>
              <w:b/>
              <w:sz w:val="28"/>
              <w:szCs w:val="28"/>
              <w:highlight w:val="none"/>
            </w:rPr>
            <w:t>1</w:t>
          </w:r>
          <w:r>
            <w:rPr>
              <w:b/>
              <w:sz w:val="28"/>
              <w:szCs w:val="28"/>
              <w:highlight w:val="none"/>
            </w:rPr>
            <w:fldChar w:fldCharType="end"/>
          </w:r>
          <w:r>
            <w:rPr>
              <w:b/>
              <w:sz w:val="28"/>
              <w:szCs w:val="28"/>
              <w:highlight w:val="none"/>
            </w:rPr>
            <w:fldChar w:fldCharType="end"/>
          </w:r>
        </w:p>
        <w:p w14:paraId="71C13E6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_Toc29681 </w:instrText>
          </w:r>
          <w:r>
            <w:rPr>
              <w:sz w:val="28"/>
              <w:szCs w:val="28"/>
              <w:highlight w:val="none"/>
            </w:rPr>
            <w:fldChar w:fldCharType="separate"/>
          </w:r>
          <w:r>
            <w:rPr>
              <w:rFonts w:hint="eastAsia" w:ascii="仿宋" w:hAnsi="仿宋" w:eastAsia="仿宋" w:cs="仿宋"/>
              <w:bCs/>
              <w:i w:val="0"/>
              <w:iCs w:val="0"/>
              <w:sz w:val="28"/>
              <w:szCs w:val="44"/>
              <w:highlight w:val="none"/>
              <w:lang w:val="en-US" w:eastAsia="zh-CN"/>
            </w:rPr>
            <w:t>第一章、项目概况</w:t>
          </w:r>
          <w:r>
            <w:rPr>
              <w:rFonts w:hint="eastAsia" w:ascii="仿宋" w:hAnsi="仿宋" w:eastAsia="仿宋" w:cs="仿宋"/>
              <w:bCs/>
              <w:sz w:val="28"/>
              <w:szCs w:val="44"/>
              <w:highlight w:val="none"/>
              <w:lang w:val="en-US" w:eastAsia="zh-CN"/>
            </w:rPr>
            <w:t xml:space="preserve"> </w:t>
          </w:r>
          <w:r>
            <w:rPr>
              <w:sz w:val="28"/>
              <w:szCs w:val="28"/>
              <w:highlight w:val="none"/>
            </w:rPr>
            <w:tab/>
          </w:r>
          <w:r>
            <w:rPr>
              <w:sz w:val="28"/>
              <w:szCs w:val="28"/>
              <w:highlight w:val="none"/>
            </w:rPr>
            <w:fldChar w:fldCharType="begin"/>
          </w:r>
          <w:r>
            <w:rPr>
              <w:sz w:val="28"/>
              <w:szCs w:val="28"/>
              <w:highlight w:val="none"/>
            </w:rPr>
            <w:instrText xml:space="preserve"> PAGEREF _Toc29681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59649966">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_Toc25766 </w:instrText>
          </w:r>
          <w:r>
            <w:rPr>
              <w:sz w:val="28"/>
              <w:szCs w:val="28"/>
              <w:highlight w:val="none"/>
            </w:rPr>
            <w:fldChar w:fldCharType="separate"/>
          </w:r>
          <w:r>
            <w:rPr>
              <w:rFonts w:hint="eastAsia" w:ascii="仿宋" w:hAnsi="仿宋" w:eastAsia="仿宋" w:cs="仿宋"/>
              <w:bCs/>
              <w:i w:val="0"/>
              <w:iCs w:val="0"/>
              <w:kern w:val="2"/>
              <w:sz w:val="28"/>
              <w:szCs w:val="44"/>
              <w:highlight w:val="none"/>
              <w:shd w:val="clear" w:color="auto" w:fill="auto"/>
              <w:lang w:val="en-US" w:eastAsia="zh-CN" w:bidi="ar-SA"/>
            </w:rPr>
            <w:t>第二章、</w:t>
          </w:r>
          <w:r>
            <w:rPr>
              <w:rFonts w:hint="eastAsia" w:ascii="仿宋" w:hAnsi="仿宋" w:eastAsia="仿宋" w:cs="仿宋"/>
              <w:bCs/>
              <w:i w:val="0"/>
              <w:iCs w:val="0"/>
              <w:sz w:val="28"/>
              <w:szCs w:val="44"/>
              <w:highlight w:val="none"/>
              <w:shd w:val="clear" w:color="auto" w:fill="auto"/>
              <w:lang w:val="en-US" w:eastAsia="zh-CN"/>
            </w:rPr>
            <w:t>承包方式</w:t>
          </w:r>
          <w:r>
            <w:rPr>
              <w:sz w:val="28"/>
              <w:szCs w:val="28"/>
              <w:highlight w:val="none"/>
            </w:rPr>
            <w:tab/>
          </w:r>
          <w:r>
            <w:rPr>
              <w:sz w:val="28"/>
              <w:szCs w:val="28"/>
              <w:highlight w:val="none"/>
            </w:rPr>
            <w:fldChar w:fldCharType="begin"/>
          </w:r>
          <w:r>
            <w:rPr>
              <w:sz w:val="28"/>
              <w:szCs w:val="28"/>
              <w:highlight w:val="none"/>
            </w:rPr>
            <w:instrText xml:space="preserve"> PAGEREF _Toc25766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5674C89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_Toc27160 </w:instrText>
          </w:r>
          <w:r>
            <w:rPr>
              <w:sz w:val="28"/>
              <w:szCs w:val="28"/>
              <w:highlight w:val="none"/>
            </w:rPr>
            <w:fldChar w:fldCharType="separate"/>
          </w:r>
          <w:r>
            <w:rPr>
              <w:rFonts w:hint="eastAsia" w:ascii="仿宋" w:hAnsi="仿宋" w:eastAsia="仿宋" w:cs="仿宋"/>
              <w:bCs/>
              <w:i w:val="0"/>
              <w:iCs w:val="0"/>
              <w:kern w:val="2"/>
              <w:sz w:val="28"/>
              <w:szCs w:val="44"/>
              <w:highlight w:val="none"/>
              <w:shd w:val="clear" w:color="auto" w:fill="auto"/>
              <w:lang w:val="en-US" w:eastAsia="zh-CN" w:bidi="ar-SA"/>
            </w:rPr>
            <w:t>第三章、</w:t>
          </w:r>
          <w:r>
            <w:rPr>
              <w:rFonts w:hint="eastAsia" w:ascii="仿宋" w:hAnsi="仿宋" w:eastAsia="仿宋" w:cs="仿宋"/>
              <w:bCs/>
              <w:i w:val="0"/>
              <w:iCs w:val="0"/>
              <w:sz w:val="28"/>
              <w:szCs w:val="44"/>
              <w:highlight w:val="none"/>
              <w:shd w:val="clear" w:color="auto" w:fill="auto"/>
              <w:lang w:val="en-US" w:eastAsia="zh-CN"/>
            </w:rPr>
            <w:t>乙方承包范围及主要工程内容</w:t>
          </w:r>
          <w:r>
            <w:rPr>
              <w:sz w:val="28"/>
              <w:szCs w:val="28"/>
              <w:highlight w:val="none"/>
            </w:rPr>
            <w:tab/>
          </w:r>
          <w:r>
            <w:rPr>
              <w:sz w:val="28"/>
              <w:szCs w:val="28"/>
              <w:highlight w:val="none"/>
            </w:rPr>
            <w:fldChar w:fldCharType="begin"/>
          </w:r>
          <w:r>
            <w:rPr>
              <w:sz w:val="28"/>
              <w:szCs w:val="28"/>
              <w:highlight w:val="none"/>
            </w:rPr>
            <w:instrText xml:space="preserve"> PAGEREF _Toc27160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11924D55">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_Toc12906 </w:instrText>
          </w:r>
          <w:r>
            <w:rPr>
              <w:sz w:val="28"/>
              <w:szCs w:val="28"/>
              <w:highlight w:val="none"/>
            </w:rPr>
            <w:fldChar w:fldCharType="separate"/>
          </w:r>
          <w:r>
            <w:rPr>
              <w:rFonts w:hint="eastAsia" w:ascii="仿宋" w:hAnsi="仿宋" w:eastAsia="仿宋" w:cs="仿宋"/>
              <w:bCs/>
              <w:i w:val="0"/>
              <w:iCs w:val="0"/>
              <w:sz w:val="28"/>
              <w:szCs w:val="44"/>
              <w:highlight w:val="none"/>
              <w:lang w:val="en-US" w:eastAsia="zh-CN"/>
            </w:rPr>
            <w:t>第四章、工期</w:t>
          </w:r>
          <w:r>
            <w:rPr>
              <w:sz w:val="28"/>
              <w:szCs w:val="28"/>
              <w:highlight w:val="none"/>
            </w:rPr>
            <w:tab/>
          </w:r>
          <w:r>
            <w:rPr>
              <w:sz w:val="28"/>
              <w:szCs w:val="28"/>
              <w:highlight w:val="none"/>
            </w:rPr>
            <w:fldChar w:fldCharType="begin"/>
          </w:r>
          <w:r>
            <w:rPr>
              <w:sz w:val="28"/>
              <w:szCs w:val="28"/>
              <w:highlight w:val="none"/>
            </w:rPr>
            <w:instrText xml:space="preserve"> PAGEREF _Toc12906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6135EFC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_Toc26751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第五章、</w:t>
          </w:r>
          <w:r>
            <w:rPr>
              <w:rFonts w:hint="eastAsia" w:ascii="仿宋" w:hAnsi="仿宋" w:eastAsia="仿宋" w:cs="仿宋"/>
              <w:bCs/>
              <w:i w:val="0"/>
              <w:iCs w:val="0"/>
              <w:sz w:val="28"/>
              <w:szCs w:val="44"/>
              <w:highlight w:val="none"/>
              <w:lang w:val="en-US" w:eastAsia="zh-CN"/>
            </w:rPr>
            <w:t>合同价款</w:t>
          </w:r>
          <w:r>
            <w:rPr>
              <w:sz w:val="28"/>
              <w:szCs w:val="28"/>
              <w:highlight w:val="none"/>
            </w:rPr>
            <w:tab/>
          </w:r>
          <w:r>
            <w:rPr>
              <w:sz w:val="28"/>
              <w:szCs w:val="28"/>
              <w:highlight w:val="none"/>
            </w:rPr>
            <w:fldChar w:fldCharType="begin"/>
          </w:r>
          <w:r>
            <w:rPr>
              <w:sz w:val="28"/>
              <w:szCs w:val="28"/>
              <w:highlight w:val="none"/>
            </w:rPr>
            <w:instrText xml:space="preserve"> PAGEREF _Toc26751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14:paraId="325FEF37">
          <w:pPr>
            <w:pStyle w:val="26"/>
            <w:keepNext w:val="0"/>
            <w:keepLines w:val="0"/>
            <w:pageBreakBefore w:val="0"/>
            <w:tabs>
              <w:tab w:val="right" w:pos="5600"/>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_Toc30735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第六章、</w:t>
          </w:r>
          <w:r>
            <w:rPr>
              <w:rFonts w:hint="eastAsia" w:ascii="仿宋" w:hAnsi="仿宋" w:eastAsia="仿宋" w:cs="仿宋"/>
              <w:bCs/>
              <w:i w:val="0"/>
              <w:iCs w:val="0"/>
              <w:sz w:val="28"/>
              <w:szCs w:val="44"/>
              <w:highlight w:val="none"/>
              <w:lang w:val="en-US" w:eastAsia="zh-CN"/>
            </w:rPr>
            <w:t>计量计价方式及结算方式</w:t>
          </w:r>
          <w:r>
            <w:rPr>
              <w:rFonts w:hint="eastAsia" w:ascii="仿宋" w:hAnsi="仿宋" w:eastAsia="仿宋" w:cs="仿宋"/>
              <w:bCs/>
              <w:i w:val="0"/>
              <w:iCs w:val="0"/>
              <w:sz w:val="28"/>
              <w:szCs w:val="44"/>
              <w:highlight w:val="none"/>
              <w:lang w:val="en-US" w:eastAsia="zh-CN"/>
            </w:rPr>
            <w:tab/>
          </w:r>
          <w:r>
            <w:rPr>
              <w:sz w:val="28"/>
              <w:szCs w:val="28"/>
              <w:highlight w:val="none"/>
            </w:rPr>
            <w:tab/>
          </w:r>
          <w:r>
            <w:rPr>
              <w:sz w:val="28"/>
              <w:szCs w:val="28"/>
              <w:highlight w:val="none"/>
            </w:rPr>
            <w:fldChar w:fldCharType="begin"/>
          </w:r>
          <w:r>
            <w:rPr>
              <w:sz w:val="28"/>
              <w:szCs w:val="28"/>
              <w:highlight w:val="none"/>
            </w:rPr>
            <w:instrText xml:space="preserve"> PAGEREF _Toc30735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3603F3B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_Toc22307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第七章、付款方式</w:t>
          </w:r>
          <w:r>
            <w:rPr>
              <w:sz w:val="28"/>
              <w:szCs w:val="28"/>
              <w:highlight w:val="none"/>
            </w:rPr>
            <w:tab/>
          </w:r>
          <w:r>
            <w:rPr>
              <w:sz w:val="28"/>
              <w:szCs w:val="28"/>
              <w:highlight w:val="none"/>
            </w:rPr>
            <w:fldChar w:fldCharType="begin"/>
          </w:r>
          <w:r>
            <w:rPr>
              <w:sz w:val="28"/>
              <w:szCs w:val="28"/>
              <w:highlight w:val="none"/>
            </w:rPr>
            <w:instrText xml:space="preserve"> PAGEREF _Toc22307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67FDA476">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_Toc26381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第八章、双方责任和权利</w:t>
          </w:r>
          <w:r>
            <w:rPr>
              <w:sz w:val="28"/>
              <w:szCs w:val="28"/>
              <w:highlight w:val="none"/>
            </w:rPr>
            <w:tab/>
          </w:r>
          <w:r>
            <w:rPr>
              <w:sz w:val="28"/>
              <w:szCs w:val="28"/>
              <w:highlight w:val="none"/>
            </w:rPr>
            <w:fldChar w:fldCharType="begin"/>
          </w:r>
          <w:r>
            <w:rPr>
              <w:sz w:val="28"/>
              <w:szCs w:val="28"/>
              <w:highlight w:val="none"/>
            </w:rPr>
            <w:instrText xml:space="preserve"> PAGEREF _Toc26381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169FD730">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_Toc18010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第九章、验收与保修</w:t>
          </w:r>
          <w:r>
            <w:rPr>
              <w:sz w:val="28"/>
              <w:szCs w:val="28"/>
              <w:highlight w:val="none"/>
            </w:rPr>
            <w:tab/>
          </w:r>
          <w:r>
            <w:rPr>
              <w:sz w:val="28"/>
              <w:szCs w:val="28"/>
              <w:highlight w:val="none"/>
            </w:rPr>
            <w:fldChar w:fldCharType="begin"/>
          </w:r>
          <w:r>
            <w:rPr>
              <w:sz w:val="28"/>
              <w:szCs w:val="28"/>
              <w:highlight w:val="none"/>
            </w:rPr>
            <w:instrText xml:space="preserve"> PAGEREF _Toc18010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1AA76F0E">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_Toc7246 </w:instrText>
          </w:r>
          <w:r>
            <w:rPr>
              <w:sz w:val="28"/>
              <w:szCs w:val="28"/>
              <w:highlight w:val="none"/>
            </w:rPr>
            <w:fldChar w:fldCharType="separate"/>
          </w:r>
          <w:r>
            <w:rPr>
              <w:rFonts w:hint="eastAsia" w:ascii="仿宋" w:hAnsi="仿宋" w:eastAsia="仿宋" w:cs="仿宋"/>
              <w:bCs/>
              <w:i w:val="0"/>
              <w:iCs w:val="0"/>
              <w:kern w:val="2"/>
              <w:sz w:val="28"/>
              <w:szCs w:val="44"/>
              <w:highlight w:val="none"/>
              <w:lang w:val="en-US" w:eastAsia="zh-CN" w:bidi="ar-SA"/>
            </w:rPr>
            <w:t>第十章、其他</w:t>
          </w:r>
          <w:r>
            <w:rPr>
              <w:sz w:val="28"/>
              <w:szCs w:val="28"/>
              <w:highlight w:val="none"/>
            </w:rPr>
            <w:tab/>
          </w:r>
          <w:r>
            <w:rPr>
              <w:sz w:val="28"/>
              <w:szCs w:val="28"/>
              <w:highlight w:val="none"/>
            </w:rPr>
            <w:fldChar w:fldCharType="begin"/>
          </w:r>
          <w:r>
            <w:rPr>
              <w:sz w:val="28"/>
              <w:szCs w:val="28"/>
              <w:highlight w:val="none"/>
            </w:rPr>
            <w:instrText xml:space="preserve"> PAGEREF _Toc7246 \h </w:instrText>
          </w:r>
          <w:r>
            <w:rPr>
              <w:sz w:val="28"/>
              <w:szCs w:val="28"/>
              <w:highlight w:val="none"/>
            </w:rPr>
            <w:fldChar w:fldCharType="separate"/>
          </w:r>
          <w:r>
            <w:rPr>
              <w:sz w:val="28"/>
              <w:szCs w:val="28"/>
              <w:highlight w:val="none"/>
            </w:rPr>
            <w:t>8</w:t>
          </w:r>
          <w:r>
            <w:rPr>
              <w:sz w:val="28"/>
              <w:szCs w:val="28"/>
              <w:highlight w:val="none"/>
            </w:rPr>
            <w:fldChar w:fldCharType="end"/>
          </w:r>
          <w:r>
            <w:rPr>
              <w:sz w:val="28"/>
              <w:szCs w:val="28"/>
              <w:highlight w:val="none"/>
            </w:rPr>
            <w:fldChar w:fldCharType="end"/>
          </w:r>
        </w:p>
        <w:p w14:paraId="743036B7">
          <w:pPr>
            <w:pStyle w:val="25"/>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highlight w:val="none"/>
            </w:rPr>
          </w:pPr>
          <w:r>
            <w:rPr>
              <w:b/>
              <w:sz w:val="28"/>
              <w:szCs w:val="28"/>
              <w:highlight w:val="none"/>
            </w:rPr>
            <w:fldChar w:fldCharType="begin"/>
          </w:r>
          <w:r>
            <w:rPr>
              <w:b/>
              <w:sz w:val="28"/>
              <w:szCs w:val="28"/>
              <w:highlight w:val="none"/>
            </w:rPr>
            <w:instrText xml:space="preserve"> HYPERLINK \l _Toc26522 </w:instrText>
          </w:r>
          <w:r>
            <w:rPr>
              <w:b/>
              <w:sz w:val="28"/>
              <w:szCs w:val="28"/>
              <w:highlight w:val="none"/>
            </w:rPr>
            <w:fldChar w:fldCharType="separate"/>
          </w:r>
          <w:r>
            <w:rPr>
              <w:rFonts w:hint="eastAsia" w:ascii="仿宋_GB2312" w:hAnsi="仿宋_GB2312" w:eastAsia="仿宋_GB2312" w:cs="仿宋_GB2312"/>
              <w:b/>
              <w:bCs/>
              <w:i w:val="0"/>
              <w:iCs w:val="0"/>
              <w:kern w:val="0"/>
              <w:sz w:val="28"/>
              <w:szCs w:val="44"/>
              <w:highlight w:val="none"/>
              <w:shd w:val="clear" w:fill="auto"/>
              <w:lang w:val="en-US" w:eastAsia="zh-CN" w:bidi="ar-SA"/>
            </w:rPr>
            <w:t xml:space="preserve">第二部分 </w:t>
          </w:r>
          <w:r>
            <w:rPr>
              <w:rFonts w:hint="eastAsia" w:ascii="仿宋_GB2312" w:hAnsi="仿宋_GB2312" w:eastAsia="仿宋_GB2312" w:cs="仿宋_GB2312"/>
              <w:b/>
              <w:bCs/>
              <w:i w:val="0"/>
              <w:iCs w:val="0"/>
              <w:kern w:val="0"/>
              <w:sz w:val="28"/>
              <w:szCs w:val="44"/>
              <w:highlight w:val="none"/>
              <w:shd w:val="clear" w:color="auto" w:fill="auto"/>
              <w:lang w:val="en-US" w:eastAsia="zh-CN"/>
            </w:rPr>
            <w:t>合同通用条款</w:t>
          </w:r>
          <w:r>
            <w:rPr>
              <w:b/>
              <w:sz w:val="28"/>
              <w:szCs w:val="28"/>
              <w:highlight w:val="none"/>
            </w:rPr>
            <w:tab/>
          </w:r>
          <w:r>
            <w:rPr>
              <w:b/>
              <w:sz w:val="28"/>
              <w:szCs w:val="28"/>
              <w:highlight w:val="none"/>
            </w:rPr>
            <w:fldChar w:fldCharType="begin"/>
          </w:r>
          <w:r>
            <w:rPr>
              <w:b/>
              <w:sz w:val="28"/>
              <w:szCs w:val="28"/>
              <w:highlight w:val="none"/>
            </w:rPr>
            <w:instrText xml:space="preserve"> PAGEREF _Toc26522 \h </w:instrText>
          </w:r>
          <w:r>
            <w:rPr>
              <w:b/>
              <w:sz w:val="28"/>
              <w:szCs w:val="28"/>
              <w:highlight w:val="none"/>
            </w:rPr>
            <w:fldChar w:fldCharType="separate"/>
          </w:r>
          <w:r>
            <w:rPr>
              <w:b/>
              <w:sz w:val="28"/>
              <w:szCs w:val="28"/>
              <w:highlight w:val="none"/>
            </w:rPr>
            <w:t>10</w:t>
          </w:r>
          <w:r>
            <w:rPr>
              <w:b/>
              <w:sz w:val="28"/>
              <w:szCs w:val="28"/>
              <w:highlight w:val="none"/>
            </w:rPr>
            <w:fldChar w:fldCharType="end"/>
          </w:r>
          <w:r>
            <w:rPr>
              <w:b/>
              <w:sz w:val="28"/>
              <w:szCs w:val="28"/>
              <w:highlight w:val="none"/>
            </w:rPr>
            <w:fldChar w:fldCharType="end"/>
          </w:r>
        </w:p>
        <w:p w14:paraId="3BF1FC8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_Toc16558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第一章、乙方承包范围及主要工程内容</w:t>
          </w:r>
          <w:r>
            <w:rPr>
              <w:sz w:val="28"/>
              <w:szCs w:val="28"/>
              <w:highlight w:val="none"/>
            </w:rPr>
            <w:tab/>
          </w:r>
          <w:r>
            <w:rPr>
              <w:sz w:val="28"/>
              <w:szCs w:val="28"/>
              <w:highlight w:val="none"/>
            </w:rPr>
            <w:fldChar w:fldCharType="begin"/>
          </w:r>
          <w:r>
            <w:rPr>
              <w:sz w:val="28"/>
              <w:szCs w:val="28"/>
              <w:highlight w:val="none"/>
            </w:rPr>
            <w:instrText xml:space="preserve"> PAGEREF _Toc16558 \h </w:instrText>
          </w:r>
          <w:r>
            <w:rPr>
              <w:sz w:val="28"/>
              <w:szCs w:val="28"/>
              <w:highlight w:val="none"/>
            </w:rPr>
            <w:fldChar w:fldCharType="separate"/>
          </w:r>
          <w:r>
            <w:rPr>
              <w:sz w:val="28"/>
              <w:szCs w:val="28"/>
              <w:highlight w:val="none"/>
            </w:rPr>
            <w:t>10</w:t>
          </w:r>
          <w:r>
            <w:rPr>
              <w:sz w:val="28"/>
              <w:szCs w:val="28"/>
              <w:highlight w:val="none"/>
            </w:rPr>
            <w:fldChar w:fldCharType="end"/>
          </w:r>
          <w:r>
            <w:rPr>
              <w:sz w:val="28"/>
              <w:szCs w:val="28"/>
              <w:highlight w:val="none"/>
            </w:rPr>
            <w:fldChar w:fldCharType="end"/>
          </w:r>
        </w:p>
        <w:p w14:paraId="373058C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_Toc28153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第二章、工期</w:t>
          </w:r>
          <w:r>
            <w:rPr>
              <w:sz w:val="28"/>
              <w:szCs w:val="28"/>
              <w:highlight w:val="none"/>
            </w:rPr>
            <w:tab/>
          </w:r>
          <w:r>
            <w:rPr>
              <w:sz w:val="28"/>
              <w:szCs w:val="28"/>
              <w:highlight w:val="none"/>
            </w:rPr>
            <w:fldChar w:fldCharType="begin"/>
          </w:r>
          <w:r>
            <w:rPr>
              <w:sz w:val="28"/>
              <w:szCs w:val="28"/>
              <w:highlight w:val="none"/>
            </w:rPr>
            <w:instrText xml:space="preserve"> PAGEREF _Toc28153 \h </w:instrText>
          </w:r>
          <w:r>
            <w:rPr>
              <w:sz w:val="28"/>
              <w:szCs w:val="28"/>
              <w:highlight w:val="none"/>
            </w:rPr>
            <w:fldChar w:fldCharType="separate"/>
          </w:r>
          <w:r>
            <w:rPr>
              <w:sz w:val="28"/>
              <w:szCs w:val="28"/>
              <w:highlight w:val="none"/>
            </w:rPr>
            <w:t>11</w:t>
          </w:r>
          <w:r>
            <w:rPr>
              <w:sz w:val="28"/>
              <w:szCs w:val="28"/>
              <w:highlight w:val="none"/>
            </w:rPr>
            <w:fldChar w:fldCharType="end"/>
          </w:r>
          <w:r>
            <w:rPr>
              <w:sz w:val="28"/>
              <w:szCs w:val="28"/>
              <w:highlight w:val="none"/>
            </w:rPr>
            <w:fldChar w:fldCharType="end"/>
          </w:r>
        </w:p>
        <w:p w14:paraId="25DE9DB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_Toc2287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fill="auto"/>
              <w:lang w:val="en-US" w:eastAsia="zh-CN"/>
            </w:rPr>
            <w:t>第三章、</w:t>
          </w:r>
          <w:r>
            <w:rPr>
              <w:rFonts w:hint="eastAsia" w:ascii="仿宋_GB2312" w:hAnsi="仿宋_GB2312" w:eastAsia="仿宋_GB2312" w:cs="仿宋_GB2312"/>
              <w:bCs/>
              <w:i w:val="0"/>
              <w:iCs w:val="0"/>
              <w:sz w:val="28"/>
              <w:szCs w:val="44"/>
              <w:highlight w:val="none"/>
              <w:shd w:val="clear" w:color="auto" w:fill="auto"/>
              <w:lang w:val="en-US" w:eastAsia="zh-CN"/>
            </w:rPr>
            <w:t>工程质量标准</w:t>
          </w:r>
          <w:r>
            <w:rPr>
              <w:sz w:val="28"/>
              <w:szCs w:val="28"/>
              <w:highlight w:val="none"/>
            </w:rPr>
            <w:tab/>
          </w:r>
          <w:r>
            <w:rPr>
              <w:sz w:val="28"/>
              <w:szCs w:val="28"/>
              <w:highlight w:val="none"/>
            </w:rPr>
            <w:fldChar w:fldCharType="begin"/>
          </w:r>
          <w:r>
            <w:rPr>
              <w:sz w:val="28"/>
              <w:szCs w:val="28"/>
              <w:highlight w:val="none"/>
            </w:rPr>
            <w:instrText xml:space="preserve"> PAGEREF _Toc2287 \h </w:instrText>
          </w:r>
          <w:r>
            <w:rPr>
              <w:sz w:val="28"/>
              <w:szCs w:val="28"/>
              <w:highlight w:val="none"/>
            </w:rPr>
            <w:fldChar w:fldCharType="separate"/>
          </w:r>
          <w:r>
            <w:rPr>
              <w:sz w:val="28"/>
              <w:szCs w:val="28"/>
              <w:highlight w:val="none"/>
            </w:rPr>
            <w:t>12</w:t>
          </w:r>
          <w:r>
            <w:rPr>
              <w:sz w:val="28"/>
              <w:szCs w:val="28"/>
              <w:highlight w:val="none"/>
            </w:rPr>
            <w:fldChar w:fldCharType="end"/>
          </w:r>
          <w:r>
            <w:rPr>
              <w:sz w:val="28"/>
              <w:szCs w:val="28"/>
              <w:highlight w:val="none"/>
            </w:rPr>
            <w:fldChar w:fldCharType="end"/>
          </w:r>
        </w:p>
        <w:p w14:paraId="05C91FD1">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_Toc10809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第四章、合同价款</w:t>
          </w:r>
          <w:r>
            <w:rPr>
              <w:sz w:val="28"/>
              <w:szCs w:val="28"/>
              <w:highlight w:val="none"/>
            </w:rPr>
            <w:tab/>
          </w:r>
          <w:r>
            <w:rPr>
              <w:sz w:val="28"/>
              <w:szCs w:val="28"/>
              <w:highlight w:val="none"/>
            </w:rPr>
            <w:fldChar w:fldCharType="begin"/>
          </w:r>
          <w:r>
            <w:rPr>
              <w:sz w:val="28"/>
              <w:szCs w:val="28"/>
              <w:highlight w:val="none"/>
            </w:rPr>
            <w:instrText xml:space="preserve"> PAGEREF _Toc10809 \h </w:instrText>
          </w:r>
          <w:r>
            <w:rPr>
              <w:sz w:val="28"/>
              <w:szCs w:val="28"/>
              <w:highlight w:val="none"/>
            </w:rPr>
            <w:fldChar w:fldCharType="separate"/>
          </w:r>
          <w:r>
            <w:rPr>
              <w:sz w:val="28"/>
              <w:szCs w:val="28"/>
              <w:highlight w:val="none"/>
            </w:rPr>
            <w:t>15</w:t>
          </w:r>
          <w:r>
            <w:rPr>
              <w:sz w:val="28"/>
              <w:szCs w:val="28"/>
              <w:highlight w:val="none"/>
            </w:rPr>
            <w:fldChar w:fldCharType="end"/>
          </w:r>
          <w:r>
            <w:rPr>
              <w:sz w:val="28"/>
              <w:szCs w:val="28"/>
              <w:highlight w:val="none"/>
            </w:rPr>
            <w:fldChar w:fldCharType="end"/>
          </w:r>
        </w:p>
        <w:p w14:paraId="078E405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_Toc8137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第五章、计量计价方式及结算方式</w:t>
          </w:r>
          <w:r>
            <w:rPr>
              <w:sz w:val="28"/>
              <w:szCs w:val="28"/>
              <w:highlight w:val="none"/>
            </w:rPr>
            <w:tab/>
          </w:r>
          <w:r>
            <w:rPr>
              <w:sz w:val="28"/>
              <w:szCs w:val="28"/>
              <w:highlight w:val="none"/>
            </w:rPr>
            <w:fldChar w:fldCharType="begin"/>
          </w:r>
          <w:r>
            <w:rPr>
              <w:sz w:val="28"/>
              <w:szCs w:val="28"/>
              <w:highlight w:val="none"/>
            </w:rPr>
            <w:instrText xml:space="preserve"> PAGEREF _Toc8137 \h </w:instrText>
          </w:r>
          <w:r>
            <w:rPr>
              <w:sz w:val="28"/>
              <w:szCs w:val="28"/>
              <w:highlight w:val="none"/>
            </w:rPr>
            <w:fldChar w:fldCharType="separate"/>
          </w:r>
          <w:r>
            <w:rPr>
              <w:sz w:val="28"/>
              <w:szCs w:val="28"/>
              <w:highlight w:val="none"/>
            </w:rPr>
            <w:t>17</w:t>
          </w:r>
          <w:r>
            <w:rPr>
              <w:sz w:val="28"/>
              <w:szCs w:val="28"/>
              <w:highlight w:val="none"/>
            </w:rPr>
            <w:fldChar w:fldCharType="end"/>
          </w:r>
          <w:r>
            <w:rPr>
              <w:sz w:val="28"/>
              <w:szCs w:val="28"/>
              <w:highlight w:val="none"/>
            </w:rPr>
            <w:fldChar w:fldCharType="end"/>
          </w:r>
        </w:p>
        <w:p w14:paraId="1EC5A96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_Toc25342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第六章、付款方式</w:t>
          </w:r>
          <w:r>
            <w:rPr>
              <w:sz w:val="28"/>
              <w:szCs w:val="28"/>
              <w:highlight w:val="none"/>
            </w:rPr>
            <w:tab/>
          </w:r>
          <w:r>
            <w:rPr>
              <w:sz w:val="28"/>
              <w:szCs w:val="28"/>
              <w:highlight w:val="none"/>
            </w:rPr>
            <w:fldChar w:fldCharType="begin"/>
          </w:r>
          <w:r>
            <w:rPr>
              <w:sz w:val="28"/>
              <w:szCs w:val="28"/>
              <w:highlight w:val="none"/>
            </w:rPr>
            <w:instrText xml:space="preserve"> PAGEREF _Toc25342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28849872">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_Toc23840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第七章、双方责任和权利</w:t>
          </w:r>
          <w:r>
            <w:rPr>
              <w:sz w:val="28"/>
              <w:szCs w:val="28"/>
              <w:highlight w:val="none"/>
            </w:rPr>
            <w:tab/>
          </w:r>
          <w:r>
            <w:rPr>
              <w:sz w:val="28"/>
              <w:szCs w:val="28"/>
              <w:highlight w:val="none"/>
            </w:rPr>
            <w:fldChar w:fldCharType="begin"/>
          </w:r>
          <w:r>
            <w:rPr>
              <w:sz w:val="28"/>
              <w:szCs w:val="28"/>
              <w:highlight w:val="none"/>
            </w:rPr>
            <w:instrText xml:space="preserve"> PAGEREF _Toc23840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735AD461">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_Toc21799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第八章、安全生产、文明施工要求</w:t>
          </w:r>
          <w:r>
            <w:rPr>
              <w:sz w:val="28"/>
              <w:szCs w:val="28"/>
              <w:highlight w:val="none"/>
            </w:rPr>
            <w:tab/>
          </w:r>
          <w:r>
            <w:rPr>
              <w:sz w:val="28"/>
              <w:szCs w:val="28"/>
              <w:highlight w:val="none"/>
            </w:rPr>
            <w:fldChar w:fldCharType="begin"/>
          </w:r>
          <w:r>
            <w:rPr>
              <w:sz w:val="28"/>
              <w:szCs w:val="28"/>
              <w:highlight w:val="none"/>
            </w:rPr>
            <w:instrText xml:space="preserve"> PAGEREF _Toc21799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07C8B2DE">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_Toc25785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fill="auto"/>
              <w:lang w:val="en-US" w:eastAsia="zh-CN"/>
            </w:rPr>
            <w:t xml:space="preserve">第九章、 </w:t>
          </w:r>
          <w:r>
            <w:rPr>
              <w:rFonts w:hint="eastAsia" w:ascii="仿宋_GB2312" w:hAnsi="仿宋_GB2312" w:eastAsia="仿宋_GB2312" w:cs="仿宋_GB2312"/>
              <w:bCs/>
              <w:i w:val="0"/>
              <w:iCs w:val="0"/>
              <w:sz w:val="28"/>
              <w:szCs w:val="44"/>
              <w:highlight w:val="none"/>
              <w:shd w:val="clear" w:color="auto" w:fill="auto"/>
              <w:lang w:val="en-US" w:eastAsia="zh-CN"/>
            </w:rPr>
            <w:t>验收及保修</w:t>
          </w:r>
          <w:r>
            <w:rPr>
              <w:sz w:val="28"/>
              <w:szCs w:val="28"/>
              <w:highlight w:val="none"/>
            </w:rPr>
            <w:tab/>
          </w:r>
          <w:r>
            <w:rPr>
              <w:sz w:val="28"/>
              <w:szCs w:val="28"/>
              <w:highlight w:val="none"/>
            </w:rPr>
            <w:fldChar w:fldCharType="begin"/>
          </w:r>
          <w:r>
            <w:rPr>
              <w:sz w:val="28"/>
              <w:szCs w:val="28"/>
              <w:highlight w:val="none"/>
            </w:rPr>
            <w:instrText xml:space="preserve"> PAGEREF _Toc25785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5DBA73C7">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_Toc3649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第十章、保险</w:t>
          </w:r>
          <w:r>
            <w:rPr>
              <w:sz w:val="28"/>
              <w:szCs w:val="28"/>
              <w:highlight w:val="none"/>
            </w:rPr>
            <w:tab/>
          </w:r>
          <w:r>
            <w:rPr>
              <w:sz w:val="28"/>
              <w:szCs w:val="28"/>
              <w:highlight w:val="none"/>
            </w:rPr>
            <w:fldChar w:fldCharType="begin"/>
          </w:r>
          <w:r>
            <w:rPr>
              <w:sz w:val="28"/>
              <w:szCs w:val="28"/>
              <w:highlight w:val="none"/>
            </w:rPr>
            <w:instrText xml:space="preserve"> PAGEREF _Toc3649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5A27F958">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_Toc2911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第十一章、奖罚条款</w:t>
          </w:r>
          <w:r>
            <w:rPr>
              <w:sz w:val="28"/>
              <w:szCs w:val="28"/>
              <w:highlight w:val="none"/>
            </w:rPr>
            <w:tab/>
          </w:r>
          <w:r>
            <w:rPr>
              <w:sz w:val="28"/>
              <w:szCs w:val="28"/>
              <w:highlight w:val="none"/>
            </w:rPr>
            <w:fldChar w:fldCharType="begin"/>
          </w:r>
          <w:r>
            <w:rPr>
              <w:sz w:val="28"/>
              <w:szCs w:val="28"/>
              <w:highlight w:val="none"/>
            </w:rPr>
            <w:instrText xml:space="preserve"> PAGEREF _Toc2911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4A88D64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_Toc24467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第十二章、违约条款</w:t>
          </w:r>
          <w:r>
            <w:rPr>
              <w:sz w:val="28"/>
              <w:szCs w:val="28"/>
              <w:highlight w:val="none"/>
            </w:rPr>
            <w:tab/>
          </w:r>
          <w:r>
            <w:rPr>
              <w:sz w:val="28"/>
              <w:szCs w:val="28"/>
              <w:highlight w:val="none"/>
            </w:rPr>
            <w:fldChar w:fldCharType="begin"/>
          </w:r>
          <w:r>
            <w:rPr>
              <w:sz w:val="28"/>
              <w:szCs w:val="28"/>
              <w:highlight w:val="none"/>
            </w:rPr>
            <w:instrText xml:space="preserve"> PAGEREF _Toc24467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14:paraId="2E23A567">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highlight w:val="none"/>
            </w:rPr>
          </w:pPr>
          <w:r>
            <w:rPr>
              <w:sz w:val="28"/>
              <w:szCs w:val="28"/>
              <w:highlight w:val="none"/>
            </w:rPr>
            <w:fldChar w:fldCharType="begin"/>
          </w:r>
          <w:r>
            <w:rPr>
              <w:sz w:val="28"/>
              <w:szCs w:val="28"/>
              <w:highlight w:val="none"/>
            </w:rPr>
            <w:instrText xml:space="preserve"> HYPERLINK \l _Toc5697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第十三章、廉洁条款</w:t>
          </w:r>
          <w:r>
            <w:rPr>
              <w:sz w:val="28"/>
              <w:szCs w:val="28"/>
              <w:highlight w:val="none"/>
            </w:rPr>
            <w:tab/>
          </w:r>
          <w:r>
            <w:rPr>
              <w:sz w:val="28"/>
              <w:szCs w:val="28"/>
              <w:highlight w:val="none"/>
            </w:rPr>
            <w:fldChar w:fldCharType="begin"/>
          </w:r>
          <w:r>
            <w:rPr>
              <w:sz w:val="28"/>
              <w:szCs w:val="28"/>
              <w:highlight w:val="none"/>
            </w:rPr>
            <w:instrText xml:space="preserve"> PAGEREF _Toc5697 \h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14:paraId="633F9B1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highlight w:val="none"/>
            </w:rPr>
          </w:pPr>
          <w:r>
            <w:rPr>
              <w:sz w:val="28"/>
              <w:szCs w:val="28"/>
              <w:highlight w:val="none"/>
            </w:rPr>
            <w:fldChar w:fldCharType="begin"/>
          </w:r>
          <w:r>
            <w:rPr>
              <w:sz w:val="28"/>
              <w:szCs w:val="28"/>
              <w:highlight w:val="none"/>
            </w:rPr>
            <w:instrText xml:space="preserve"> HYPERLINK \l _Toc22153 </w:instrText>
          </w:r>
          <w:r>
            <w:rPr>
              <w:sz w:val="28"/>
              <w:szCs w:val="28"/>
              <w:highlight w:val="none"/>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第十四章、其他</w:t>
          </w:r>
          <w:r>
            <w:rPr>
              <w:sz w:val="28"/>
              <w:szCs w:val="28"/>
              <w:highlight w:val="none"/>
            </w:rPr>
            <w:tab/>
          </w:r>
          <w:r>
            <w:rPr>
              <w:sz w:val="28"/>
              <w:szCs w:val="28"/>
              <w:highlight w:val="none"/>
            </w:rPr>
            <w:fldChar w:fldCharType="begin"/>
          </w:r>
          <w:r>
            <w:rPr>
              <w:sz w:val="28"/>
              <w:szCs w:val="28"/>
              <w:highlight w:val="none"/>
            </w:rPr>
            <w:instrText xml:space="preserve"> PAGEREF _Toc22153 \h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14:paraId="012DBA63">
          <w:pPr>
            <w:keepNext w:val="0"/>
            <w:keepLines w:val="0"/>
            <w:pageBreakBefore w:val="0"/>
            <w:kinsoku/>
            <w:wordWrap/>
            <w:overflowPunct/>
            <w:topLinePunct w:val="0"/>
            <w:autoSpaceDE/>
            <w:autoSpaceDN/>
            <w:bidi w:val="0"/>
            <w:adjustRightInd/>
            <w:snapToGrid w:val="0"/>
            <w:spacing w:line="288" w:lineRule="auto"/>
            <w:textAlignment w:val="auto"/>
            <w:rPr>
              <w:b/>
              <w:sz w:val="32"/>
              <w:szCs w:val="32"/>
              <w:highlight w:val="none"/>
            </w:rPr>
          </w:pPr>
          <w:r>
            <w:rPr>
              <w:b/>
              <w:sz w:val="28"/>
              <w:szCs w:val="28"/>
              <w:highlight w:val="none"/>
            </w:rPr>
            <w:fldChar w:fldCharType="end"/>
          </w:r>
        </w:p>
      </w:sdtContent>
    </w:sdt>
    <w:p w14:paraId="4892B40B">
      <w:pPr>
        <w:rPr>
          <w:b/>
          <w:highlight w:val="none"/>
        </w:rPr>
      </w:pPr>
    </w:p>
    <w:p w14:paraId="36CC3B1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fill="auto"/>
          <w:lang w:val="en-US" w:eastAsia="zh-CN" w:bidi="ar-SA"/>
        </w:rPr>
      </w:pPr>
      <w:bookmarkStart w:id="25" w:name="_Toc8352"/>
    </w:p>
    <w:p w14:paraId="13C38D8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fill="auto"/>
          <w:lang w:val="en-US" w:eastAsia="zh-CN" w:bidi="ar-SA"/>
        </w:rPr>
      </w:pPr>
    </w:p>
    <w:p w14:paraId="72F2E2E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fill="auto"/>
          <w:lang w:val="en-US" w:eastAsia="zh-CN" w:bidi="ar-SA"/>
        </w:rPr>
        <w:sectPr>
          <w:footerReference r:id="rId5"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p w14:paraId="295045E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 w:hAnsi="仿宋" w:eastAsia="仿宋" w:cs="仿宋"/>
          <w:i w:val="0"/>
          <w:iCs w:val="0"/>
          <w:color w:val="auto"/>
          <w:kern w:val="0"/>
          <w:sz w:val="28"/>
          <w:szCs w:val="28"/>
          <w:highlight w:val="none"/>
        </w:rPr>
      </w:pPr>
      <w:r>
        <w:rPr>
          <w:rFonts w:hint="eastAsia" w:ascii="仿宋_GB2312" w:hAnsi="仿宋_GB2312" w:eastAsia="仿宋_GB2312" w:cs="仿宋_GB2312"/>
          <w:b/>
          <w:bCs/>
          <w:i w:val="0"/>
          <w:iCs w:val="0"/>
          <w:color w:val="auto"/>
          <w:kern w:val="0"/>
          <w:sz w:val="28"/>
          <w:szCs w:val="28"/>
          <w:highlight w:val="none"/>
          <w:shd w:val="clear" w:fill="auto"/>
          <w:lang w:val="en-US" w:eastAsia="zh-CN" w:bidi="ar-SA"/>
        </w:rPr>
        <w:t xml:space="preserve">第一部分 </w:t>
      </w: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23"/>
      <w:bookmarkEnd w:id="24"/>
      <w:bookmarkEnd w:id="25"/>
    </w:p>
    <w:p w14:paraId="3C037E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乙方确认并承诺满足本项目所在地住建主管部门的资质要求的前提下，甲乙双方在平等、自愿、公平和诚实信用的基础上，就乙方承包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val="en-US" w:eastAsia="zh-CN"/>
        </w:rPr>
        <w:t>东莞市麻涌镇豪丰电镀、印染专业基地集中污水处理厂二期工程深度处理池桩基础工程</w:t>
      </w:r>
      <w:r>
        <w:rPr>
          <w:rFonts w:hint="eastAsia" w:ascii="仿宋" w:hAnsi="仿宋" w:eastAsia="仿宋" w:cs="仿宋"/>
          <w:i w:val="0"/>
          <w:iCs w:val="0"/>
          <w:color w:val="auto"/>
          <w:kern w:val="0"/>
          <w:sz w:val="28"/>
          <w:szCs w:val="28"/>
          <w:highlight w:val="none"/>
          <w:shd w:val="clear" w:color="auto" w:fill="auto"/>
        </w:rPr>
        <w:t>（以下简称“本工程”）有关事项协商一致，特签订本合同以共同遵守。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w:t>
      </w:r>
      <w:r>
        <w:rPr>
          <w:rFonts w:hint="eastAsia" w:ascii="仿宋" w:hAnsi="仿宋" w:eastAsia="仿宋" w:cs="仿宋"/>
          <w:i w:val="0"/>
          <w:iCs w:val="0"/>
          <w:color w:val="auto"/>
          <w:kern w:val="0"/>
          <w:sz w:val="28"/>
          <w:szCs w:val="28"/>
          <w:highlight w:val="none"/>
          <w:u w:val="none"/>
          <w:shd w:val="clear" w:color="auto" w:fill="auto"/>
          <w:lang w:val="en-US" w:eastAsia="zh-CN"/>
        </w:rPr>
        <w:t>以</w:t>
      </w:r>
      <w:r>
        <w:rPr>
          <w:rFonts w:hint="eastAsia" w:ascii="仿宋" w:hAnsi="仿宋" w:eastAsia="仿宋" w:cs="仿宋"/>
          <w:b/>
          <w:bCs/>
          <w:i w:val="0"/>
          <w:iCs w:val="0"/>
          <w:color w:val="auto"/>
          <w:sz w:val="28"/>
          <w:szCs w:val="28"/>
          <w:highlight w:val="none"/>
          <w:u w:val="none"/>
          <w:lang w:val="en-US" w:eastAsia="zh-CN"/>
        </w:rPr>
        <w:sym w:font="Wingdings" w:char="00FE"/>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27107B16">
      <w:pPr>
        <w:keepNext w:val="0"/>
        <w:keepLines w:val="0"/>
        <w:pageBreakBefore w:val="0"/>
        <w:widowControl w:val="0"/>
        <w:shd w:val="clear" w:color="auto" w:fill="auto"/>
        <w:tabs>
          <w:tab w:val="left" w:pos="2205"/>
          <w:tab w:val="left" w:pos="2760"/>
        </w:tabs>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bookmarkStart w:id="26" w:name="_Toc26146"/>
      <w:bookmarkStart w:id="27" w:name="_Toc13255"/>
      <w:bookmarkStart w:id="28" w:name="_Toc22421"/>
      <w:bookmarkStart w:id="29" w:name="_Toc6787"/>
      <w:bookmarkStart w:id="30" w:name="_Toc1208"/>
      <w:bookmarkStart w:id="31" w:name="_Toc20382"/>
      <w:bookmarkStart w:id="32" w:name="_Toc29681"/>
      <w:r>
        <w:rPr>
          <w:rFonts w:hint="eastAsia" w:ascii="仿宋" w:hAnsi="仿宋" w:eastAsia="仿宋" w:cs="仿宋"/>
          <w:b/>
          <w:bCs/>
          <w:i w:val="0"/>
          <w:iCs w:val="0"/>
          <w:color w:val="auto"/>
          <w:sz w:val="28"/>
          <w:szCs w:val="28"/>
          <w:highlight w:val="none"/>
          <w:lang w:val="en-US" w:eastAsia="zh-CN"/>
        </w:rPr>
        <w:t>第一章、项目概况</w:t>
      </w:r>
      <w:bookmarkEnd w:id="26"/>
      <w:bookmarkEnd w:id="27"/>
      <w:bookmarkEnd w:id="28"/>
      <w:bookmarkEnd w:id="29"/>
      <w:bookmarkEnd w:id="30"/>
      <w:bookmarkEnd w:id="31"/>
      <w:r>
        <w:rPr>
          <w:rFonts w:hint="eastAsia" w:ascii="仿宋" w:hAnsi="仿宋" w:eastAsia="仿宋" w:cs="仿宋"/>
          <w:b/>
          <w:bCs/>
          <w:color w:val="auto"/>
          <w:sz w:val="28"/>
          <w:szCs w:val="28"/>
          <w:highlight w:val="none"/>
          <w:lang w:val="en-US" w:eastAsia="zh-CN"/>
        </w:rPr>
        <w:t xml:space="preserve"> </w:t>
      </w:r>
      <w:bookmarkEnd w:id="32"/>
    </w:p>
    <w:p w14:paraId="14593C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东莞市麻涌镇豪丰电镀、印染专业基地集中污水处理厂二期工程深度处理池</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p>
    <w:p w14:paraId="231E8F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项目地址：</w:t>
      </w:r>
      <w:r>
        <w:rPr>
          <w:rFonts w:hint="eastAsia" w:ascii="仿宋" w:hAnsi="仿宋" w:eastAsia="仿宋" w:cs="仿宋"/>
          <w:i w:val="0"/>
          <w:iCs w:val="0"/>
          <w:color w:val="auto"/>
          <w:sz w:val="28"/>
          <w:szCs w:val="28"/>
          <w:highlight w:val="none"/>
          <w:u w:val="single"/>
          <w:shd w:val="clear" w:color="auto" w:fill="auto"/>
          <w:lang w:val="en-US" w:eastAsia="zh-CN"/>
        </w:rPr>
        <w:t xml:space="preserve"> 东莞市麻涌镇麻三村第二涌桥豪丰工业园</w:t>
      </w:r>
    </w:p>
    <w:p w14:paraId="4BEB96F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w:t>
      </w:r>
      <w:r>
        <w:rPr>
          <w:rFonts w:hint="eastAsia" w:ascii="仿宋" w:hAnsi="仿宋" w:eastAsia="仿宋" w:cs="仿宋"/>
          <w:i w:val="0"/>
          <w:iCs w:val="0"/>
          <w:color w:val="auto"/>
          <w:sz w:val="28"/>
          <w:szCs w:val="28"/>
          <w:highlight w:val="none"/>
          <w:u w:val="single"/>
          <w:shd w:val="clear" w:color="auto" w:fill="auto"/>
          <w:lang w:val="en-US" w:eastAsia="zh-CN"/>
        </w:rPr>
        <w:t xml:space="preserve"> 无 </w:t>
      </w:r>
      <w:r>
        <w:rPr>
          <w:rFonts w:hint="eastAsia" w:ascii="仿宋" w:hAnsi="仿宋" w:eastAsia="仿宋" w:cs="仿宋"/>
          <w:i w:val="0"/>
          <w:iCs w:val="0"/>
          <w:color w:val="auto"/>
          <w:sz w:val="28"/>
          <w:szCs w:val="28"/>
          <w:highlight w:val="none"/>
          <w:u w:val="none"/>
          <w:shd w:val="clear" w:color="auto" w:fill="auto"/>
          <w:lang w:val="en-US" w:eastAsia="zh-CN"/>
        </w:rPr>
        <w:t xml:space="preserve">                </w:t>
      </w:r>
    </w:p>
    <w:p w14:paraId="2395A5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bCs/>
          <w:i w:val="0"/>
          <w:iCs w:val="0"/>
          <w:color w:val="auto"/>
          <w:sz w:val="28"/>
          <w:szCs w:val="28"/>
          <w:highlight w:val="none"/>
          <w:u w:val="none"/>
          <w:shd w:val="clear" w:color="auto" w:fill="auto"/>
          <w:lang w:val="en-US" w:eastAsia="zh-CN"/>
        </w:rPr>
      </w:pPr>
      <w:bookmarkStart w:id="33" w:name="_Toc7717"/>
      <w:bookmarkStart w:id="34" w:name="_Toc9670"/>
      <w:bookmarkStart w:id="35" w:name="_Toc27213"/>
      <w:r>
        <w:rPr>
          <w:rFonts w:hint="eastAsia" w:ascii="仿宋" w:hAnsi="仿宋" w:eastAsia="仿宋" w:cs="仿宋"/>
          <w:i w:val="0"/>
          <w:iCs w:val="0"/>
          <w:color w:val="auto"/>
          <w:sz w:val="28"/>
          <w:szCs w:val="28"/>
          <w:highlight w:val="none"/>
          <w:u w:val="none"/>
          <w:shd w:val="clear" w:color="auto" w:fill="auto"/>
          <w:lang w:val="en-US" w:eastAsia="zh-CN"/>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w:t>
      </w:r>
      <w:r>
        <w:rPr>
          <w:rFonts w:hint="eastAsia" w:ascii="仿宋" w:hAnsi="仿宋" w:eastAsia="仿宋" w:cs="仿宋"/>
          <w:b/>
          <w:bCs/>
          <w:i w:val="0"/>
          <w:iCs w:val="0"/>
          <w:color w:val="auto"/>
          <w:sz w:val="28"/>
          <w:szCs w:val="28"/>
          <w:highlight w:val="none"/>
          <w:u w:val="single"/>
          <w:shd w:val="clear" w:color="auto" w:fill="auto"/>
          <w:lang w:val="en-US" w:eastAsia="zh-CN"/>
        </w:rPr>
        <w:t>乙方人员食宿由乙方自行承担。本工程施工的水费、电费由甲方承担（水电接线由乙方负责），但乙方人员的生活水电费由乙方承担且已含于合同单价中，不另行单列计费。</w:t>
      </w:r>
    </w:p>
    <w:p w14:paraId="565A60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36" w:name="_Toc25766"/>
      <w:bookmarkStart w:id="37" w:name="_Toc18772"/>
      <w:bookmarkStart w:id="38" w:name="_Toc21896"/>
      <w:bookmarkStart w:id="39" w:name="_Toc2920"/>
      <w:r>
        <w:rPr>
          <w:rFonts w:hint="eastAsia" w:ascii="仿宋" w:hAnsi="仿宋" w:eastAsia="仿宋" w:cs="仿宋"/>
          <w:b/>
          <w:bCs/>
          <w:i w:val="0"/>
          <w:iCs w:val="0"/>
          <w:color w:val="auto"/>
          <w:kern w:val="2"/>
          <w:sz w:val="28"/>
          <w:szCs w:val="28"/>
          <w:highlight w:val="none"/>
          <w:shd w:val="clear" w:color="auto" w:fill="auto"/>
          <w:lang w:val="en-US" w:eastAsia="zh-CN" w:bidi="ar-SA"/>
        </w:rPr>
        <w:t>第二章、</w:t>
      </w:r>
      <w:r>
        <w:rPr>
          <w:rFonts w:hint="eastAsia" w:ascii="仿宋" w:hAnsi="仿宋" w:eastAsia="仿宋" w:cs="仿宋"/>
          <w:b/>
          <w:bCs/>
          <w:i w:val="0"/>
          <w:iCs w:val="0"/>
          <w:color w:val="auto"/>
          <w:sz w:val="28"/>
          <w:szCs w:val="28"/>
          <w:highlight w:val="none"/>
          <w:shd w:val="clear" w:color="auto" w:fill="auto"/>
          <w:lang w:val="en-US" w:eastAsia="zh-CN"/>
        </w:rPr>
        <w:t>承包方式</w:t>
      </w:r>
      <w:bookmarkEnd w:id="33"/>
      <w:bookmarkEnd w:id="36"/>
      <w:bookmarkEnd w:id="37"/>
      <w:bookmarkEnd w:id="38"/>
      <w:bookmarkEnd w:id="39"/>
    </w:p>
    <w:p w14:paraId="3A77975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eastAsia" w:ascii="仿宋" w:hAnsi="仿宋" w:eastAsia="仿宋" w:cs="仿宋"/>
          <w:i w:val="0"/>
          <w:iCs w:val="0"/>
          <w:color w:val="auto"/>
          <w:kern w:val="0"/>
          <w:sz w:val="28"/>
          <w:szCs w:val="28"/>
          <w:highlight w:val="none"/>
          <w:shd w:val="clear" w:color="auto" w:fill="auto"/>
          <w:lang w:val="en-US" w:eastAsia="zh-CN"/>
        </w:rPr>
      </w:pPr>
      <w:bookmarkStart w:id="40" w:name="_Toc7503"/>
      <w:bookmarkStart w:id="41" w:name="_Toc14349"/>
      <w:bookmarkStart w:id="42" w:name="_Toc16964"/>
      <w:bookmarkStart w:id="43" w:name="_Toc13008"/>
      <w:bookmarkStart w:id="44" w:name="_Toc28113"/>
      <w:bookmarkStart w:id="45" w:name="_Toc12606"/>
      <w:bookmarkStart w:id="46" w:name="_Toc16680"/>
      <w:r>
        <w:rPr>
          <w:rFonts w:hint="eastAsia" w:ascii="仿宋" w:hAnsi="仿宋" w:eastAsia="仿宋" w:cs="仿宋"/>
          <w:i w:val="0"/>
          <w:iCs w:val="0"/>
          <w:color w:val="auto"/>
          <w:sz w:val="28"/>
          <w:szCs w:val="28"/>
          <w:highlight w:val="none"/>
          <w:u w:val="none"/>
          <w:shd w:val="clear" w:color="auto" w:fill="auto"/>
          <w:lang w:val="en-US" w:eastAsia="zh-CN"/>
        </w:rPr>
        <w:t>2.1乙方对本工程</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bCs/>
          <w:color w:val="auto"/>
          <w:sz w:val="28"/>
          <w:szCs w:val="28"/>
          <w:highlight w:val="none"/>
          <w:u w:val="none"/>
          <w:lang w:val="en-US" w:eastAsia="zh-CN"/>
        </w:rPr>
        <w:t>包工包料</w:t>
      </w:r>
      <w:r>
        <w:rPr>
          <w:rFonts w:hint="eastAsia" w:ascii="仿宋" w:hAnsi="仿宋" w:eastAsia="仿宋" w:cs="仿宋"/>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bCs/>
          <w:i w:val="0"/>
          <w:iCs w:val="0"/>
          <w:color w:val="auto"/>
          <w:kern w:val="0"/>
          <w:sz w:val="28"/>
          <w:szCs w:val="28"/>
          <w:highlight w:val="none"/>
          <w:u w:val="none"/>
          <w:shd w:val="clear" w:color="auto" w:fill="auto"/>
          <w:lang w:val="en-US" w:eastAsia="zh-CN"/>
        </w:rPr>
        <w:t>包工部分材料（仅不含甲供材）、</w:t>
      </w:r>
      <w:r>
        <w:rPr>
          <w:rFonts w:hint="eastAsia" w:ascii="仿宋" w:hAnsi="仿宋" w:eastAsia="仿宋" w:cs="仿宋"/>
          <w:i w:val="0"/>
          <w:iCs w:val="0"/>
          <w:color w:val="auto"/>
          <w:kern w:val="0"/>
          <w:sz w:val="28"/>
          <w:szCs w:val="28"/>
          <w:highlight w:val="none"/>
          <w:shd w:val="clear" w:color="auto" w:fill="auto"/>
          <w:lang w:val="en-US" w:eastAsia="zh-CN"/>
        </w:rPr>
        <w:t>包所有机械设备及进退场、包材料场内转运、包检测人员接待、包工期、包一切措施、包质量、包各种风险、包保险、包断桩处理、</w:t>
      </w:r>
      <w:r>
        <w:rPr>
          <w:rFonts w:hint="eastAsia" w:ascii="仿宋" w:hAnsi="仿宋" w:eastAsia="仿宋" w:cs="仿宋"/>
          <w:b/>
          <w:bCs/>
          <w:i w:val="0"/>
          <w:iCs w:val="0"/>
          <w:color w:val="auto"/>
          <w:kern w:val="0"/>
          <w:sz w:val="28"/>
          <w:szCs w:val="28"/>
          <w:highlight w:val="none"/>
          <w:shd w:val="clear" w:color="auto" w:fill="auto"/>
          <w:lang w:val="en-US" w:eastAsia="zh-CN"/>
        </w:rPr>
        <w:t>包试桩（开工前、后）、包塔吊基础桩施工、包配合桩基检测、</w:t>
      </w:r>
      <w:r>
        <w:rPr>
          <w:rFonts w:hint="eastAsia" w:ascii="仿宋" w:hAnsi="仿宋" w:eastAsia="仿宋" w:cs="仿宋"/>
          <w:i w:val="0"/>
          <w:iCs w:val="0"/>
          <w:color w:val="auto"/>
          <w:kern w:val="0"/>
          <w:sz w:val="28"/>
          <w:szCs w:val="28"/>
          <w:highlight w:val="none"/>
          <w:shd w:val="clear" w:color="auto" w:fill="auto"/>
          <w:lang w:val="en-US" w:eastAsia="zh-CN"/>
        </w:rPr>
        <w:t>包现场记录资料、包测量放线、包安全、包锯凿桩头及垃圾外运、包桩长度不够时接桩（含接桩产生的所有费用）、包因为桩长度达不到设计要求而导致的降低承台等处理措施所需的所有费用、包验收合格、包桩基检测通过（包括所有第三方材料检测）、包质量问题的处理、包管理、包利润、包税金、包材料人工价格上涨、包其他工种配合可能产生的降效及所涉费用、包配置管桩长度、包进行管桩材料验收、包协调处理本工程涉及的各类关系（包括但不限于政府主管部门、周边居民等关系）和费用，包本工程施工过程中所涉及的一切风险因素及全部内容及费用。</w:t>
      </w:r>
      <w:bookmarkEnd w:id="40"/>
      <w:bookmarkEnd w:id="41"/>
      <w:bookmarkEnd w:id="42"/>
      <w:bookmarkEnd w:id="43"/>
      <w:bookmarkEnd w:id="44"/>
      <w:bookmarkEnd w:id="45"/>
    </w:p>
    <w:p w14:paraId="2E0D38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2.2本工程竣工图由</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甲方绘制/</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乙方绘制</w:t>
      </w:r>
    </w:p>
    <w:bookmarkEnd w:id="46"/>
    <w:p w14:paraId="615CCC3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default" w:ascii="仿宋" w:hAnsi="仿宋" w:eastAsia="仿宋" w:cs="仿宋"/>
          <w:i w:val="0"/>
          <w:iCs w:val="0"/>
          <w:color w:val="auto"/>
          <w:sz w:val="28"/>
          <w:szCs w:val="28"/>
          <w:highlight w:val="none"/>
          <w:u w:val="single"/>
          <w:shd w:val="clear" w:color="auto" w:fill="auto"/>
          <w:lang w:val="en-US" w:eastAsia="zh-CN"/>
        </w:rPr>
      </w:pPr>
      <w:bookmarkStart w:id="47" w:name="_Toc4926"/>
      <w:bookmarkStart w:id="48" w:name="_Toc23729"/>
      <w:bookmarkStart w:id="49" w:name="_Toc15219"/>
      <w:bookmarkStart w:id="50" w:name="_Toc24928"/>
      <w:bookmarkStart w:id="51" w:name="_Toc28974"/>
      <w:r>
        <w:rPr>
          <w:rFonts w:hint="eastAsia" w:ascii="仿宋" w:hAnsi="仿宋" w:eastAsia="仿宋" w:cs="仿宋"/>
          <w:i w:val="0"/>
          <w:iCs w:val="0"/>
          <w:color w:val="auto"/>
          <w:sz w:val="28"/>
          <w:szCs w:val="28"/>
          <w:highlight w:val="none"/>
          <w:u w:val="none"/>
          <w:shd w:val="clear" w:color="auto" w:fill="auto"/>
          <w:lang w:val="en-US" w:eastAsia="zh-CN"/>
        </w:rPr>
        <w:t>2.3管桩品牌：</w:t>
      </w:r>
      <w:bookmarkEnd w:id="47"/>
      <w:r>
        <w:rPr>
          <w:rFonts w:hint="eastAsia" w:ascii="仿宋" w:hAnsi="仿宋" w:eastAsia="仿宋" w:cs="仿宋"/>
          <w:i w:val="0"/>
          <w:iCs w:val="0"/>
          <w:color w:val="auto"/>
          <w:sz w:val="28"/>
          <w:szCs w:val="28"/>
          <w:highlight w:val="none"/>
          <w:u w:val="single"/>
          <w:shd w:val="clear" w:color="auto" w:fill="auto"/>
          <w:lang w:val="en-US" w:eastAsia="zh-CN"/>
        </w:rPr>
        <w:t xml:space="preserve"> （按定标结果填写）       </w:t>
      </w:r>
    </w:p>
    <w:p w14:paraId="5F50E8C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2" w:name="_Toc27160"/>
      <w:r>
        <w:rPr>
          <w:rFonts w:hint="eastAsia" w:ascii="仿宋" w:hAnsi="仿宋" w:eastAsia="仿宋" w:cs="仿宋"/>
          <w:b/>
          <w:bCs/>
          <w:i w:val="0"/>
          <w:iCs w:val="0"/>
          <w:color w:val="auto"/>
          <w:kern w:val="2"/>
          <w:sz w:val="28"/>
          <w:szCs w:val="28"/>
          <w:highlight w:val="none"/>
          <w:shd w:val="clear" w:color="auto" w:fill="auto"/>
          <w:lang w:val="en-US" w:eastAsia="zh-CN" w:bidi="ar-SA"/>
        </w:rPr>
        <w:t>第三章、</w:t>
      </w:r>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48"/>
      <w:bookmarkEnd w:id="49"/>
      <w:bookmarkEnd w:id="50"/>
      <w:bookmarkEnd w:id="51"/>
      <w:bookmarkEnd w:id="52"/>
    </w:p>
    <w:bookmarkEnd w:id="34"/>
    <w:bookmarkEnd w:id="35"/>
    <w:p w14:paraId="7D414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3.1本项目用地红线范围内桩基础工程内容和本工程图纸里的内容及相关工作由乙方承包，具体包括但不限于</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b w:val="0"/>
          <w:bCs w:val="0"/>
          <w:i w:val="0"/>
          <w:iCs w:val="0"/>
          <w:color w:val="auto"/>
          <w:sz w:val="28"/>
          <w:szCs w:val="28"/>
          <w:highlight w:val="none"/>
          <w:u w:val="single"/>
          <w:lang w:val="en-US" w:eastAsia="zh-CN"/>
        </w:rPr>
        <w:t>本项目所有建构筑物及塔吊基础的管桩施工</w:t>
      </w:r>
      <w:r>
        <w:rPr>
          <w:rFonts w:hint="eastAsia" w:ascii="仿宋" w:hAnsi="仿宋" w:eastAsia="仿宋" w:cs="仿宋"/>
          <w:b w:val="0"/>
          <w:bCs w:val="0"/>
          <w:i w:val="0"/>
          <w:iCs w:val="0"/>
          <w:color w:val="auto"/>
          <w:sz w:val="28"/>
          <w:szCs w:val="28"/>
          <w:highlight w:val="none"/>
          <w:lang w:val="en-US" w:eastAsia="zh-CN"/>
        </w:rPr>
        <w:t>，施工范围以图纸、规范及甲方要求为准。本工程施工过程中产生的全部人员报酬、材料（本合同约定的甲供材除外）、机械设备（含进退场费、材料设备装卸搬运及保管等）、机具、安全文明施工措施、施工管理等由乙方解决。</w:t>
      </w:r>
    </w:p>
    <w:p w14:paraId="06E48B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i w:val="0"/>
          <w:iCs w:val="0"/>
          <w:color w:val="auto"/>
          <w:sz w:val="28"/>
          <w:szCs w:val="28"/>
          <w:highlight w:val="none"/>
          <w:lang w:val="en-US" w:eastAsia="zh-CN"/>
        </w:rPr>
      </w:pPr>
      <w:bookmarkStart w:id="53" w:name="_Toc15548"/>
      <w:bookmarkStart w:id="54" w:name="_Toc15468"/>
      <w:r>
        <w:rPr>
          <w:rFonts w:hint="eastAsia" w:ascii="仿宋" w:hAnsi="仿宋" w:eastAsia="仿宋" w:cs="仿宋"/>
          <w:b w:val="0"/>
          <w:bCs w:val="0"/>
          <w:i w:val="0"/>
          <w:iCs w:val="0"/>
          <w:color w:val="auto"/>
          <w:sz w:val="28"/>
          <w:szCs w:val="28"/>
          <w:highlight w:val="none"/>
          <w:lang w:val="en-US" w:eastAsia="zh-CN"/>
        </w:rPr>
        <w:t>3.2乙方保证用于本工程的</w:t>
      </w:r>
      <w:r>
        <w:rPr>
          <w:rFonts w:hint="eastAsia" w:ascii="仿宋" w:hAnsi="仿宋" w:eastAsia="仿宋" w:cs="仿宋"/>
          <w:b w:val="0"/>
          <w:bCs w:val="0"/>
          <w:i w:val="0"/>
          <w:iCs w:val="0"/>
          <w:color w:val="auto"/>
          <w:sz w:val="28"/>
          <w:szCs w:val="28"/>
          <w:highlight w:val="none"/>
          <w:u w:val="single"/>
          <w:lang w:val="en-US" w:eastAsia="zh-CN"/>
        </w:rPr>
        <w:t xml:space="preserve"> 锤击 </w:t>
      </w:r>
      <w:r>
        <w:rPr>
          <w:rFonts w:hint="eastAsia" w:ascii="仿宋" w:hAnsi="仿宋" w:eastAsia="仿宋" w:cs="仿宋"/>
          <w:b w:val="0"/>
          <w:bCs w:val="0"/>
          <w:i w:val="0"/>
          <w:iCs w:val="0"/>
          <w:color w:val="auto"/>
          <w:sz w:val="28"/>
          <w:szCs w:val="28"/>
          <w:highlight w:val="none"/>
          <w:lang w:val="en-US" w:eastAsia="zh-CN"/>
        </w:rPr>
        <w:t>桩机不少于</w:t>
      </w:r>
      <w:r>
        <w:rPr>
          <w:rFonts w:hint="eastAsia" w:ascii="仿宋" w:hAnsi="仿宋" w:eastAsia="仿宋" w:cs="仿宋"/>
          <w:b w:val="0"/>
          <w:bCs w:val="0"/>
          <w:i w:val="0"/>
          <w:iCs w:val="0"/>
          <w:color w:val="auto"/>
          <w:sz w:val="28"/>
          <w:szCs w:val="28"/>
          <w:highlight w:val="none"/>
          <w:u w:val="single"/>
          <w:lang w:val="en-US" w:eastAsia="zh-CN"/>
        </w:rPr>
        <w:t xml:space="preserve"> 1 </w:t>
      </w:r>
      <w:r>
        <w:rPr>
          <w:rFonts w:hint="eastAsia" w:ascii="仿宋" w:hAnsi="仿宋" w:eastAsia="仿宋" w:cs="仿宋"/>
          <w:i w:val="0"/>
          <w:iCs w:val="0"/>
          <w:color w:val="auto"/>
          <w:sz w:val="28"/>
          <w:szCs w:val="28"/>
          <w:highlight w:val="none"/>
          <w:lang w:val="en-US" w:eastAsia="zh-CN"/>
        </w:rPr>
        <w:t>台，且以满足甲方工期为准，并可随时增加、减少桩机及配套设备，机械设备型号必须满足本工程设计要求。</w:t>
      </w:r>
    </w:p>
    <w:p w14:paraId="1691665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3.3桩机等施工机械设备从工地大门进入工地各点位时，乙方自备钢板铺路等，相关费用已包含在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合同总价内，不另行计取。</w:t>
      </w:r>
    </w:p>
    <w:p w14:paraId="467E912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3.4桩机等施工机械设备行走过程中，如遇地面塌陷由乙方自行解决，相关费用已包含在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合同总价内，不另行计取。</w:t>
      </w:r>
    </w:p>
    <w:p w14:paraId="42E2C6D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3.5乙方必须采用专门送桩器，不得采用桩送桩，相关费用已包含在本合同单价内，不另行计取。</w:t>
      </w:r>
    </w:p>
    <w:p w14:paraId="5BFE3F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3.6爆桩产生的费用已综合考虑在合同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价内，不另行计取。合同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价包括现场施工损坏的防尘网再次覆盖（防尘网再次覆盖至本工程施工结束）费用，包括截桩头费用。</w:t>
      </w:r>
    </w:p>
    <w:p w14:paraId="7D54B46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3.7合同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w:t>
      </w:r>
      <w:r>
        <w:rPr>
          <w:rFonts w:hint="eastAsia" w:ascii="仿宋" w:hAnsi="仿宋" w:eastAsia="仿宋" w:cs="仿宋"/>
          <w:color w:val="auto"/>
          <w:sz w:val="28"/>
          <w:szCs w:val="28"/>
          <w:highlight w:val="none"/>
          <w:lang w:val="en-US" w:eastAsia="zh-CN"/>
        </w:rPr>
        <w:t>包括管桩因卸货不到位导致的二次转运费用。乙方自行解决管桩材料的卸货、二次转运。</w:t>
      </w:r>
    </w:p>
    <w:p w14:paraId="3A142B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3.8本工程全部抽水属乙方责任，费用已包含在合同单价内，不另计费。</w:t>
      </w:r>
    </w:p>
    <w:p w14:paraId="17C1431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3.9提供管桩进场验收所需的混凝土回弹仪。</w:t>
      </w:r>
    </w:p>
    <w:p w14:paraId="236AE6DB">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bookmarkStart w:id="55" w:name="_Toc13666"/>
      <w:bookmarkStart w:id="56" w:name="_Toc12906"/>
      <w:bookmarkStart w:id="57" w:name="_Toc29520"/>
      <w:bookmarkStart w:id="58" w:name="_Toc27260"/>
      <w:bookmarkStart w:id="59" w:name="_Toc14197"/>
      <w:r>
        <w:rPr>
          <w:rFonts w:hint="eastAsia" w:ascii="仿宋" w:hAnsi="仿宋" w:eastAsia="仿宋" w:cs="仿宋"/>
          <w:b/>
          <w:bCs/>
          <w:i w:val="0"/>
          <w:iCs w:val="0"/>
          <w:color w:val="auto"/>
          <w:sz w:val="28"/>
          <w:szCs w:val="28"/>
          <w:highlight w:val="none"/>
          <w:lang w:val="en-US" w:eastAsia="zh-CN"/>
        </w:rPr>
        <w:t>工期</w:t>
      </w:r>
      <w:bookmarkEnd w:id="53"/>
      <w:bookmarkEnd w:id="54"/>
      <w:bookmarkEnd w:id="55"/>
      <w:bookmarkEnd w:id="56"/>
      <w:bookmarkEnd w:id="57"/>
      <w:bookmarkEnd w:id="58"/>
      <w:bookmarkEnd w:id="59"/>
    </w:p>
    <w:p w14:paraId="760DBC6C">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560" w:firstLineChars="200"/>
        <w:textAlignment w:val="auto"/>
        <w:rPr>
          <w:rFonts w:hint="eastAsia" w:ascii="仿宋" w:hAnsi="仿宋" w:eastAsia="仿宋" w:cs="仿宋"/>
          <w:color w:val="auto"/>
          <w:sz w:val="28"/>
          <w:szCs w:val="28"/>
          <w:highlight w:val="none"/>
        </w:rPr>
      </w:pPr>
      <w:bookmarkStart w:id="60" w:name="_Toc11275"/>
      <w:bookmarkStart w:id="61" w:name="_Toc9456"/>
      <w:bookmarkStart w:id="62" w:name="_Toc9090"/>
      <w:bookmarkStart w:id="63" w:name="_Toc10976"/>
      <w:bookmarkStart w:id="64" w:name="_Toc19252"/>
      <w:bookmarkStart w:id="65" w:name="_Toc2060"/>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详见下表</w:t>
      </w:r>
    </w:p>
    <w:tbl>
      <w:tblPr>
        <w:tblStyle w:val="17"/>
        <w:tblW w:w="48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2616"/>
        <w:gridCol w:w="1446"/>
        <w:gridCol w:w="2129"/>
        <w:gridCol w:w="1927"/>
        <w:gridCol w:w="750"/>
      </w:tblGrid>
      <w:tr w14:paraId="137D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279" w:type="pct"/>
            <w:tcBorders>
              <w:tl2br w:val="nil"/>
              <w:tr2bl w:val="nil"/>
            </w:tcBorders>
            <w:noWrap/>
            <w:tcMar>
              <w:top w:w="15" w:type="dxa"/>
              <w:left w:w="15" w:type="dxa"/>
              <w:right w:w="15" w:type="dxa"/>
            </w:tcMar>
            <w:vAlign w:val="center"/>
          </w:tcPr>
          <w:p w14:paraId="15E275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392" w:type="pct"/>
            <w:tcBorders>
              <w:tl2br w:val="nil"/>
              <w:tr2bl w:val="nil"/>
            </w:tcBorders>
            <w:noWrap/>
            <w:tcMar>
              <w:top w:w="15" w:type="dxa"/>
              <w:left w:w="15" w:type="dxa"/>
              <w:right w:w="15" w:type="dxa"/>
            </w:tcMar>
            <w:vAlign w:val="center"/>
          </w:tcPr>
          <w:p w14:paraId="26DD19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工程名称</w:t>
            </w:r>
          </w:p>
        </w:tc>
        <w:tc>
          <w:tcPr>
            <w:tcW w:w="769" w:type="pct"/>
            <w:tcBorders>
              <w:tl2br w:val="nil"/>
              <w:tr2bl w:val="nil"/>
            </w:tcBorders>
            <w:noWrap/>
            <w:tcMar>
              <w:top w:w="15" w:type="dxa"/>
              <w:left w:w="15" w:type="dxa"/>
              <w:right w:w="15" w:type="dxa"/>
            </w:tcMar>
            <w:vAlign w:val="center"/>
          </w:tcPr>
          <w:p w14:paraId="2AD8FF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工期天数</w:t>
            </w:r>
          </w:p>
        </w:tc>
        <w:tc>
          <w:tcPr>
            <w:tcW w:w="1133" w:type="pct"/>
            <w:tcBorders>
              <w:tl2br w:val="nil"/>
              <w:tr2bl w:val="nil"/>
            </w:tcBorders>
            <w:noWrap/>
            <w:tcMar>
              <w:top w:w="15" w:type="dxa"/>
              <w:left w:w="15" w:type="dxa"/>
              <w:right w:w="15" w:type="dxa"/>
            </w:tcMar>
            <w:vAlign w:val="center"/>
          </w:tcPr>
          <w:p w14:paraId="5914C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暂定进场开工日期</w:t>
            </w:r>
          </w:p>
        </w:tc>
        <w:tc>
          <w:tcPr>
            <w:tcW w:w="1025" w:type="pct"/>
            <w:tcBorders>
              <w:tl2br w:val="nil"/>
              <w:tr2bl w:val="nil"/>
            </w:tcBorders>
            <w:noWrap/>
            <w:tcMar>
              <w:top w:w="15" w:type="dxa"/>
              <w:left w:w="15" w:type="dxa"/>
              <w:right w:w="15" w:type="dxa"/>
            </w:tcMar>
            <w:vAlign w:val="center"/>
          </w:tcPr>
          <w:p w14:paraId="6E1818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暂定竣工日期</w:t>
            </w:r>
          </w:p>
        </w:tc>
        <w:tc>
          <w:tcPr>
            <w:tcW w:w="399" w:type="pct"/>
            <w:tcBorders>
              <w:tl2br w:val="nil"/>
              <w:tr2bl w:val="nil"/>
            </w:tcBorders>
            <w:noWrap/>
            <w:tcMar>
              <w:top w:w="15" w:type="dxa"/>
              <w:left w:w="15" w:type="dxa"/>
              <w:right w:w="15" w:type="dxa"/>
            </w:tcMar>
            <w:vAlign w:val="center"/>
          </w:tcPr>
          <w:p w14:paraId="077D98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 注</w:t>
            </w:r>
          </w:p>
        </w:tc>
      </w:tr>
      <w:tr w14:paraId="0339A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279" w:type="pct"/>
            <w:tcBorders>
              <w:tl2br w:val="nil"/>
              <w:tr2bl w:val="nil"/>
            </w:tcBorders>
            <w:noWrap/>
            <w:tcMar>
              <w:top w:w="15" w:type="dxa"/>
              <w:left w:w="15" w:type="dxa"/>
              <w:right w:w="15" w:type="dxa"/>
            </w:tcMar>
            <w:vAlign w:val="center"/>
          </w:tcPr>
          <w:p w14:paraId="185CE9B6">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240" w:firstLineChars="10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92" w:type="pct"/>
            <w:tcBorders>
              <w:tl2br w:val="nil"/>
              <w:tr2bl w:val="nil"/>
            </w:tcBorders>
            <w:noWrap/>
            <w:tcMar>
              <w:top w:w="15" w:type="dxa"/>
              <w:left w:w="15" w:type="dxa"/>
              <w:right w:w="15" w:type="dxa"/>
            </w:tcMar>
            <w:vAlign w:val="center"/>
          </w:tcPr>
          <w:p w14:paraId="2EB77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东莞市麻涌镇豪丰电镀、印染专业基地集中污水处理厂二期工程深度处理池桩基础工程</w:t>
            </w:r>
          </w:p>
        </w:tc>
        <w:tc>
          <w:tcPr>
            <w:tcW w:w="769" w:type="pct"/>
            <w:tcBorders>
              <w:tl2br w:val="nil"/>
              <w:tr2bl w:val="nil"/>
            </w:tcBorders>
            <w:noWrap/>
            <w:tcMar>
              <w:top w:w="15" w:type="dxa"/>
              <w:left w:w="15" w:type="dxa"/>
              <w:right w:w="15" w:type="dxa"/>
            </w:tcMar>
            <w:vAlign w:val="center"/>
          </w:tcPr>
          <w:p w14:paraId="0B7E92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30个日历天</w:t>
            </w:r>
          </w:p>
        </w:tc>
        <w:tc>
          <w:tcPr>
            <w:tcW w:w="1133" w:type="pct"/>
            <w:tcBorders>
              <w:tl2br w:val="nil"/>
              <w:tr2bl w:val="nil"/>
            </w:tcBorders>
            <w:noWrap/>
            <w:tcMar>
              <w:top w:w="15" w:type="dxa"/>
              <w:left w:w="15" w:type="dxa"/>
              <w:right w:w="15" w:type="dxa"/>
            </w:tcMar>
            <w:vAlign w:val="center"/>
          </w:tcPr>
          <w:p w14:paraId="16F1CF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2025年8月10日</w:t>
            </w:r>
          </w:p>
        </w:tc>
        <w:tc>
          <w:tcPr>
            <w:tcW w:w="1025" w:type="pct"/>
            <w:tcBorders>
              <w:tl2br w:val="nil"/>
              <w:tr2bl w:val="nil"/>
            </w:tcBorders>
            <w:noWrap/>
            <w:tcMar>
              <w:top w:w="15" w:type="dxa"/>
              <w:left w:w="15" w:type="dxa"/>
              <w:right w:w="15" w:type="dxa"/>
            </w:tcMar>
            <w:vAlign w:val="center"/>
          </w:tcPr>
          <w:p w14:paraId="6BBFA6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highlight w:val="none"/>
              </w:rPr>
            </w:pPr>
            <w:r>
              <w:rPr>
                <w:rFonts w:hint="eastAsia" w:ascii="仿宋" w:hAnsi="仿宋" w:eastAsia="仿宋" w:cs="仿宋"/>
                <w:color w:val="auto"/>
                <w:sz w:val="24"/>
                <w:szCs w:val="24"/>
                <w:highlight w:val="none"/>
                <w:lang w:val="en-US" w:eastAsia="zh-CN"/>
              </w:rPr>
              <w:t>2025年9月8日</w:t>
            </w:r>
          </w:p>
        </w:tc>
        <w:tc>
          <w:tcPr>
            <w:tcW w:w="399" w:type="pct"/>
            <w:tcBorders>
              <w:tl2br w:val="nil"/>
              <w:tr2bl w:val="nil"/>
            </w:tcBorders>
            <w:noWrap/>
            <w:tcMar>
              <w:top w:w="15" w:type="dxa"/>
              <w:left w:w="15" w:type="dxa"/>
              <w:right w:w="15" w:type="dxa"/>
            </w:tcMar>
            <w:vAlign w:val="center"/>
          </w:tcPr>
          <w:p w14:paraId="2E18CFD8">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240" w:firstLineChars="100"/>
              <w:jc w:val="center"/>
              <w:textAlignment w:val="auto"/>
              <w:rPr>
                <w:rFonts w:hint="default" w:ascii="仿宋" w:hAnsi="仿宋" w:eastAsia="仿宋" w:cs="仿宋"/>
                <w:color w:val="auto"/>
                <w:sz w:val="24"/>
                <w:szCs w:val="24"/>
                <w:highlight w:val="none"/>
                <w:lang w:val="en-US" w:eastAsia="zh-CN"/>
              </w:rPr>
            </w:pPr>
          </w:p>
        </w:tc>
      </w:tr>
      <w:bookmarkEnd w:id="60"/>
      <w:bookmarkEnd w:id="61"/>
      <w:bookmarkEnd w:id="62"/>
      <w:bookmarkEnd w:id="63"/>
    </w:tbl>
    <w:p w14:paraId="0848990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color w:val="auto"/>
          <w:szCs w:val="28"/>
          <w:highlight w:val="none"/>
        </w:rPr>
      </w:pPr>
      <w:bookmarkStart w:id="66" w:name="_Toc26751"/>
      <w:bookmarkStart w:id="67" w:name="_Toc14649"/>
      <w:bookmarkStart w:id="68" w:name="_Toc27495"/>
      <w:bookmarkStart w:id="69" w:name="_Toc14717"/>
      <w:bookmarkStart w:id="70" w:name="_Toc9392"/>
      <w:r>
        <w:rPr>
          <w:rFonts w:hint="eastAsia" w:ascii="仿宋" w:hAnsi="仿宋" w:eastAsia="仿宋" w:cs="仿宋"/>
          <w:b/>
          <w:bCs/>
          <w:color w:val="auto"/>
          <w:szCs w:val="28"/>
          <w:highlight w:val="none"/>
          <w:lang w:val="en-US" w:eastAsia="zh-CN"/>
        </w:rPr>
        <w:t>以上工期天数</w:t>
      </w:r>
      <w:r>
        <w:rPr>
          <w:rFonts w:hint="eastAsia" w:ascii="仿宋" w:hAnsi="仿宋" w:eastAsia="仿宋" w:cs="仿宋"/>
          <w:b/>
          <w:bCs/>
          <w:color w:val="auto"/>
          <w:szCs w:val="28"/>
          <w:highlight w:val="none"/>
        </w:rPr>
        <w:t>包含乙</w:t>
      </w:r>
      <w:r>
        <w:rPr>
          <w:rFonts w:hint="eastAsia" w:ascii="仿宋" w:hAnsi="仿宋" w:eastAsia="仿宋" w:cs="仿宋"/>
          <w:b/>
          <w:bCs/>
          <w:color w:val="auto"/>
          <w:szCs w:val="28"/>
          <w:highlight w:val="none"/>
          <w:lang w:val="en-US" w:eastAsia="zh-CN"/>
        </w:rPr>
        <w:t>方采购</w:t>
      </w:r>
      <w:r>
        <w:rPr>
          <w:rFonts w:hint="eastAsia" w:ascii="仿宋" w:hAnsi="仿宋" w:eastAsia="仿宋" w:cs="仿宋"/>
          <w:b/>
          <w:bCs/>
          <w:color w:val="auto"/>
          <w:szCs w:val="28"/>
          <w:highlight w:val="none"/>
        </w:rPr>
        <w:t>材料、设备的货期，</w:t>
      </w:r>
      <w:r>
        <w:rPr>
          <w:rFonts w:hint="eastAsia" w:ascii="仿宋" w:hAnsi="仿宋" w:eastAsia="仿宋" w:cs="仿宋"/>
          <w:b/>
          <w:bCs/>
          <w:color w:val="auto"/>
          <w:szCs w:val="28"/>
          <w:highlight w:val="none"/>
          <w:lang w:val="en-US" w:eastAsia="zh-CN"/>
        </w:rPr>
        <w:t>实际</w:t>
      </w:r>
      <w:r>
        <w:rPr>
          <w:rFonts w:hint="eastAsia" w:ascii="仿宋" w:hAnsi="仿宋" w:eastAsia="仿宋" w:cs="仿宋"/>
          <w:b/>
          <w:bCs/>
          <w:color w:val="auto"/>
          <w:szCs w:val="28"/>
          <w:highlight w:val="none"/>
        </w:rPr>
        <w:t>工期以全面满足甲方要求为准。甲方通知后 24 小时内，乙方项目现场负责人及主要工作人员须进场开始工作，具体</w:t>
      </w:r>
      <w:r>
        <w:rPr>
          <w:rFonts w:hint="eastAsia" w:ascii="仿宋" w:hAnsi="仿宋" w:eastAsia="仿宋" w:cs="仿宋"/>
          <w:b/>
          <w:bCs/>
          <w:color w:val="auto"/>
          <w:szCs w:val="28"/>
          <w:highlight w:val="none"/>
          <w:lang w:val="en-US" w:eastAsia="zh-CN"/>
        </w:rPr>
        <w:t>以</w:t>
      </w:r>
      <w:r>
        <w:rPr>
          <w:rFonts w:hint="eastAsia" w:ascii="仿宋" w:hAnsi="仿宋" w:eastAsia="仿宋" w:cs="仿宋"/>
          <w:b/>
          <w:bCs/>
          <w:color w:val="auto"/>
          <w:szCs w:val="28"/>
          <w:highlight w:val="none"/>
        </w:rPr>
        <w:t>甲方要求为准，</w:t>
      </w:r>
      <w:r>
        <w:rPr>
          <w:rFonts w:hint="eastAsia" w:ascii="仿宋" w:hAnsi="仿宋" w:eastAsia="仿宋" w:cs="仿宋"/>
          <w:b/>
          <w:bCs/>
          <w:color w:val="auto"/>
          <w:szCs w:val="28"/>
          <w:highlight w:val="none"/>
          <w:lang w:val="en-US" w:eastAsia="zh-CN"/>
        </w:rPr>
        <w:t>乙方</w:t>
      </w:r>
      <w:r>
        <w:rPr>
          <w:rFonts w:hint="eastAsia" w:ascii="仿宋" w:hAnsi="仿宋" w:eastAsia="仿宋" w:cs="仿宋"/>
          <w:b/>
          <w:bCs/>
          <w:color w:val="auto"/>
          <w:szCs w:val="28"/>
          <w:highlight w:val="none"/>
        </w:rPr>
        <w:t>必须满足甲方项目工期要求。</w:t>
      </w:r>
    </w:p>
    <w:p w14:paraId="30E5BA6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r>
        <w:rPr>
          <w:rFonts w:hint="eastAsia" w:ascii="仿宋" w:hAnsi="仿宋" w:eastAsia="仿宋" w:cs="仿宋"/>
          <w:b/>
          <w:bCs/>
          <w:color w:val="auto"/>
          <w:szCs w:val="28"/>
          <w:highlight w:val="none"/>
        </w:rPr>
        <w:t>4.2 因甲方原因引起的工期延误（无论时间长短）导致的相关费用和损失，乙方已综合考虑在合同单价里，不向甲方索赔也不要求甲方承担责任。</w:t>
      </w:r>
    </w:p>
    <w:p w14:paraId="783661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kern w:val="2"/>
          <w:sz w:val="28"/>
          <w:szCs w:val="28"/>
          <w:highlight w:val="none"/>
          <w:lang w:val="en-US" w:eastAsia="zh-CN" w:bidi="ar-SA"/>
        </w:rPr>
        <w:t>第五章、</w:t>
      </w:r>
      <w:r>
        <w:rPr>
          <w:rFonts w:hint="eastAsia" w:ascii="仿宋" w:hAnsi="仿宋" w:eastAsia="仿宋" w:cs="仿宋"/>
          <w:b/>
          <w:bCs/>
          <w:i w:val="0"/>
          <w:iCs w:val="0"/>
          <w:color w:val="auto"/>
          <w:sz w:val="28"/>
          <w:szCs w:val="28"/>
          <w:highlight w:val="none"/>
          <w:lang w:val="en-US" w:eastAsia="zh-CN"/>
        </w:rPr>
        <w:t>合同价款</w:t>
      </w:r>
      <w:bookmarkEnd w:id="64"/>
      <w:bookmarkEnd w:id="65"/>
      <w:bookmarkEnd w:id="66"/>
      <w:bookmarkEnd w:id="67"/>
      <w:bookmarkEnd w:id="68"/>
      <w:bookmarkEnd w:id="69"/>
      <w:bookmarkEnd w:id="70"/>
    </w:p>
    <w:p w14:paraId="11A3C3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5.1乙方完成本合同第一部分 合同专用条款第三章所述工作、实现第一部分 合同专用条款第四章工期要求及承担合同义务、责任、风险的费用已包括在下列合同价中（以打</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为准）。</w:t>
      </w:r>
    </w:p>
    <w:p w14:paraId="25F56C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lang w:val="en-US" w:eastAsia="zh-CN"/>
        </w:rPr>
        <w:t>元整，此价含税，乙方开具税率</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lang w:val="en-US" w:eastAsia="zh-CN"/>
        </w:rPr>
        <w:t>的增值税专用发票（税率按国家政策执行，如税率调整，合同总价随之调整）。合同总价包含乙方完成合同附件所述内容的费用，除合同另有约定外，不作调整。</w:t>
      </w:r>
    </w:p>
    <w:p w14:paraId="50A9055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jc w:val="left"/>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本合同为固定单价合同，工程量按实结算。合同单价为全费用固定综合单价，乙方开具税率</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lang w:val="en-US" w:eastAsia="zh-CN"/>
        </w:rPr>
        <w:t>%的增值税专用发票（税率按国家政策执行，如税率调整，合同单价随之调整），合同单价包含乙方完成本合同及本合同附件所述内容的全部费用，除合同另有约定外，合同单价不作任何调整。本合同暂定含税总价为人民币</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lang w:val="en-US" w:eastAsia="zh-CN"/>
        </w:rPr>
        <w:t xml:space="preserve">     元，其中不含税价为人民币     元，税金为人民币      元。合同暂定总价仅供参考，不作结算用途。</w:t>
      </w:r>
    </w:p>
    <w:p w14:paraId="21B588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71" w:name="_Toc5821"/>
      <w:r>
        <w:rPr>
          <w:rFonts w:hint="eastAsia" w:ascii="仿宋" w:hAnsi="仿宋" w:eastAsia="仿宋" w:cs="仿宋"/>
          <w:b w:val="0"/>
          <w:bCs w:val="0"/>
          <w:i w:val="0"/>
          <w:iCs w:val="0"/>
          <w:color w:val="auto"/>
          <w:sz w:val="28"/>
          <w:szCs w:val="28"/>
          <w:highlight w:val="none"/>
          <w:lang w:val="en-US" w:eastAsia="zh-CN"/>
        </w:rPr>
        <w:t>5.2合同单价适用于本项目用地红线范围内的全部本工程工作内容，已有价格的子目双方无需另行确定单价，均按已确定的合同价格执行。</w:t>
      </w:r>
      <w:bookmarkEnd w:id="71"/>
    </w:p>
    <w:p w14:paraId="2EC74F4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5.3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02082D7C">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before="0" w:beforeLines="-2147483648" w:line="360" w:lineRule="auto"/>
        <w:ind w:left="-140" w:leftChars="-50" w:right="-20" w:rightChars="-7" w:firstLine="503" w:firstLineChars="179"/>
        <w:textAlignment w:val="auto"/>
        <w:outlineLvl w:val="9"/>
        <w:rPr>
          <w:rFonts w:hint="eastAsia" w:ascii="仿宋" w:hAnsi="仿宋" w:eastAsia="仿宋" w:cs="仿宋"/>
          <w:b/>
          <w:bCs/>
          <w:i w:val="0"/>
          <w:iCs w:val="0"/>
          <w:color w:val="auto"/>
          <w:sz w:val="28"/>
          <w:szCs w:val="28"/>
          <w:highlight w:val="none"/>
          <w:lang w:val="en-US" w:eastAsia="zh-CN"/>
        </w:rPr>
      </w:pPr>
      <w:bookmarkStart w:id="72" w:name="_Toc24638"/>
      <w:bookmarkStart w:id="73" w:name="_Toc12937"/>
      <w:bookmarkStart w:id="74" w:name="_Toc32757"/>
      <w:bookmarkStart w:id="75" w:name="_Toc4378"/>
      <w:bookmarkStart w:id="76" w:name="_Toc9761"/>
      <w:bookmarkStart w:id="77" w:name="_Toc6457"/>
      <w:bookmarkStart w:id="78" w:name="_Toc30735"/>
      <w:r>
        <w:rPr>
          <w:rFonts w:hint="eastAsia" w:ascii="仿宋" w:hAnsi="仿宋" w:eastAsia="仿宋" w:cs="仿宋"/>
          <w:b/>
          <w:bCs/>
          <w:i w:val="0"/>
          <w:iCs w:val="0"/>
          <w:color w:val="auto"/>
          <w:kern w:val="2"/>
          <w:sz w:val="28"/>
          <w:szCs w:val="28"/>
          <w:highlight w:val="none"/>
          <w:lang w:val="en-US" w:eastAsia="zh-CN" w:bidi="ar-SA"/>
        </w:rPr>
        <w:t>第六章、</w:t>
      </w:r>
      <w:r>
        <w:rPr>
          <w:rFonts w:hint="eastAsia" w:ascii="仿宋" w:hAnsi="仿宋" w:eastAsia="仿宋" w:cs="仿宋"/>
          <w:b/>
          <w:bCs/>
          <w:i w:val="0"/>
          <w:iCs w:val="0"/>
          <w:color w:val="auto"/>
          <w:sz w:val="28"/>
          <w:szCs w:val="28"/>
          <w:highlight w:val="none"/>
          <w:lang w:val="en-US" w:eastAsia="zh-CN"/>
        </w:rPr>
        <w:t>计量计价方式及结算方式</w:t>
      </w:r>
      <w:bookmarkEnd w:id="72"/>
      <w:bookmarkEnd w:id="73"/>
      <w:bookmarkEnd w:id="74"/>
      <w:bookmarkEnd w:id="75"/>
      <w:bookmarkEnd w:id="76"/>
      <w:bookmarkEnd w:id="77"/>
      <w:r>
        <w:rPr>
          <w:rFonts w:hint="eastAsia" w:ascii="仿宋" w:hAnsi="仿宋" w:eastAsia="仿宋" w:cs="仿宋"/>
          <w:b/>
          <w:bCs/>
          <w:i w:val="0"/>
          <w:iCs w:val="0"/>
          <w:color w:val="auto"/>
          <w:sz w:val="28"/>
          <w:szCs w:val="28"/>
          <w:highlight w:val="none"/>
          <w:lang w:val="en-US" w:eastAsia="zh-CN"/>
        </w:rPr>
        <w:tab/>
      </w:r>
      <w:bookmarkEnd w:id="78"/>
    </w:p>
    <w:p w14:paraId="014705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6.1工程量有竣工图纸部分，按甲方确认的竣工图计算，无图纸部分以甲方与建设单位签字确认的签证单工程量或按照甲方《分包单位签证管理制度》和《临时设施管理制度》等签证相关要求（如本合同第二部分 合同通用条款第五章第5.2条等）执行。经甲方项目部验收合格的工程，按合同约定的计价方式结算。</w:t>
      </w:r>
    </w:p>
    <w:p w14:paraId="6C26D9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固定总价合同结算方式：结算总价=固定合同总价-合同内未施工内容+合同外增加内容（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建设单位与甲方的签证或</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确认的“分包签证确认单”和“分项工程/认质认价申报审批表”等定价文件</w:t>
      </w:r>
      <w:r>
        <w:rPr>
          <w:rFonts w:hint="eastAsia" w:ascii="仿宋" w:hAnsi="仿宋" w:eastAsia="仿宋" w:cs="仿宋"/>
          <w:color w:val="auto"/>
          <w:sz w:val="28"/>
          <w:szCs w:val="28"/>
          <w:highlight w:val="none"/>
        </w:rPr>
        <w:t>）-合同约定扣除费用。</w:t>
      </w:r>
    </w:p>
    <w:p w14:paraId="223319EA">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left="-140" w:leftChars="-50" w:right="-20" w:rightChars="-7" w:firstLine="621" w:firstLineChars="221"/>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color w:val="auto"/>
          <w:sz w:val="28"/>
          <w:szCs w:val="28"/>
          <w:highlight w:val="none"/>
        </w:rPr>
        <w:sym w:font="Wingdings 2" w:char="0052"/>
      </w:r>
      <w:r>
        <w:rPr>
          <w:rFonts w:hint="eastAsia" w:ascii="仿宋" w:hAnsi="仿宋" w:eastAsia="仿宋" w:cs="仿宋"/>
          <w:b/>
          <w:bCs/>
          <w:color w:val="auto"/>
          <w:sz w:val="28"/>
          <w:szCs w:val="28"/>
          <w:highlight w:val="none"/>
        </w:rPr>
        <w:t>固定单价合同结算方式：结算总价=完成并达到合同标准的实际工程量×合同单价-合同约定扣除费用。</w:t>
      </w:r>
    </w:p>
    <w:p w14:paraId="07FD1E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6.2工程量计算原则</w:t>
      </w:r>
    </w:p>
    <w:p w14:paraId="29800E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6.2.1工程量计算以“米”为计量单位计算。本工程图纸以外的工程凭甲方认可的建设单位签证及相关依据办理结算。任何人的口头指示、通知不作为结算依据。经甲方验收合格的工程，按“完成施工并达到合同标准的实际工程量×相应合同单价”的方式结算。工程量计算规则如下：</w:t>
      </w:r>
    </w:p>
    <w:p w14:paraId="0B9398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6.2.2工程量按桩入土长度计算（桩尖长度不计），其中空桩按实际送桩长度计量；</w:t>
      </w:r>
    </w:p>
    <w:p w14:paraId="3E85799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6.2.3因乙方配桩或测量等乙方原因须补桩或承台加大或加深，属乙方责任，其费用由乙方承担；</w:t>
      </w:r>
    </w:p>
    <w:p w14:paraId="60A664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6.2.4自然地面以上的桩不计量；</w:t>
      </w:r>
    </w:p>
    <w:p w14:paraId="6927A7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6.2.5断桩和破桩等不合格的桩不予计量（建设单位因地质原因同意签证的除外），同时，乙方须按甲方及设计要求完成补桩或其它满足要求方法处理，费用由乙方承担；当发生任意一条桩施工不正常时，乙方须立即向甲方报告且须甲方再次明确可施工后方可继续施工。</w:t>
      </w:r>
    </w:p>
    <w:p w14:paraId="59B477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6.3计价依据</w:t>
      </w:r>
    </w:p>
    <w:p w14:paraId="44FA56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6.3.1合同范围内的工程，按合同价格执行；</w:t>
      </w:r>
    </w:p>
    <w:p w14:paraId="63B6D4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6.3.2合同范围外的签证、变更、增加工程，按下述办法执行：</w:t>
      </w:r>
    </w:p>
    <w:p w14:paraId="242DF3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6.3.2.1合同中已有适用于该工程的价格时，按合同已有的价格执行；</w:t>
      </w:r>
    </w:p>
    <w:p w14:paraId="661162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6.3.2.2合同中只有类似于该工程的价格时，可在合理范围内参照类似价格执行；</w:t>
      </w:r>
    </w:p>
    <w:p w14:paraId="3F9CFF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6.3.2.3合同中没有适用或类似于该工程的价格时，按下述第6.4条规则执行。</w:t>
      </w:r>
    </w:p>
    <w:p w14:paraId="041B0D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6.4计价规则</w:t>
      </w:r>
    </w:p>
    <w:p w14:paraId="77E9E2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6.4.1按《2018广东省建筑与装饰工程综合定额）》、《2018广东省安装工程综合定额》清单计价程序取费。采用清单计价，执行《建设工程工程量清单计价规范》；同时执行《广东省建设工程计价依据（2018）》、《广东省房屋建筑与装饰工程综合定额(2018年)》、《广东省通用安装工程综合定额(2018年)》、《广东省市政工程综合定额(2018年)》、《广东省建设工程施工机具台班费用编制规则（2018）》、《广东省工程量清单计价指引（2013年）》等国家建设行政主管部门颁布的相关规定文件。</w:t>
      </w:r>
    </w:p>
    <w:p w14:paraId="59B65F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6.4.2</w:t>
      </w:r>
      <w:r>
        <w:rPr>
          <w:rFonts w:hint="eastAsia" w:ascii="仿宋" w:hAnsi="仿宋" w:eastAsia="仿宋" w:cs="仿宋"/>
          <w:color w:val="auto"/>
          <w:sz w:val="28"/>
          <w:szCs w:val="28"/>
          <w:highlight w:val="none"/>
          <w:lang w:val="en-US" w:eastAsia="zh-CN"/>
        </w:rPr>
        <w:t>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r>
        <w:rPr>
          <w:rFonts w:hint="eastAsia" w:ascii="仿宋" w:hAnsi="仿宋" w:eastAsia="仿宋" w:cs="仿宋"/>
          <w:b w:val="0"/>
          <w:bCs w:val="0"/>
          <w:color w:val="auto"/>
          <w:sz w:val="28"/>
          <w:szCs w:val="28"/>
          <w:highlight w:val="none"/>
          <w:lang w:val="en-US" w:eastAsia="zh-CN"/>
        </w:rPr>
        <w:t>。</w:t>
      </w:r>
    </w:p>
    <w:p w14:paraId="39CB0C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6.4.3</w:t>
      </w:r>
      <w:r>
        <w:rPr>
          <w:rFonts w:hint="eastAsia" w:ascii="仿宋" w:hAnsi="仿宋" w:eastAsia="仿宋" w:cs="仿宋"/>
          <w:b w:val="0"/>
          <w:bCs w:val="0"/>
          <w:color w:val="auto"/>
          <w:sz w:val="28"/>
          <w:szCs w:val="28"/>
          <w:highlight w:val="none"/>
          <w:lang w:val="en-US" w:eastAsia="zh-CN"/>
        </w:rPr>
        <w:t>计价中除仅计取人工费、材料费、机具费作为直接工程费外，其余按系数计取的各类取费均不计取，另外其他所有措施费均不单独计取费用。</w:t>
      </w:r>
    </w:p>
    <w:p w14:paraId="0246A4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6.4.4税率：按国家建设行政主管部门及国家税务部门的最新规定执行。</w:t>
      </w:r>
    </w:p>
    <w:p w14:paraId="4628C1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color w:val="auto"/>
          <w:sz w:val="28"/>
          <w:szCs w:val="28"/>
          <w:highlight w:val="none"/>
          <w:lang w:val="en-US" w:eastAsia="zh-CN"/>
        </w:rPr>
      </w:pPr>
      <w:bookmarkStart w:id="79" w:name="_Toc28257"/>
      <w:r>
        <w:rPr>
          <w:rFonts w:hint="eastAsia" w:ascii="仿宋" w:hAnsi="仿宋" w:eastAsia="仿宋" w:cs="仿宋"/>
          <w:b w:val="0"/>
          <w:bCs w:val="0"/>
          <w:i w:val="0"/>
          <w:iCs w:val="0"/>
          <w:color w:val="auto"/>
          <w:sz w:val="28"/>
          <w:szCs w:val="28"/>
          <w:highlight w:val="none"/>
          <w:lang w:val="en-US" w:eastAsia="zh-CN"/>
        </w:rPr>
        <w:t>6.4.5上述计费方式得出价款后（甲方直接确认的综合单价不参与上下浮的除外）：包人工包辅材的工程按以上计价方式（仅计取人工费和乙方提供的辅材和机械费）税前下浮</w:t>
      </w:r>
      <w:r>
        <w:rPr>
          <w:rFonts w:hint="eastAsia" w:ascii="仿宋" w:hAnsi="仿宋" w:eastAsia="仿宋" w:cs="仿宋"/>
          <w:b w:val="0"/>
          <w:bCs w:val="0"/>
          <w:i w:val="0"/>
          <w:iCs w:val="0"/>
          <w:color w:val="auto"/>
          <w:sz w:val="28"/>
          <w:szCs w:val="28"/>
          <w:highlight w:val="none"/>
          <w:u w:val="single"/>
          <w:lang w:val="en-US" w:eastAsia="zh-CN"/>
        </w:rPr>
        <w:t xml:space="preserve"> 15  </w:t>
      </w:r>
      <w:r>
        <w:rPr>
          <w:rFonts w:hint="eastAsia" w:ascii="仿宋" w:hAnsi="仿宋" w:eastAsia="仿宋" w:cs="仿宋"/>
          <w:b w:val="0"/>
          <w:bCs w:val="0"/>
          <w:i w:val="0"/>
          <w:iCs w:val="0"/>
          <w:color w:val="auto"/>
          <w:sz w:val="28"/>
          <w:szCs w:val="28"/>
          <w:highlight w:val="none"/>
          <w:lang w:val="en-US" w:eastAsia="zh-CN"/>
        </w:rPr>
        <w:t>%后计取税金；包工包料的工程按以上计价方式（仅计取人工费、材料费和机械费）税前下浮</w:t>
      </w:r>
      <w:r>
        <w:rPr>
          <w:rFonts w:hint="eastAsia" w:ascii="仿宋" w:hAnsi="仿宋" w:eastAsia="仿宋" w:cs="仿宋"/>
          <w:b w:val="0"/>
          <w:bCs w:val="0"/>
          <w:i w:val="0"/>
          <w:iCs w:val="0"/>
          <w:color w:val="auto"/>
          <w:sz w:val="28"/>
          <w:szCs w:val="28"/>
          <w:highlight w:val="none"/>
          <w:u w:val="single"/>
          <w:lang w:val="en-US" w:eastAsia="zh-CN"/>
        </w:rPr>
        <w:t xml:space="preserve"> 28 </w:t>
      </w:r>
      <w:r>
        <w:rPr>
          <w:rFonts w:hint="eastAsia" w:ascii="仿宋" w:hAnsi="仿宋" w:eastAsia="仿宋" w:cs="仿宋"/>
          <w:b w:val="0"/>
          <w:bCs w:val="0"/>
          <w:i w:val="0"/>
          <w:iCs w:val="0"/>
          <w:color w:val="auto"/>
          <w:sz w:val="28"/>
          <w:szCs w:val="28"/>
          <w:highlight w:val="none"/>
          <w:lang w:val="en-US" w:eastAsia="zh-CN"/>
        </w:rPr>
        <w:t>%后计取税金。（结算时，如乙方已请款部分开具的发票税率与合同约定不同时，须提供已请款金额及相应税率，且须甲方财务签字确认，否则不予结算及付款。）</w:t>
      </w:r>
    </w:p>
    <w:p w14:paraId="4EF8CC9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bookmarkStart w:id="80" w:name="_Toc22307"/>
      <w:r>
        <w:rPr>
          <w:rFonts w:hint="eastAsia" w:ascii="仿宋" w:hAnsi="仿宋" w:eastAsia="仿宋" w:cs="仿宋"/>
          <w:b/>
          <w:bCs/>
          <w:i w:val="0"/>
          <w:iCs w:val="0"/>
          <w:color w:val="auto"/>
          <w:kern w:val="2"/>
          <w:sz w:val="28"/>
          <w:szCs w:val="28"/>
          <w:highlight w:val="none"/>
          <w:lang w:val="en-US" w:eastAsia="zh-CN" w:bidi="ar-SA"/>
        </w:rPr>
        <w:t>第七章、付款方式</w:t>
      </w:r>
      <w:bookmarkEnd w:id="79"/>
      <w:bookmarkEnd w:id="80"/>
    </w:p>
    <w:p w14:paraId="2BCF73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jc w:val="left"/>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7.1付款方式一</w:t>
      </w:r>
    </w:p>
    <w:p w14:paraId="24A83D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7.1.1本项目全部桩基础工程完工，乙方收集、整理并完善所有相关资料(包括打桩记录、工程桩检测合格报告等)给甲方且本项目桩基验评通过，乙方于次月10日前提供本月及次月实名制报备登记和打卡的《建筑工人工资表》等相关进度款审批文件给甲方并经甲方确认后，甲方付至本工程已完成合格工程量对应造价的80%（含甲方工人工资专用账户支付给乙方工人工资款额）。</w:t>
      </w:r>
    </w:p>
    <w:p w14:paraId="2227EB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7.1.2本项目的所有增加工程、变更工程、签证工程等工程并入本工程竣工结算并在竣工结算完成一并支付。</w:t>
      </w:r>
    </w:p>
    <w:p w14:paraId="7B3DEA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7.1.3</w:t>
      </w:r>
      <w:r>
        <w:rPr>
          <w:rFonts w:hint="eastAsia" w:ascii="仿宋" w:hAnsi="仿宋" w:eastAsia="仿宋" w:cs="仿宋"/>
          <w:color w:val="auto"/>
          <w:sz w:val="28"/>
          <w:szCs w:val="28"/>
          <w:highlight w:val="none"/>
        </w:rPr>
        <w:t>本项目乙方承包范围内全部工作内容施工完成，并经政府主管部门竣工综合验收通过，乙方将验收通过的政府主管部</w:t>
      </w:r>
      <w:r>
        <w:rPr>
          <w:rFonts w:hint="eastAsia" w:ascii="仿宋" w:hAnsi="仿宋" w:eastAsia="仿宋" w:cs="仿宋"/>
          <w:color w:val="auto"/>
          <w:sz w:val="28"/>
          <w:szCs w:val="28"/>
          <w:highlight w:val="none"/>
          <w:lang w:val="en-US" w:eastAsia="zh-CN"/>
        </w:rPr>
        <w:t>门</w:t>
      </w:r>
      <w:r>
        <w:rPr>
          <w:rFonts w:hint="eastAsia" w:ascii="仿宋" w:hAnsi="仿宋" w:eastAsia="仿宋" w:cs="仿宋"/>
          <w:color w:val="auto"/>
          <w:sz w:val="28"/>
          <w:szCs w:val="28"/>
          <w:highlight w:val="none"/>
        </w:rPr>
        <w:t>文件、报告原件、所有本工程资料、报告等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详列完整资料清单目录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移交甲方签收，且</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经建设单位、监理</w:t>
      </w:r>
      <w:r>
        <w:rPr>
          <w:rFonts w:hint="eastAsia" w:ascii="仿宋" w:hAnsi="仿宋" w:eastAsia="仿宋" w:cs="仿宋"/>
          <w:color w:val="auto"/>
          <w:sz w:val="28"/>
          <w:szCs w:val="28"/>
          <w:highlight w:val="none"/>
          <w:lang w:val="en-US" w:eastAsia="zh-CN"/>
        </w:rPr>
        <w:t>单位</w:t>
      </w:r>
      <w:r>
        <w:rPr>
          <w:rFonts w:hint="eastAsia" w:ascii="仿宋" w:hAnsi="仿宋" w:eastAsia="仿宋" w:cs="仿宋"/>
          <w:color w:val="auto"/>
          <w:sz w:val="28"/>
          <w:szCs w:val="28"/>
          <w:highlight w:val="none"/>
        </w:rPr>
        <w:t>、甲方等验收通过并移交建设单位后，甲乙双方办理</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工程结算，双方就结算金额达成书面一致</w:t>
      </w:r>
      <w:r>
        <w:rPr>
          <w:rFonts w:hint="eastAsia" w:ascii="仿宋" w:hAnsi="仿宋" w:eastAsia="仿宋" w:cs="仿宋"/>
          <w:color w:val="auto"/>
          <w:sz w:val="28"/>
          <w:szCs w:val="28"/>
          <w:highlight w:val="none"/>
          <w:lang w:val="en-US" w:eastAsia="zh-CN"/>
        </w:rPr>
        <w:t>且乙方开具金额等于结算总价100%的发票给甲方</w:t>
      </w:r>
      <w:r>
        <w:rPr>
          <w:rFonts w:hint="eastAsia" w:ascii="仿宋" w:hAnsi="仿宋" w:eastAsia="仿宋" w:cs="仿宋"/>
          <w:color w:val="auto"/>
          <w:sz w:val="28"/>
          <w:szCs w:val="28"/>
          <w:highlight w:val="none"/>
        </w:rPr>
        <w:t>后，甲方付至结算总价的</w:t>
      </w:r>
      <w:r>
        <w:rPr>
          <w:rFonts w:hint="eastAsia" w:ascii="仿宋" w:hAnsi="仿宋" w:eastAsia="仿宋" w:cs="仿宋"/>
          <w:color w:val="auto"/>
          <w:sz w:val="28"/>
          <w:szCs w:val="28"/>
          <w:highlight w:val="none"/>
          <w:lang w:val="en-US" w:eastAsia="zh-CN"/>
        </w:rPr>
        <w:t>97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color w:val="auto"/>
          <w:sz w:val="28"/>
          <w:szCs w:val="28"/>
          <w:highlight w:val="none"/>
          <w:lang w:eastAsia="zh-CN"/>
        </w:rPr>
        <w:t>。</w:t>
      </w:r>
    </w:p>
    <w:p w14:paraId="5A04DC1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4本工程结算总价的3%作为本工程保修金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default" w:ascii="仿宋" w:hAnsi="仿宋" w:eastAsia="仿宋" w:cs="仿宋"/>
          <w:b w:val="0"/>
          <w:bCs w:val="0"/>
          <w:i w:val="0"/>
          <w:iCs w:val="0"/>
          <w:color w:val="auto"/>
          <w:sz w:val="28"/>
          <w:szCs w:val="28"/>
          <w:highlight w:val="none"/>
          <w:lang w:val="en-US" w:eastAsia="zh-CN"/>
        </w:rPr>
        <w:t>，保修期满</w:t>
      </w:r>
      <w:r>
        <w:rPr>
          <w:rFonts w:hint="eastAsia" w:ascii="仿宋" w:hAnsi="仿宋" w:eastAsia="仿宋" w:cs="仿宋"/>
          <w:b w:val="0"/>
          <w:bCs w:val="0"/>
          <w:i w:val="0"/>
          <w:iCs w:val="0"/>
          <w:color w:val="auto"/>
          <w:sz w:val="28"/>
          <w:szCs w:val="28"/>
          <w:highlight w:val="none"/>
          <w:lang w:val="en-US" w:eastAsia="zh-CN"/>
        </w:rPr>
        <w:t>二年</w:t>
      </w:r>
      <w:r>
        <w:rPr>
          <w:rFonts w:hint="default" w:ascii="仿宋" w:hAnsi="仿宋" w:eastAsia="仿宋" w:cs="仿宋"/>
          <w:b w:val="0"/>
          <w:bCs w:val="0"/>
          <w:i w:val="0"/>
          <w:iCs w:val="0"/>
          <w:color w:val="auto"/>
          <w:sz w:val="28"/>
          <w:szCs w:val="28"/>
          <w:highlight w:val="none"/>
          <w:lang w:val="en-US" w:eastAsia="zh-CN"/>
        </w:rPr>
        <w:t>且乙方如实履行保修义务、责任后，甲乙双方无息结清保修金。甲方付清保修金后，乙方仍须如实履行合同约定的保修义务及责任。</w:t>
      </w:r>
    </w:p>
    <w:p w14:paraId="4F892F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jc w:val="left"/>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A3"/>
      </w:r>
      <w:r>
        <w:rPr>
          <w:rFonts w:hint="eastAsia" w:ascii="仿宋" w:hAnsi="仿宋" w:eastAsia="仿宋" w:cs="仿宋"/>
          <w:b/>
          <w:bCs/>
          <w:i w:val="0"/>
          <w:iCs w:val="0"/>
          <w:color w:val="auto"/>
          <w:sz w:val="28"/>
          <w:szCs w:val="28"/>
          <w:highlight w:val="none"/>
          <w:lang w:val="en-US" w:eastAsia="zh-CN"/>
        </w:rPr>
        <w:t>7.1付款方式二</w:t>
      </w:r>
    </w:p>
    <w:p w14:paraId="45D7174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u w:val="single"/>
          <w:lang w:val="en-US" w:eastAsia="zh-CN"/>
        </w:rPr>
        <w:t xml:space="preserve">（如定标结果的付款方式与上述“7.1条付款方式一”不一致，则将定标结果的付款方式填写在此处作为合同付款方式） </w:t>
      </w:r>
      <w:bookmarkStart w:id="81" w:name="_Toc5757"/>
      <w:bookmarkStart w:id="82" w:name="_Toc24215"/>
      <w:bookmarkStart w:id="83" w:name="_Toc5830"/>
    </w:p>
    <w:p w14:paraId="23B9C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84" w:name="_Toc3638"/>
      <w:r>
        <w:rPr>
          <w:rFonts w:hint="eastAsia" w:ascii="仿宋" w:hAnsi="仿宋" w:eastAsia="仿宋" w:cs="仿宋"/>
          <w:b w:val="0"/>
          <w:bCs w:val="0"/>
          <w:i w:val="0"/>
          <w:iCs w:val="0"/>
          <w:color w:val="auto"/>
          <w:sz w:val="28"/>
          <w:szCs w:val="28"/>
          <w:highlight w:val="none"/>
          <w:lang w:val="en-US" w:eastAsia="zh-CN"/>
        </w:rPr>
        <w:t>7.2合同履约保证金为人民币</w:t>
      </w:r>
      <w:r>
        <w:rPr>
          <w:rFonts w:hint="eastAsia" w:ascii="仿宋" w:hAnsi="仿宋" w:eastAsia="仿宋" w:cs="仿宋"/>
          <w:b w:val="0"/>
          <w:bCs w:val="0"/>
          <w:i w:val="0"/>
          <w:iCs w:val="0"/>
          <w:color w:val="auto"/>
          <w:sz w:val="28"/>
          <w:szCs w:val="28"/>
          <w:highlight w:val="none"/>
          <w:u w:val="single"/>
          <w:lang w:val="en-US" w:eastAsia="zh-CN"/>
        </w:rPr>
        <w:t xml:space="preserve"> 壹万 </w:t>
      </w:r>
      <w:r>
        <w:rPr>
          <w:rFonts w:hint="eastAsia" w:ascii="仿宋" w:hAnsi="仿宋" w:eastAsia="仿宋" w:cs="仿宋"/>
          <w:b w:val="0"/>
          <w:bCs w:val="0"/>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b w:val="0"/>
          <w:bCs w:val="0"/>
          <w:color w:val="auto"/>
          <w:sz w:val="28"/>
          <w:szCs w:val="28"/>
          <w:highlight w:val="none"/>
          <w:u w:val="none"/>
          <w:lang w:val="en-US" w:eastAsia="zh-CN"/>
        </w:rPr>
        <w:t>如乙方在合同履行期间无违约行为，则甲方在支付本合同的第一笔合同款时一并无息原路退回剩余的履约保证金</w:t>
      </w:r>
      <w:r>
        <w:rPr>
          <w:rFonts w:hint="eastAsia" w:ascii="仿宋" w:hAnsi="仿宋" w:eastAsia="仿宋" w:cs="仿宋"/>
          <w:b w:val="0"/>
          <w:bCs w:val="0"/>
          <w:i w:val="0"/>
          <w:iCs w:val="0"/>
          <w:color w:val="auto"/>
          <w:sz w:val="28"/>
          <w:szCs w:val="28"/>
          <w:highlight w:val="none"/>
          <w:lang w:val="en-US" w:eastAsia="zh-CN"/>
        </w:rPr>
        <w:t>。</w:t>
      </w:r>
    </w:p>
    <w:p w14:paraId="7E6A33F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bookmarkStart w:id="85" w:name="_Toc26381"/>
      <w:r>
        <w:rPr>
          <w:rFonts w:hint="eastAsia" w:ascii="仿宋" w:hAnsi="仿宋" w:eastAsia="仿宋" w:cs="仿宋"/>
          <w:b/>
          <w:bCs/>
          <w:i w:val="0"/>
          <w:iCs w:val="0"/>
          <w:color w:val="auto"/>
          <w:kern w:val="2"/>
          <w:sz w:val="28"/>
          <w:szCs w:val="28"/>
          <w:highlight w:val="none"/>
          <w:lang w:val="en-US" w:eastAsia="zh-CN" w:bidi="ar-SA"/>
        </w:rPr>
        <w:t>第八章、双方责任和权利</w:t>
      </w:r>
      <w:bookmarkEnd w:id="85"/>
    </w:p>
    <w:p w14:paraId="28766B3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86" w:name="_Toc3708"/>
      <w:bookmarkStart w:id="87" w:name="_Toc15487"/>
      <w:bookmarkStart w:id="88" w:name="_Toc27785"/>
      <w:r>
        <w:rPr>
          <w:rFonts w:hint="eastAsia" w:ascii="仿宋" w:hAnsi="仿宋" w:eastAsia="仿宋" w:cs="仿宋"/>
          <w:b/>
          <w:bCs/>
          <w:color w:val="auto"/>
          <w:sz w:val="28"/>
          <w:szCs w:val="28"/>
          <w:highlight w:val="none"/>
          <w:lang w:val="en-US" w:eastAsia="zh-CN"/>
        </w:rPr>
        <w:t>8.1甲方责任和权利</w:t>
      </w:r>
      <w:bookmarkEnd w:id="86"/>
      <w:bookmarkEnd w:id="87"/>
      <w:bookmarkEnd w:id="88"/>
    </w:p>
    <w:p w14:paraId="69F6D2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8.1.1甲方提供签章电子版的施工图及地质钻探资料（含图纸变更通知、图纸会审记录等）；对乙方进行技术交底及质量、安全、进度、文明施工、成本控制等管理。</w:t>
      </w:r>
    </w:p>
    <w:p w14:paraId="2D1382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default" w:ascii="仿宋" w:hAnsi="仿宋" w:eastAsia="仿宋" w:cs="仿宋"/>
          <w:b/>
          <w:bCs/>
          <w:i w:val="0"/>
          <w:iCs w:val="0"/>
          <w:color w:val="auto"/>
          <w:kern w:val="2"/>
          <w:sz w:val="28"/>
          <w:szCs w:val="28"/>
          <w:highlight w:val="none"/>
          <w:lang w:val="en-US" w:eastAsia="zh-CN" w:bidi="ar-SA"/>
        </w:rPr>
      </w:pPr>
      <w:bookmarkStart w:id="89" w:name="_Toc18010"/>
      <w:r>
        <w:rPr>
          <w:rFonts w:hint="eastAsia" w:ascii="仿宋" w:hAnsi="仿宋" w:eastAsia="仿宋" w:cs="仿宋"/>
          <w:b/>
          <w:bCs/>
          <w:i w:val="0"/>
          <w:iCs w:val="0"/>
          <w:color w:val="auto"/>
          <w:kern w:val="2"/>
          <w:sz w:val="28"/>
          <w:szCs w:val="28"/>
          <w:highlight w:val="none"/>
          <w:lang w:val="en-US" w:eastAsia="zh-CN" w:bidi="ar-SA"/>
        </w:rPr>
        <w:t>第九章、验收与保修</w:t>
      </w:r>
      <w:bookmarkEnd w:id="89"/>
    </w:p>
    <w:p w14:paraId="09A27AB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w:t>
      </w:r>
    </w:p>
    <w:p w14:paraId="74DD3F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本工程任一</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内容全部完工，乙方自检符合质量要求后提请甲方及建设单位组织验收，经建设行政主管部门、监理、甲方及建设单位验收合格后，移交给建设单位使用之日为本工程该</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内容完工之日。保修期内，本工程该组团如出现较大质量缺陷，乙方履行保修义务至验收合格后，工程保修期自此时间开始顺延。</w:t>
      </w:r>
    </w:p>
    <w:p w14:paraId="5BC9F3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本工程全部完工，乙方自检符合质量要求后提请甲方及建设单位组织验收，经建设行政主管部门、监理、甲方及建设单位验收合格后，移交给建设单位使用之日为本工程完工之日。</w:t>
      </w:r>
    </w:p>
    <w:p w14:paraId="4AC240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highlight w:val="none"/>
        </w:rPr>
      </w:pPr>
      <w:bookmarkStart w:id="90" w:name="_Toc11721"/>
      <w:bookmarkStart w:id="91" w:name="_Toc18983"/>
      <w:bookmarkStart w:id="92" w:name="_Toc25473"/>
      <w:r>
        <w:rPr>
          <w:rFonts w:hint="eastAsia" w:ascii="仿宋" w:hAnsi="仿宋" w:eastAsia="仿宋" w:cs="仿宋"/>
          <w:b w:val="0"/>
          <w:bCs w:val="0"/>
          <w:i w:val="0"/>
          <w:iCs w:val="0"/>
          <w:color w:val="auto"/>
          <w:sz w:val="28"/>
          <w:szCs w:val="28"/>
          <w:highlight w:val="none"/>
          <w:lang w:val="en-US" w:eastAsia="zh-CN"/>
        </w:rPr>
        <w:t>9.2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b/>
          <w:bCs/>
          <w:i w:val="0"/>
          <w:iCs w:val="0"/>
          <w:color w:val="auto"/>
          <w:sz w:val="28"/>
          <w:szCs w:val="28"/>
          <w:highlight w:val="none"/>
          <w:lang w:val="en-US" w:eastAsia="zh-CN"/>
        </w:rPr>
        <w:t>本工程</w:t>
      </w:r>
      <w:r>
        <w:rPr>
          <w:rFonts w:hint="eastAsia" w:ascii="仿宋" w:hAnsi="仿宋" w:eastAsia="仿宋" w:cs="仿宋"/>
          <w:b/>
          <w:bCs/>
          <w:i w:val="0"/>
          <w:iCs w:val="0"/>
          <w:color w:val="auto"/>
          <w:sz w:val="28"/>
          <w:szCs w:val="28"/>
          <w:highlight w:val="none"/>
          <w:lang w:val="en-US" w:eastAsia="zh-CN"/>
        </w:rPr>
        <w:sym w:font="Wingdings 2" w:char="00A3"/>
      </w:r>
      <w:r>
        <w:rPr>
          <w:rFonts w:hint="eastAsia" w:ascii="仿宋" w:hAnsi="仿宋" w:eastAsia="仿宋" w:cs="仿宋"/>
          <w:b/>
          <w:bCs/>
          <w:i w:val="0"/>
          <w:iCs w:val="0"/>
          <w:color w:val="auto"/>
          <w:sz w:val="28"/>
          <w:szCs w:val="28"/>
          <w:highlight w:val="none"/>
          <w:lang w:val="en-US" w:eastAsia="zh-CN"/>
        </w:rPr>
        <w:t>任一组团内容/</w:t>
      </w:r>
      <w:r>
        <w:rPr>
          <w:rFonts w:hint="eastAsia" w:ascii="仿宋" w:hAnsi="仿宋" w:eastAsia="仿宋" w:cs="仿宋"/>
          <w:b/>
          <w:bCs/>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全部内容的保修期为</w:t>
      </w:r>
      <w:r>
        <w:rPr>
          <w:rFonts w:hint="eastAsia" w:ascii="仿宋" w:hAnsi="仿宋" w:eastAsia="仿宋" w:cs="仿宋"/>
          <w:b/>
          <w:bCs/>
          <w:i w:val="0"/>
          <w:iCs w:val="0"/>
          <w:color w:val="auto"/>
          <w:sz w:val="28"/>
          <w:szCs w:val="28"/>
          <w:highlight w:val="none"/>
          <w:u w:val="single"/>
          <w:lang w:val="en-US" w:eastAsia="zh-CN"/>
        </w:rPr>
        <w:t xml:space="preserve"> 2 </w:t>
      </w:r>
      <w:r>
        <w:rPr>
          <w:rFonts w:hint="eastAsia" w:ascii="仿宋" w:hAnsi="仿宋" w:eastAsia="仿宋" w:cs="仿宋"/>
          <w:b/>
          <w:bCs/>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lang w:val="en-US" w:eastAsia="zh-CN"/>
        </w:rPr>
        <w:t>（政府主管部门或甲方与本项目建设单位另有更长保修期限规定的，从其规定)，保修期自本工程移交给建设单位使用之日起计。</w:t>
      </w:r>
      <w:bookmarkEnd w:id="90"/>
      <w:bookmarkEnd w:id="91"/>
      <w:bookmarkEnd w:id="92"/>
    </w:p>
    <w:p w14:paraId="65FD9AC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default" w:ascii="仿宋" w:hAnsi="仿宋" w:eastAsia="仿宋" w:cs="仿宋"/>
          <w:b/>
          <w:bCs/>
          <w:i w:val="0"/>
          <w:iCs w:val="0"/>
          <w:color w:val="auto"/>
          <w:kern w:val="2"/>
          <w:sz w:val="28"/>
          <w:szCs w:val="28"/>
          <w:highlight w:val="none"/>
          <w:lang w:val="en-US" w:eastAsia="zh-CN" w:bidi="ar-SA"/>
        </w:rPr>
      </w:pPr>
      <w:bookmarkStart w:id="93" w:name="_Toc7246"/>
      <w:r>
        <w:rPr>
          <w:rFonts w:hint="eastAsia" w:ascii="仿宋" w:hAnsi="仿宋" w:eastAsia="仿宋" w:cs="仿宋"/>
          <w:b/>
          <w:bCs/>
          <w:i w:val="0"/>
          <w:iCs w:val="0"/>
          <w:color w:val="auto"/>
          <w:kern w:val="2"/>
          <w:sz w:val="28"/>
          <w:szCs w:val="28"/>
          <w:highlight w:val="none"/>
          <w:lang w:val="en-US" w:eastAsia="zh-CN" w:bidi="ar-SA"/>
        </w:rPr>
        <w:t>第十章、其他</w:t>
      </w:r>
      <w:bookmarkEnd w:id="93"/>
    </w:p>
    <w:p w14:paraId="1B2C10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.1甲乙双方联系人</w:t>
      </w:r>
    </w:p>
    <w:p w14:paraId="538677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王振杰 </w:t>
      </w:r>
      <w:r>
        <w:rPr>
          <w:rFonts w:hint="eastAsia" w:ascii="仿宋" w:hAnsi="仿宋" w:eastAsia="仿宋" w:cs="仿宋"/>
          <w:color w:val="auto"/>
          <w:sz w:val="28"/>
          <w:szCs w:val="28"/>
          <w:highlight w:val="none"/>
        </w:rPr>
        <w:t>为本项目的负责人及甲方</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执行联系人，联系电话：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13686062220</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未经甲方加盖公章确认，甲方项目负责人及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执行联系人签名并加盖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项目章（样式详见附件）方为有效，否则为无效文件，仅盖章或者</w:t>
      </w:r>
      <w:r>
        <w:rPr>
          <w:rFonts w:hint="eastAsia" w:ascii="仿宋" w:hAnsi="仿宋" w:eastAsia="仿宋" w:cs="仿宋"/>
          <w:color w:val="auto"/>
          <w:sz w:val="28"/>
          <w:szCs w:val="28"/>
          <w:highlight w:val="none"/>
          <w:lang w:eastAsia="zh-CN"/>
        </w:rPr>
        <w:t>仅</w:t>
      </w:r>
      <w:r>
        <w:rPr>
          <w:rFonts w:hint="eastAsia" w:ascii="仿宋" w:hAnsi="仿宋" w:eastAsia="仿宋" w:cs="仿宋"/>
          <w:color w:val="auto"/>
          <w:sz w:val="28"/>
          <w:szCs w:val="28"/>
          <w:highlight w:val="none"/>
        </w:rPr>
        <w:t>签名的文件亦无效。甲方变更项目负责人、</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执行联系人的，甲方将以书面形式通知乙方。</w:t>
      </w:r>
    </w:p>
    <w:p w14:paraId="297694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的合同执行代表，负责与甲方公司总部办理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w:t>
      </w:r>
      <w:r>
        <w:rPr>
          <w:rFonts w:hint="eastAsia" w:ascii="仿宋" w:hAnsi="仿宋" w:eastAsia="仿宋" w:cs="仿宋"/>
          <w:color w:val="auto"/>
          <w:sz w:val="28"/>
          <w:szCs w:val="28"/>
          <w:highlight w:val="none"/>
          <w:lang w:val="en-US" w:eastAsia="zh-CN"/>
        </w:rPr>
        <w:t>收</w:t>
      </w:r>
      <w:r>
        <w:rPr>
          <w:rFonts w:hint="eastAsia" w:ascii="仿宋" w:hAnsi="仿宋" w:eastAsia="仿宋" w:cs="仿宋"/>
          <w:color w:val="auto"/>
          <w:sz w:val="28"/>
          <w:szCs w:val="28"/>
          <w:highlight w:val="none"/>
        </w:rPr>
        <w:t>款、签收并签认甲方对乙方违约行为作出的处理通知等行为）</w:t>
      </w:r>
      <w:r>
        <w:rPr>
          <w:rFonts w:hint="eastAsia" w:ascii="仿宋" w:hAnsi="仿宋" w:eastAsia="仿宋" w:cs="仿宋"/>
          <w:color w:val="auto"/>
          <w:sz w:val="28"/>
          <w:szCs w:val="28"/>
          <w:highlight w:val="none"/>
          <w:lang w:eastAsia="zh-CN"/>
        </w:rPr>
        <w:t>。</w:t>
      </w:r>
    </w:p>
    <w:p w14:paraId="080E871B">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本合同的乙方现场负责人，在</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乙方授权处理本项目施工现场相关事项的合同执行代表，负责与甲方项目现场的工作签认、安排甲方材料出入库签名等项目现场等全部事务。现场负责人必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r>
        <w:rPr>
          <w:rFonts w:hint="eastAsia" w:ascii="仿宋" w:hAnsi="仿宋" w:eastAsia="仿宋" w:cs="仿宋"/>
          <w:b w:val="0"/>
          <w:bCs w:val="0"/>
          <w:i w:val="0"/>
          <w:iCs w:val="0"/>
          <w:color w:val="auto"/>
          <w:sz w:val="28"/>
          <w:szCs w:val="28"/>
          <w:highlight w:val="none"/>
          <w:lang w:val="en-US" w:eastAsia="zh-CN"/>
        </w:rPr>
        <w:t>乙方对乙方授权代表及乙方现场负责人的行为均予认可并承担一切责任。乙方如需更换授权或现场负责人，应提前三个工作日书面报经甲方同意，否则不得更换。</w:t>
      </w:r>
    </w:p>
    <w:p w14:paraId="7F8DE022">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jc w:val="left"/>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10.2乙方就本工程应承担的团体意外险保费，由甲方自办理团体意外险后从任意应付乙方的合同款中扣款并在结算金额中相应扣减该部分费用，乙方应承担的具体保费金额以甲乙双方另行书面确认的为准。</w:t>
      </w:r>
    </w:p>
    <w:p w14:paraId="5D35DA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48D81B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16"/>
          <w:szCs w:val="16"/>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6023" w:leftChars="0" w:right="0" w:rightChars="0" w:hanging="6023" w:hangingChars="250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3" w:firstLineChars="300"/>
        <w:textAlignment w:val="auto"/>
        <w:outlineLvl w:val="0"/>
        <w:rPr>
          <w:rFonts w:hint="default" w:ascii="仿宋" w:hAnsi="仿宋" w:eastAsia="仿宋" w:cs="仿宋"/>
          <w:b/>
          <w:bCs/>
          <w:i w:val="0"/>
          <w:iCs w:val="0"/>
          <w:color w:val="auto"/>
          <w:sz w:val="24"/>
          <w:szCs w:val="24"/>
          <w:highlight w:val="none"/>
          <w:shd w:val="clear" w:color="auto" w:fill="auto"/>
          <w:lang w:val="en-US" w:eastAsia="zh-CN"/>
        </w:rPr>
      </w:pPr>
      <w:bookmarkStart w:id="94" w:name="_Toc18858"/>
      <w:r>
        <w:rPr>
          <w:rFonts w:hint="eastAsia" w:ascii="仿宋" w:hAnsi="仿宋" w:eastAsia="仿宋" w:cs="仿宋"/>
          <w:b/>
          <w:bCs/>
          <w:i w:val="0"/>
          <w:iCs w:val="0"/>
          <w:color w:val="auto"/>
          <w:sz w:val="24"/>
          <w:szCs w:val="24"/>
          <w:highlight w:val="none"/>
          <w:shd w:val="clear" w:color="auto" w:fill="auto"/>
        </w:rPr>
        <w:t>号1栋1712室01</w:t>
      </w:r>
      <w:bookmarkEnd w:id="94"/>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025411E5">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364B125A">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1F028CF">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65BDF50">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3CC1B08">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6E013B4E">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2D0CEE2E">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73EA3B19">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4E776D03">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0A16AAEC">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17A4DD8D">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7528C1F2">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p w14:paraId="5E852770">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p>
    <w:bookmarkEnd w:id="81"/>
    <w:bookmarkEnd w:id="82"/>
    <w:bookmarkEnd w:id="83"/>
    <w:bookmarkEnd w:id="84"/>
    <w:p w14:paraId="661539A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95" w:name="_Toc25956"/>
      <w:bookmarkStart w:id="96" w:name="_Toc26522"/>
      <w:bookmarkStart w:id="97" w:name="_Toc19370"/>
      <w:bookmarkStart w:id="98" w:name="_Toc15155"/>
      <w:bookmarkStart w:id="99" w:name="_Toc18171"/>
      <w:bookmarkStart w:id="100" w:name="_Toc22003"/>
      <w:bookmarkStart w:id="101" w:name="_Toc21850"/>
      <w:bookmarkStart w:id="102" w:name="_Toc20415"/>
      <w:r>
        <w:rPr>
          <w:rFonts w:hint="eastAsia" w:ascii="仿宋_GB2312" w:hAnsi="仿宋_GB2312" w:eastAsia="仿宋_GB2312" w:cs="仿宋_GB2312"/>
          <w:b/>
          <w:bCs/>
          <w:i w:val="0"/>
          <w:iCs w:val="0"/>
          <w:color w:val="auto"/>
          <w:kern w:val="0"/>
          <w:sz w:val="28"/>
          <w:szCs w:val="28"/>
          <w:highlight w:val="none"/>
          <w:shd w:val="clear" w:fill="auto"/>
          <w:lang w:val="en-US" w:eastAsia="zh-CN" w:bidi="ar-SA"/>
        </w:rPr>
        <w:t xml:space="preserve">第二部分 </w:t>
      </w: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95"/>
      <w:bookmarkEnd w:id="96"/>
      <w:bookmarkEnd w:id="97"/>
      <w:bookmarkEnd w:id="98"/>
      <w:bookmarkEnd w:id="99"/>
    </w:p>
    <w:p w14:paraId="6879ADBA">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3" w:name="_Toc6210"/>
      <w:bookmarkStart w:id="104" w:name="_Toc4601"/>
      <w:bookmarkStart w:id="105" w:name="_Toc1655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第一章、乙方承包范围及主要工程内容</w:t>
      </w:r>
      <w:bookmarkEnd w:id="103"/>
      <w:bookmarkEnd w:id="104"/>
      <w:bookmarkEnd w:id="105"/>
    </w:p>
    <w:p w14:paraId="23B922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甲方提供的，经甲方权限流程审批的本工程施工图及施工做法、报价清单、交楼标准、图纸会审、施工方案或施工组织设计等文件所含内容也由乙方施工，本合同另有约定的除外。甲方有权调整乙方的承包范围及内容，乙方不得以任何理由拒绝，否则甲方有权单方解除合同。</w:t>
      </w:r>
    </w:p>
    <w:p w14:paraId="2C59A8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乙方施工前，须在甲方施工员组织下对甲方（或其他单位）交付的施工界面进行检查，并签订好《工完场清交接单》（格式详见附件）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5414BA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1.3乙方自行控制好施工管理，自行组织对施工的有关质量、安全、进度、成本等现场组织管理工作，按甲方项目部确定的施工方案进行施工。</w:t>
      </w:r>
    </w:p>
    <w:p w14:paraId="1884D4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1.4乙方对本工程质量按合同约定承担责任，对本工程安全生产、文明施工、工期进度和甲供材料限额使用等相关事项承担全部责任。</w:t>
      </w:r>
    </w:p>
    <w:p w14:paraId="6BDAC5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1.5乙方自备机具的维修及养护由乙方自行负责；乙方自备/采购的材料、设备或小型机具必须符合设计规范及本项目施工总承包合同的要求。</w:t>
      </w:r>
    </w:p>
    <w:p w14:paraId="5A82E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1.6乙方负责协调、处理本工程涉及的各类关系（包括但不限于政府主管部门、周边居民等关系），确保进退场及施工过程中合法、合规、不扰民，相关费用已包含在合同单价内，不另行计取。</w:t>
      </w:r>
    </w:p>
    <w:p w14:paraId="05F976B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乙方负责购买其在本项目工作的所有人员的社会保险、工伤保险、人身意外伤害保险及建筑施工人员团体意外伤害保险，对本工程质量按合同约定承担保修责任，对本工程的施工质量、安全生产、文明施工、工期进度和甲供材限额使用等相关事项承担全部责任，相关费用等已包含在本合同第一部分合同专用条款第五章约定的合同价格中，甲方无需另行支付费用给乙方。</w:t>
      </w:r>
    </w:p>
    <w:p w14:paraId="11C612C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1.8本项目设计变更引起的增加工程，无论工程量大小及施工难度系数高低，如甲方要求乙方施工，乙方须按甲方要求施工，相关费用按本合同约定办理。</w:t>
      </w:r>
    </w:p>
    <w:p w14:paraId="0D704C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p>
    <w:p w14:paraId="25B251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1.9乙方负责本工程施工现场内所需材料、机具的运输。</w:t>
      </w:r>
    </w:p>
    <w:p w14:paraId="2D2DFB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1.10乙方负责本工程材料、机具堆放场的文明施工工作。</w:t>
      </w:r>
    </w:p>
    <w:p w14:paraId="5CFE4715">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6" w:name="_Toc28153"/>
      <w:bookmarkStart w:id="107" w:name="_Toc29791"/>
      <w:bookmarkStart w:id="108" w:name="_Toc2553"/>
      <w:bookmarkStart w:id="109" w:name="_Toc22079"/>
      <w:bookmarkStart w:id="110" w:name="_Toc382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第二章、工期</w:t>
      </w:r>
      <w:bookmarkEnd w:id="106"/>
      <w:bookmarkEnd w:id="107"/>
      <w:bookmarkEnd w:id="108"/>
    </w:p>
    <w:p w14:paraId="78B1A1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合同总价内，甲方不另补偿或增加任何费用给乙方。因甲方原因导致乙方延迟进场的，经甲方书面确认后工期相应顺延，但甲方不额外支付窝工费、停工费等费用给乙方，乙方不因此追究甲方任何责任及索赔。</w:t>
      </w:r>
    </w:p>
    <w:p w14:paraId="693C194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2.2乙方必须满足甲方工期要求，配合甲方随时增加或减少乙方人员以满足本工程施工要求。</w:t>
      </w:r>
    </w:p>
    <w:p w14:paraId="31F045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2.3乙方提交的开工资料须满足甲方要求，乙方收到甲方项目经理签发并加盖甲方项目章的开工令（格式详见附件）后，须按开工令要求进场。</w:t>
      </w:r>
    </w:p>
    <w:p w14:paraId="5E72669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2.4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5FBA5D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2.5乙方须严格遵照甲方制订的施工进度计划施工及完成相关工作，接受甲方项目部施工任务安排，否则乙方按合同向甲方承担违约金。</w:t>
      </w:r>
    </w:p>
    <w:p w14:paraId="4FB8C4D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2.6乙方已充分考虑天气因素、除不可抗力（如：地震、海啸、瘟疫、骚乱、戒严、暴动、战争等法定情形）外其他原因可能对工期的影响，乙方同意不因任何原因要求延长工期。</w:t>
      </w:r>
    </w:p>
    <w:p w14:paraId="16647A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2.7本工程施工过程出现赶工、交叉作业、停工（包括本项目建设单位原因造成的停工）及工人工资、材料费、机具费上涨等导致乙方成本、费用发生增加的，乙方不因此要求甲方对合同价格进行调整和另行增补费用。</w:t>
      </w:r>
    </w:p>
    <w:p w14:paraId="77B958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2.8春节、元旦、五一、十一、周末等法定节假日、休息日及技术要求或进度计划要求乙方赶工、加班等费用已包含在本合同约定的□合同总价☑合同单价内，甲方无需另行付费给乙方。</w:t>
      </w:r>
    </w:p>
    <w:p w14:paraId="614303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2.9乙方在本合同签订前已勘察本项目现场场地，对本工程特性全部清楚，因甲方原因导致施工计划调整的，乙方免费积极配合。</w:t>
      </w:r>
    </w:p>
    <w:p w14:paraId="663C23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2.10乙方认为甲方或其他单位未配合提供所需工作面、机具及材料而影响施工进度时，须书面告知甲方并按甲方要求办理相关事宜，否则视为不影响乙方施工，乙方不得因此要求延长工期。</w:t>
      </w:r>
    </w:p>
    <w:p w14:paraId="716A404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2.11乙方须严格遵照甲方制订的施工进度计划开展施工，每周必须到甲方项目部在《施工任务表》上签认施工任务并保证完成，否则向甲方承担违约金伍仟元/次。</w:t>
      </w:r>
    </w:p>
    <w:p w14:paraId="7FA32C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2.12本项目竣工验收移交甲方后、保修期结束前，如甲方在本项目内有新增工程且要求乙方进行报价施工时，乙方须予配合。</w:t>
      </w:r>
    </w:p>
    <w:bookmarkEnd w:id="109"/>
    <w:bookmarkEnd w:id="110"/>
    <w:p w14:paraId="504C716B">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1" w:name="_Toc24123"/>
      <w:bookmarkStart w:id="112" w:name="_Toc2287"/>
      <w:bookmarkStart w:id="113" w:name="_Toc254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工程质量标准</w:t>
      </w:r>
      <w:bookmarkEnd w:id="111"/>
      <w:bookmarkEnd w:id="112"/>
      <w:bookmarkEnd w:id="113"/>
    </w:p>
    <w:p w14:paraId="60171C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3.1质量标准：本工程须达到国家、行业相关施工质量验收规范的</w:t>
      </w:r>
      <w:r>
        <w:rPr>
          <w:rFonts w:hint="eastAsia" w:ascii="仿宋" w:hAnsi="仿宋" w:eastAsia="仿宋" w:cs="仿宋"/>
          <w:b w:val="0"/>
          <w:bCs w:val="0"/>
          <w:i w:val="0"/>
          <w:iCs w:val="0"/>
          <w:color w:val="auto"/>
          <w:sz w:val="28"/>
          <w:szCs w:val="28"/>
          <w:highlight w:val="none"/>
          <w:u w:val="single"/>
          <w:lang w:val="en-US" w:eastAsia="zh-CN"/>
        </w:rPr>
        <w:t xml:space="preserve"> 优良 </w:t>
      </w:r>
      <w:r>
        <w:rPr>
          <w:rFonts w:hint="eastAsia" w:ascii="仿宋" w:hAnsi="仿宋" w:eastAsia="仿宋" w:cs="仿宋"/>
          <w:b w:val="0"/>
          <w:bCs w:val="0"/>
          <w:i w:val="0"/>
          <w:iCs w:val="0"/>
          <w:color w:val="auto"/>
          <w:sz w:val="28"/>
          <w:szCs w:val="28"/>
          <w:highlight w:val="none"/>
          <w:lang w:val="en-US" w:eastAsia="zh-CN"/>
        </w:rPr>
        <w:t>标准，本合同另有约定的亦须同时符合该约定。</w:t>
      </w:r>
    </w:p>
    <w:p w14:paraId="066ACE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3.2质量要点</w:t>
      </w:r>
    </w:p>
    <w:p w14:paraId="373B7F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3.2.1由于乙方原因导致工程任一部位质量达不到约定的质量标准或不符合施工规范的，该部位按相应的合同价下调10％结算且乙方无条件完成整改，所发生一切费用由乙方自行承担。</w:t>
      </w:r>
    </w:p>
    <w:p w14:paraId="0DC686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3.2.2乙方必须以甲方验收合格为标准，无条件的接受返工、整改，工期不得顺延。 </w:t>
      </w:r>
    </w:p>
    <w:p w14:paraId="65A326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3.2.3管桩质量控制要求：甲方项目部成立管桩验收小组，参加单位有甲方、管桩厂、乙方、建设单位、监理单位，管桩到场卸桩时，对卸桩至地面每根桩全过程共同检查，乙方进行管桩拖、吊运就位施压，全过程均须签名确认。</w:t>
      </w:r>
    </w:p>
    <w:p w14:paraId="35994B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3.3乙方负责的内容还包括但不限于：</w:t>
      </w:r>
    </w:p>
    <w:p w14:paraId="407664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3.3.1严格执行甲方发布的质量通病细则；</w:t>
      </w:r>
    </w:p>
    <w:p w14:paraId="063D57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3.3.2配备本工程所需电工、焊工，且电工、焊工须持证上岗。甲方电工仅对乙方电工进行监督、检查、管理、指导；</w:t>
      </w:r>
    </w:p>
    <w:p w14:paraId="44BF90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3.3.3本工程具体作法以甲方与建设单位书面确认的交楼标准及施工图纸为准；</w:t>
      </w:r>
    </w:p>
    <w:p w14:paraId="4D6618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3.4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合同总价内，不属于增加工程，除非双方额外签证，否则结算时不另行计费。</w:t>
      </w:r>
    </w:p>
    <w:p w14:paraId="6A9B35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3.5施工现场内本工程所需材料、机具的运输不另计费。材料进、出场时，派工人上、下车，上下车费用包含在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合同总价内。甲供材料的卸车由乙方负责且费用已包含在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合同总价中。</w:t>
      </w:r>
    </w:p>
    <w:p w14:paraId="7926F16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3.6甲方（或监理、建设单位、政府部门）检查、验收本工程或本项目时，乙方须安排管理人员配合检查、验收，否则每次向甲方承担违约金人民币壹万元。乙方施工过程中必须进行质量检查，并按甲方要求做好标记及书面资料，严格执行三级检查制度。乙方须坚决落实甲方、政府部门提出的整改要求，凡未按要求落实整改的，甲方有权对乙方罚款贰仟至伍万元/次，整改二次以上的甲方有权对本工程按□合同总价</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 xml:space="preserve">合同单价下浮5%予以结算。 </w:t>
      </w:r>
    </w:p>
    <w:p w14:paraId="538400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3.7乙方须按甲方确定的样品、合同要求（如本合同书附件、本工程施工图纸等）和有关标准要求供应材料，并提供材料合格证明及对质量负责，乙方提供的材料必须是全新的原装正品且是优等品。</w:t>
      </w:r>
    </w:p>
    <w:p w14:paraId="47FD2E7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3.8乙方使用代用材料前须经甲方书面确认同意，否则不得使用，由此增减的合同价款双方以书面形式议定。</w:t>
      </w:r>
    </w:p>
    <w:p w14:paraId="63E0D64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3.9甲方发现乙方使用不符合设计或合同要求的材料时，乙方重新供应符合合同要求的材料并承担费用（含重新施工费用），同时由此延误的工期不予顺延。</w:t>
      </w:r>
    </w:p>
    <w:p w14:paraId="4C6152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3.10材料使用前应按国家及当地政府主管部门的规定，依相关要求进行必要的现场抽样送检，相关费用由乙方承担，不合格的不得使用。送检人员须由甲方、监理单位及乙方人员组成，按政府相关规定取得检测合格证明后方可投入使用。</w:t>
      </w:r>
    </w:p>
    <w:p w14:paraId="23D1A0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 xml:space="preserve">3.11材料或设备的保管费用及责任由乙方承担，乙方应对进场材料及设备进行妥善的包装、围蔽、保护等。非经甲方书面同意，所有已进场材、料设备不能运出工地。   </w:t>
      </w:r>
    </w:p>
    <w:p w14:paraId="5A5852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3.12由于乙方原因导致工程任一部位质量达不到约定的质量标准或不符合施工规范的，该部位按相应的合同单价下调10％结算且乙方无条件完成整改，所发生一切费用由乙方自行承担。                    </w:t>
      </w:r>
    </w:p>
    <w:p w14:paraId="6AD28C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14" w:name="_Toc6863"/>
      <w:bookmarkStart w:id="115" w:name="_Toc21417"/>
      <w:bookmarkStart w:id="116" w:name="_Toc3675"/>
      <w:bookmarkStart w:id="117" w:name="_Toc14414"/>
      <w:bookmarkStart w:id="118" w:name="_Toc25507"/>
      <w:bookmarkStart w:id="119" w:name="_Toc20800"/>
      <w:bookmarkStart w:id="120" w:name="_Toc13568"/>
      <w:r>
        <w:rPr>
          <w:rFonts w:hint="eastAsia" w:ascii="仿宋" w:hAnsi="仿宋" w:eastAsia="仿宋" w:cs="仿宋"/>
          <w:b w:val="0"/>
          <w:bCs w:val="0"/>
          <w:i w:val="0"/>
          <w:iCs w:val="0"/>
          <w:color w:val="auto"/>
          <w:sz w:val="28"/>
          <w:szCs w:val="28"/>
          <w:highlight w:val="none"/>
          <w:lang w:val="en-US" w:eastAsia="zh-CN"/>
        </w:rPr>
        <w:t>3.13乙供材料收货验收流程及标准</w:t>
      </w:r>
      <w:bookmarkEnd w:id="114"/>
      <w:bookmarkEnd w:id="115"/>
      <w:bookmarkEnd w:id="116"/>
      <w:bookmarkEnd w:id="117"/>
      <w:bookmarkEnd w:id="118"/>
      <w:bookmarkEnd w:id="119"/>
      <w:bookmarkEnd w:id="120"/>
    </w:p>
    <w:p w14:paraId="211EAC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3.13.1乙方签订本合同起1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2C3963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乙方运输材料、机具、设备时，须提前报备至甲方项目部安全员，选择适合的路线准时抵达，避免现场拥堵，运输车辆总重不得超过现场道路限载，并须服从甲方项目人员指挥，装卸时做到安全作业。</w:t>
      </w:r>
    </w:p>
    <w:p w14:paraId="0BA627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施工周转材料和小型机具进场前应报甲方项目部检查，做好特殊标记，并由备案人员进行清点后方可使用，无特殊标记的周转材料不得进场，私自进场的不得外运。</w:t>
      </w:r>
    </w:p>
    <w:p w14:paraId="6F4FCD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3.13.2</w:t>
      </w:r>
      <w:r>
        <w:rPr>
          <w:rFonts w:hint="eastAsia" w:ascii="仿宋" w:hAnsi="仿宋" w:eastAsia="仿宋" w:cs="仿宋"/>
          <w:color w:val="auto"/>
          <w:sz w:val="28"/>
          <w:highlight w:val="none"/>
          <w:u w:val="none"/>
          <w:shd w:val="clear" w:color="auto" w:fill="auto"/>
          <w:lang w:val="en-US" w:eastAsia="zh-CN"/>
        </w:rPr>
        <w:t>乙方送货前须提前向甲方项目部告知送货司机的姓名、联系电话、车辆规格、车牌号，乙方送货单须盖乙方公章。</w:t>
      </w:r>
    </w:p>
    <w:p w14:paraId="3AC4A0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3.13.3</w:t>
      </w:r>
      <w:r>
        <w:rPr>
          <w:rFonts w:hint="eastAsia" w:ascii="仿宋" w:hAnsi="仿宋" w:eastAsia="仿宋" w:cs="仿宋"/>
          <w:color w:val="auto"/>
          <w:sz w:val="28"/>
          <w:highlight w:val="none"/>
          <w:u w:val="none"/>
          <w:shd w:val="clear" w:color="auto" w:fill="auto"/>
          <w:lang w:val="en-US" w:eastAsia="zh-CN"/>
        </w:rPr>
        <w:t>乙供材料进场时，乙方须向甲方提供产品出厂合格证、出厂质量证明书等相关资料并在当天移交甲方存档。</w:t>
      </w:r>
    </w:p>
    <w:p w14:paraId="04F4E3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3.13.4甲方项目施工员在乙供材料、设备进场时，有权对品牌、规格、型号、质量等进行抽检并拍照留存。</w:t>
      </w:r>
    </w:p>
    <w:p w14:paraId="54B34C3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3.13.5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乙方的合同款中自行扣取违约金。</w:t>
      </w:r>
    </w:p>
    <w:p w14:paraId="4A6AD4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3.13.6乙方使用于本工程的所有材料及机械设备必须符合现行国家及项目当地的相关规定，同时按甲方《分包单位材料管理制度》执行。 </w:t>
      </w:r>
    </w:p>
    <w:p w14:paraId="514152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3.14乙方必须以甲方验收合格为标准，无条件的接受返工、整改，工期不得顺延。 </w:t>
      </w:r>
    </w:p>
    <w:p w14:paraId="0BF3F094">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1" w:name="_Toc13366"/>
      <w:bookmarkStart w:id="122" w:name="_Toc13917"/>
      <w:bookmarkStart w:id="123" w:name="_Toc10809"/>
      <w:bookmarkStart w:id="124" w:name="_Toc2664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第四章、合同价款</w:t>
      </w:r>
      <w:bookmarkEnd w:id="121"/>
      <w:bookmarkEnd w:id="122"/>
      <w:bookmarkEnd w:id="123"/>
      <w:bookmarkEnd w:id="124"/>
    </w:p>
    <w:p w14:paraId="0E7D54D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25" w:name="_Toc9531"/>
      <w:bookmarkStart w:id="126" w:name="_Toc27539"/>
      <w:bookmarkStart w:id="127" w:name="_Toc29896"/>
      <w:bookmarkStart w:id="128" w:name="_Toc4027"/>
      <w:bookmarkStart w:id="129" w:name="_Toc2871"/>
      <w:bookmarkStart w:id="130" w:name="_Toc12707"/>
      <w:bookmarkStart w:id="131" w:name="_Toc29001"/>
      <w:r>
        <w:rPr>
          <w:rFonts w:hint="eastAsia" w:ascii="仿宋" w:hAnsi="仿宋" w:eastAsia="仿宋" w:cs="仿宋"/>
          <w:b w:val="0"/>
          <w:bCs w:val="0"/>
          <w:i w:val="0"/>
          <w:iCs w:val="0"/>
          <w:color w:val="auto"/>
          <w:sz w:val="28"/>
          <w:szCs w:val="28"/>
          <w:highlight w:val="none"/>
          <w:lang w:val="en-US" w:eastAsia="zh-CN"/>
        </w:rPr>
        <w:t>4.1合同单价还包括乙方完成下述工作及应对下述情况的费用、风险的费用，甲方无需另行付费给乙方：</w:t>
      </w:r>
      <w:bookmarkEnd w:id="125"/>
      <w:bookmarkEnd w:id="126"/>
      <w:bookmarkEnd w:id="127"/>
      <w:bookmarkEnd w:id="128"/>
      <w:bookmarkEnd w:id="129"/>
      <w:bookmarkEnd w:id="130"/>
      <w:bookmarkEnd w:id="131"/>
    </w:p>
    <w:p w14:paraId="799BC4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（1）确保本工程满足本项目所在地建设安全管理标准化施工要求，一次性达到本项目所在地政府主管部门的达标要求及本合同要求。</w:t>
      </w:r>
    </w:p>
    <w:p w14:paraId="3727A6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（2）参与甲供材料申报采购、验收和收货，其数量作为乙方使用材料损耗率指标的核算依据。</w:t>
      </w:r>
    </w:p>
    <w:p w14:paraId="5369A9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本工程施工过程出现赶工、交叉作业、停工（包括本项目建设单位原因造成的停工）及工人工资、材料费、机具费上涨等导致乙方成本、费用发生增加，乙方不因此要求甲方对合同价格进行调整和另行增补费用。</w:t>
      </w:r>
    </w:p>
    <w:p w14:paraId="5FBEC1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4.2</w:t>
      </w:r>
      <w:r>
        <w:rPr>
          <w:rFonts w:hint="eastAsia" w:ascii="仿宋" w:hAnsi="仿宋" w:eastAsia="仿宋" w:cs="仿宋"/>
          <w:b w:val="0"/>
          <w:bCs w:val="0"/>
          <w:color w:val="auto"/>
          <w:sz w:val="28"/>
          <w:highlight w:val="none"/>
          <w:lang w:val="en-US" w:eastAsia="zh-CN"/>
        </w:rPr>
        <w:t>合同单价及合同条款</w:t>
      </w:r>
      <w:r>
        <w:rPr>
          <w:rFonts w:hint="eastAsia" w:ascii="仿宋" w:hAnsi="仿宋" w:eastAsia="仿宋" w:cs="仿宋"/>
          <w:b w:val="0"/>
          <w:bCs w:val="0"/>
          <w:i w:val="0"/>
          <w:iCs w:val="0"/>
          <w:color w:val="auto"/>
          <w:sz w:val="28"/>
          <w:szCs w:val="28"/>
          <w:highlight w:val="none"/>
          <w:lang w:val="en-US" w:eastAsia="zh-CN"/>
        </w:rPr>
        <w:t>已考虑突发疫情等流行疾病影响因素，乙方不以疫情防控为由要求甲方对合同单价、合同结算办法及工期等合同条款进行调整，防疫措施的一切费用已包含在合同单价内，不另计费。</w:t>
      </w:r>
    </w:p>
    <w:p w14:paraId="14C745A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4.3对于增加或变更工程，须凭甲方项目经理签认的签证单及相关资料办理结算。甲方项目经理委托/授权他人代签均为无效签证，甲方不予办理付款及结算。任何人口头指示、通知不作为结算依据。未经甲方盖项目章书面签证确认或乙方超出图纸、合同清单范围施工的工程量，不属于增加工程，不纳入结算。</w:t>
      </w:r>
    </w:p>
    <w:p w14:paraId="2C09CF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0D3A3BB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4.5合同有效期内，乙方报送甲方项目部签名的台班记录单、送货单、对账单等单据中，表述的各种违背本合同约定的文字内容均无效，乙方承诺均按本合同执行。</w:t>
      </w:r>
    </w:p>
    <w:p w14:paraId="065B852C">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2" w:name="_Toc23577"/>
      <w:bookmarkStart w:id="133" w:name="_Toc19006"/>
      <w:bookmarkStart w:id="134" w:name="_Toc8137"/>
      <w:bookmarkStart w:id="135" w:name="_Toc17936"/>
      <w:bookmarkStart w:id="136" w:name="_Toc13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第五章、计量计价方式及结算方式</w:t>
      </w:r>
      <w:bookmarkEnd w:id="132"/>
      <w:bookmarkEnd w:id="133"/>
      <w:bookmarkEnd w:id="134"/>
      <w:bookmarkEnd w:id="135"/>
      <w:bookmarkEnd w:id="136"/>
    </w:p>
    <w:p w14:paraId="504D1F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37" w:name="_Toc15070"/>
      <w:bookmarkStart w:id="138" w:name="_Toc10016"/>
      <w:bookmarkStart w:id="139" w:name="_Toc7648"/>
      <w:bookmarkStart w:id="140" w:name="_Toc11193"/>
      <w:bookmarkStart w:id="141" w:name="_Toc20328"/>
      <w:bookmarkStart w:id="142" w:name="_Toc24978"/>
      <w:bookmarkStart w:id="143" w:name="_Toc15500"/>
      <w:r>
        <w:rPr>
          <w:rFonts w:hint="eastAsia" w:ascii="仿宋" w:hAnsi="仿宋" w:eastAsia="仿宋" w:cs="仿宋"/>
          <w:b w:val="0"/>
          <w:bCs w:val="0"/>
          <w:i w:val="0"/>
          <w:iCs w:val="0"/>
          <w:color w:val="auto"/>
          <w:sz w:val="28"/>
          <w:szCs w:val="28"/>
          <w:highlight w:val="none"/>
          <w:lang w:val="en-US" w:eastAsia="zh-CN"/>
        </w:rPr>
        <w:t>5.1计量依据（须完成施工并验收合格的方可作为计量依据）</w:t>
      </w:r>
      <w:bookmarkEnd w:id="137"/>
      <w:bookmarkEnd w:id="138"/>
      <w:bookmarkEnd w:id="139"/>
      <w:bookmarkEnd w:id="140"/>
      <w:bookmarkEnd w:id="141"/>
      <w:bookmarkEnd w:id="142"/>
      <w:bookmarkEnd w:id="143"/>
    </w:p>
    <w:p w14:paraId="73C9E3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5.1.1甲方招标报价版施工图纸或甲方签认下发的施工图；</w:t>
      </w:r>
    </w:p>
    <w:p w14:paraId="56F0E4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5.1.2设计变更、甲方与建设单位签认的交楼标准、联系单及签证单；</w:t>
      </w:r>
    </w:p>
    <w:p w14:paraId="3B53AD2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5.1.3甲方、建设单位、监理签认的竣工图；</w:t>
      </w:r>
    </w:p>
    <w:p w14:paraId="623B978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5.1.4图纸会审纪要；</w:t>
      </w:r>
    </w:p>
    <w:p w14:paraId="497367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5.1.5甲方书面另行安排要求施工的内容。</w:t>
      </w:r>
    </w:p>
    <w:p w14:paraId="4D5F47C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44" w:name="_Toc6631"/>
      <w:bookmarkStart w:id="145" w:name="_Toc3431"/>
      <w:bookmarkStart w:id="146" w:name="_Toc25272"/>
      <w:bookmarkStart w:id="147" w:name="_Toc17448"/>
      <w:bookmarkStart w:id="148" w:name="_Toc13803"/>
      <w:bookmarkStart w:id="149" w:name="_Toc11040"/>
      <w:bookmarkStart w:id="150" w:name="_Toc23593"/>
      <w:r>
        <w:rPr>
          <w:rFonts w:hint="eastAsia" w:ascii="仿宋" w:hAnsi="仿宋" w:eastAsia="仿宋" w:cs="仿宋"/>
          <w:b w:val="0"/>
          <w:bCs w:val="0"/>
          <w:i w:val="0"/>
          <w:iCs w:val="0"/>
          <w:color w:val="auto"/>
          <w:sz w:val="28"/>
          <w:szCs w:val="28"/>
          <w:highlight w:val="none"/>
          <w:lang w:val="en-US" w:eastAsia="zh-CN"/>
        </w:rPr>
        <w:t>5.2签证工程管理制度</w:t>
      </w:r>
      <w:bookmarkEnd w:id="144"/>
      <w:bookmarkEnd w:id="145"/>
      <w:bookmarkEnd w:id="146"/>
      <w:bookmarkEnd w:id="147"/>
      <w:bookmarkEnd w:id="148"/>
      <w:bookmarkEnd w:id="149"/>
      <w:bookmarkEnd w:id="150"/>
    </w:p>
    <w:p w14:paraId="282FD7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5.2.1签证必须包括的内容资料及要求（格式详见合同附件）   </w:t>
      </w:r>
    </w:p>
    <w:p w14:paraId="48AA31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5.2.1.1签证单签发时间及编号；</w:t>
      </w:r>
    </w:p>
    <w:p w14:paraId="46D33D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5.2.1.2签证事实发生的原因、工作内容、完成的工程量；</w:t>
      </w:r>
    </w:p>
    <w:p w14:paraId="5D30CDC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5.2.1.3签证单（含附件：①草签单，②通知单/联系单/设计变更文件，③影像资料）由乙方按甲方规定的格式填写。</w:t>
      </w:r>
    </w:p>
    <w:p w14:paraId="01F072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5.2.1.4执行签证事实的依据：例如建设单位签发的建设单位通知、联系函、设计变更等文件。</w:t>
      </w:r>
    </w:p>
    <w:p w14:paraId="4B64AF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5.2.1.5对于无法按图计算的工程内容或者比较重要的签证，须附现场彩色相片，特别是临时增补工程，比如：园林苗木的更换、基础换填、零星工程、隐蔽工程、水电迁移、拆改过程等。</w:t>
      </w:r>
    </w:p>
    <w:p w14:paraId="2EB4E6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595721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5.2.1.7签证执行“一事一签证”的原则，分别列明，不能混编，当出现零星维修、抢修、改造工程，工程量少，过程中间接工序多，无法实际、准确反映乙方实际成本的，必须清楚记录具体部位和实际用工记录。</w:t>
      </w:r>
    </w:p>
    <w:p w14:paraId="4CA4385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5.2.1.8对乙方现场执行人签名、盖章、内容不清楚、不齐全的签证单或工程量计算单，甲方项目部有权拒收。</w:t>
      </w:r>
    </w:p>
    <w:p w14:paraId="15B234B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5.2.1.9对同一签证内容，如“甲方与乙方签证的量、价”和“建设单位与甲方签证的量、价”不一致，以两者中的最小量、价对乙方进行结算。</w:t>
      </w:r>
    </w:p>
    <w:p w14:paraId="55300D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5.2.1.10甲方与建设单位办理了签证单，而该签证单内容甲方又分给了多家施工单位完成的，则乙方须提供甲乙双方确认的《签证单分包说明》（格式详见附件）作为乙方结算依据，乙方方可结算。</w:t>
      </w:r>
    </w:p>
    <w:p w14:paraId="4BB6FF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5.2.1.11对甲方与建设单位未办理签证单，属于绿色文明施工范围内或因其它原因（如临时设施等），而甲方确需与乙方办理签证的情况，则须有《分包签证确认单》（格式详见附件）方可作为结算依据。</w:t>
      </w:r>
    </w:p>
    <w:p w14:paraId="1BB281A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5.2.1.12签证单必须有甲方项目经理签名且加盖甲方项目章方为有效签证，否则甲方不予办理结算。</w:t>
      </w:r>
    </w:p>
    <w:p w14:paraId="7F02B0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5.2.2乙方申报签证程序</w:t>
      </w:r>
    </w:p>
    <w:p w14:paraId="106047D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11C560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5.2.2.2草签单由甲方的施工员、成本管理员、副经理共同现场收方、见证完成并签名，乙方则由合同约定的现场执行人签认。</w:t>
      </w:r>
    </w:p>
    <w:p w14:paraId="359690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5.2.2.3草签单须提供施工前、施工中、施工后的照片、签证预算书作为乙方向甲方办理“分包签证确认单”的必备附件。</w:t>
      </w:r>
    </w:p>
    <w:p w14:paraId="2AEE3D7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5.2.3零星工时计价及相关规定</w:t>
      </w:r>
    </w:p>
    <w:p w14:paraId="69EB9D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5.2.3.1零星用工以分包签证确认单的方式结算，工程量以该签证单确认工程量计算。</w:t>
      </w:r>
    </w:p>
    <w:p w14:paraId="64C6646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5.2.3.2甲方范围内的零星用工单价：按230元/工日（含税）计取。</w:t>
      </w:r>
    </w:p>
    <w:p w14:paraId="6A8E3A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5.2.3.3零星时工填写签证单时，格式按甲方规定的格式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123F4F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5.2.3.4零星时工签证要求及申报程序按照本合同上述第5.2.1~5.2.3条款执行。</w:t>
      </w:r>
    </w:p>
    <w:p w14:paraId="0104A2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5.3甲方巡检发现存在质量问题或验收不合格的工程，工程量不予结算。</w:t>
      </w:r>
    </w:p>
    <w:p w14:paraId="73FF3B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5.4乙方未按甲方要求完成自身工作的，甲方有权安排他人完成并500元/工日/人计价且从应付给乙方的款项中直接扣款，如实际费用超出500元/工日/人，甲方按实际发生的费用从应付给乙方的款项中直接扣款。</w:t>
      </w:r>
    </w:p>
    <w:p w14:paraId="23FD939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5.5乙方递交的结算资料要求：①递交完整的结算书一式两份（正副本各一份）及电子档文件（计价软件、模型算量要求使用“广联达”，计算表格要求“Excel”格式，图纸要求PDF和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 结算资料排序：封面、目录、结算申请表、承包单位工程结算送审承诺书、工程结算资料审查表、工程合同、工程验收单、分包单位结算情况说明、工程结算支付证明单（格式详见附件）、分包签证确认单、分项工程/认质认价申报审批表（格式详见附件）、工程结算书、签证预算书、变更单、签证联系函及签证单、照片及相关图纸、记录文件、竣工图或竣工图移交清单等（具体详见附件《工程结算资料目录》的分包单位结算申请书所包含资料）；④乙方递交结算资料的前提是甲方已有建设单位签字的完整版竣工图，否则甲方有权不接收结算资料且不办理结算；⑤递交结算资料须按《结算申请表》、《工程结算资料审查表》填写；⑥总价包干合同则必须专页提供未施工内容或减少工程量、材料品牌、规格不符合本合同约定或修改的相关内容及资料。</w:t>
      </w:r>
    </w:p>
    <w:p w14:paraId="3C4642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5.6乙方办理结算时必须按甲方要求对合同范围内每个组团或每个地块或每栋楼单独结算，否则甲方有权不予结算且不承担任何违约责任。</w:t>
      </w:r>
    </w:p>
    <w:p w14:paraId="4824D8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5.7乙方办理工程进度款申请书、结算书时必须提供甲方主管施工员和项目经理签名的“工完场清交接单”，否则甲方有权不予办理付款及结算。</w:t>
      </w:r>
    </w:p>
    <w:p w14:paraId="4078A7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5.8乙方须实事求是办理结算，不得虚报工程结算。</w:t>
      </w:r>
    </w:p>
    <w:p w14:paraId="1232AB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5.9合同内未施工的清单分项、图纸内容，乙方在申报结算书中未扣减其相应费用的而向甲方申报结算的，乙方按上述其未施工项目申报的结算金额的200%向甲方支付违约金，甲方可在与乙方相关的任意合同款中直接扣除违约金。</w:t>
      </w:r>
    </w:p>
    <w:p w14:paraId="3888C57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5.10本工程结算书及相关结算资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核减超过10%以外的金额乘以20%作为违约金在结算中一次性扣除。同一事件或所有同样性质的违约，乙方承诺均按本条款及“结算竣工图承诺书”叠加承担违约金。</w:t>
      </w:r>
    </w:p>
    <w:p w14:paraId="1BA1CD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5.11乙方提交的结算资料须符合本合同其他条款的要求（如附件《工程结算资料目录》等的要求），否则甲方有权不予办理结算且不违约。</w:t>
      </w:r>
      <w:bookmarkStart w:id="151" w:name="_Toc16700"/>
      <w:bookmarkStart w:id="152" w:name="_Toc15793"/>
      <w:bookmarkStart w:id="153" w:name="_Toc15296"/>
      <w:bookmarkStart w:id="154" w:name="_Toc11671"/>
      <w:bookmarkStart w:id="155" w:name="_Toc26012"/>
    </w:p>
    <w:p w14:paraId="706B11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5.12如竣工图由乙方绘制，</w:t>
      </w:r>
      <w:r>
        <w:rPr>
          <w:rFonts w:hint="default" w:ascii="仿宋" w:hAnsi="仿宋" w:eastAsia="仿宋" w:cs="仿宋"/>
          <w:b w:val="0"/>
          <w:bCs w:val="0"/>
          <w:i w:val="0"/>
          <w:iCs w:val="0"/>
          <w:color w:val="auto"/>
          <w:sz w:val="28"/>
          <w:szCs w:val="28"/>
          <w:highlight w:val="none"/>
          <w:lang w:val="en-US" w:eastAsia="zh-CN"/>
        </w:rPr>
        <w:t>乙方承诺按甲方要求编汇竣工图并按甲方要求提报</w:t>
      </w:r>
      <w:r>
        <w:rPr>
          <w:rFonts w:hint="eastAsia" w:ascii="仿宋" w:hAnsi="仿宋" w:eastAsia="仿宋" w:cs="仿宋"/>
          <w:b w:val="0"/>
          <w:bCs w:val="0"/>
          <w:i w:val="0"/>
          <w:iCs w:val="0"/>
          <w:color w:val="auto"/>
          <w:sz w:val="28"/>
          <w:szCs w:val="28"/>
          <w:highlight w:val="none"/>
          <w:lang w:val="en-US" w:eastAsia="zh-CN"/>
        </w:rPr>
        <w:t>给</w:t>
      </w:r>
      <w:r>
        <w:rPr>
          <w:rFonts w:hint="default"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lang w:val="en-US" w:eastAsia="zh-CN"/>
        </w:rPr>
        <w:t>（如有）</w:t>
      </w:r>
      <w:r>
        <w:rPr>
          <w:rFonts w:hint="default" w:ascii="仿宋" w:hAnsi="仿宋" w:eastAsia="仿宋" w:cs="仿宋"/>
          <w:b w:val="0"/>
          <w:bCs w:val="0"/>
          <w:i w:val="0"/>
          <w:iCs w:val="0"/>
          <w:color w:val="auto"/>
          <w:sz w:val="28"/>
          <w:szCs w:val="28"/>
          <w:highlight w:val="none"/>
          <w:lang w:val="en-US" w:eastAsia="zh-CN"/>
        </w:rPr>
        <w:t>，承诺竣工图内容与现场实际完全相符，如</w:t>
      </w:r>
      <w:r>
        <w:rPr>
          <w:rFonts w:hint="eastAsia" w:ascii="仿宋" w:hAnsi="仿宋" w:eastAsia="仿宋" w:cs="仿宋"/>
          <w:b w:val="0"/>
          <w:bCs w:val="0"/>
          <w:i w:val="0"/>
          <w:iCs w:val="0"/>
          <w:color w:val="auto"/>
          <w:sz w:val="28"/>
          <w:szCs w:val="28"/>
          <w:highlight w:val="none"/>
          <w:lang w:val="en-US" w:eastAsia="zh-CN"/>
        </w:rPr>
        <w:t>乙方存在</w:t>
      </w:r>
      <w:r>
        <w:rPr>
          <w:rFonts w:hint="default" w:ascii="仿宋" w:hAnsi="仿宋" w:eastAsia="仿宋" w:cs="仿宋"/>
          <w:b w:val="0"/>
          <w:bCs w:val="0"/>
          <w:i w:val="0"/>
          <w:iCs w:val="0"/>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b w:val="0"/>
          <w:bCs w:val="0"/>
          <w:i w:val="0"/>
          <w:iCs w:val="0"/>
          <w:color w:val="auto"/>
          <w:sz w:val="28"/>
          <w:szCs w:val="28"/>
          <w:highlight w:val="none"/>
          <w:lang w:val="en-US" w:eastAsia="zh-CN"/>
        </w:rPr>
        <w:t>甲乙</w:t>
      </w:r>
      <w:r>
        <w:rPr>
          <w:rFonts w:hint="default" w:ascii="仿宋" w:hAnsi="仿宋" w:eastAsia="仿宋" w:cs="仿宋"/>
          <w:b w:val="0"/>
          <w:bCs w:val="0"/>
          <w:i w:val="0"/>
          <w:iCs w:val="0"/>
          <w:color w:val="auto"/>
          <w:sz w:val="28"/>
          <w:szCs w:val="28"/>
          <w:highlight w:val="none"/>
          <w:lang w:val="en-US" w:eastAsia="zh-CN"/>
        </w:rPr>
        <w:t>双方最终确认结算价10%及以上的，</w:t>
      </w:r>
      <w:r>
        <w:rPr>
          <w:rFonts w:hint="eastAsia" w:ascii="仿宋" w:hAnsi="仿宋" w:eastAsia="仿宋" w:cs="仿宋"/>
          <w:b w:val="0"/>
          <w:bCs w:val="0"/>
          <w:i w:val="0"/>
          <w:iCs w:val="0"/>
          <w:color w:val="auto"/>
          <w:sz w:val="28"/>
          <w:szCs w:val="28"/>
          <w:highlight w:val="none"/>
          <w:lang w:val="en-US" w:eastAsia="zh-CN"/>
        </w:rPr>
        <w:t>乙方</w:t>
      </w:r>
      <w:r>
        <w:rPr>
          <w:rFonts w:hint="default" w:ascii="仿宋" w:hAnsi="仿宋" w:eastAsia="仿宋" w:cs="仿宋"/>
          <w:b w:val="0"/>
          <w:bCs w:val="0"/>
          <w:i w:val="0"/>
          <w:iCs w:val="0"/>
          <w:color w:val="auto"/>
          <w:sz w:val="28"/>
          <w:szCs w:val="28"/>
          <w:highlight w:val="none"/>
          <w:lang w:val="en-US" w:eastAsia="zh-CN"/>
        </w:rPr>
        <w:t>同意承担甲方因此产生的全部损失并同意按虚报工程量造价金额的20%支付违约金，违约金在结算中扣除。违约金与合同</w:t>
      </w:r>
      <w:r>
        <w:rPr>
          <w:rFonts w:hint="eastAsia" w:ascii="仿宋" w:hAnsi="仿宋" w:eastAsia="仿宋" w:cs="仿宋"/>
          <w:b w:val="0"/>
          <w:bCs w:val="0"/>
          <w:i w:val="0"/>
          <w:iCs w:val="0"/>
          <w:color w:val="auto"/>
          <w:sz w:val="28"/>
          <w:szCs w:val="28"/>
          <w:highlight w:val="none"/>
          <w:lang w:val="en-US" w:eastAsia="zh-CN"/>
        </w:rPr>
        <w:t>其他约定</w:t>
      </w:r>
      <w:r>
        <w:rPr>
          <w:rFonts w:hint="default" w:ascii="仿宋" w:hAnsi="仿宋" w:eastAsia="仿宋" w:cs="仿宋"/>
          <w:b w:val="0"/>
          <w:bCs w:val="0"/>
          <w:i w:val="0"/>
          <w:iCs w:val="0"/>
          <w:color w:val="auto"/>
          <w:sz w:val="28"/>
          <w:szCs w:val="28"/>
          <w:highlight w:val="none"/>
          <w:lang w:val="en-US" w:eastAsia="zh-CN"/>
        </w:rPr>
        <w:t>不一致的，按违约金金额高的标准执行。</w:t>
      </w:r>
    </w:p>
    <w:p w14:paraId="38E488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6" w:name="_Toc2534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第六章、付款方式</w:t>
      </w:r>
      <w:bookmarkEnd w:id="151"/>
      <w:bookmarkEnd w:id="152"/>
      <w:bookmarkEnd w:id="153"/>
      <w:bookmarkEnd w:id="154"/>
      <w:bookmarkEnd w:id="155"/>
      <w:bookmarkEnd w:id="156"/>
    </w:p>
    <w:p w14:paraId="188977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6.1每笔进度款支付分配安排如下：</w:t>
      </w:r>
    </w:p>
    <w:p w14:paraId="105C34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4月份无节点款申请但有工人工资需发放的情况下，乙方需在5月10日前按上述提供工人工资发放资料，经甲方审核无误后2个工作日内乙方将同本次发放工资款金额一致的款项支付至甲方，由甲方统一通过工人工资户发放工人工资。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若乙方当次申请的、达到付款条件的工程款金额支付当次待付工人工资后尚有余额，余额由甲方直接支付至乙方公司账户。</w:t>
      </w:r>
    </w:p>
    <w:p w14:paraId="72E087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甲方每次支付乙方款项前，乙方向甲方支付所有罚款、代付款、赔偿及违约金等所有应付款项，否则甲方有权不付款。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BAD4F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6.3付款形式：优先使用网银、银行承兑汇票等，支票、电汇视情况而定。甲方选择其中任意一种支付形式给乙方合同款，均视为乙方收到该合同款。</w:t>
      </w:r>
    </w:p>
    <w:p w14:paraId="5D3A9E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w:t>
      </w:r>
      <w:r>
        <w:rPr>
          <w:rFonts w:hint="eastAsia" w:ascii="仿宋" w:hAnsi="仿宋" w:eastAsia="仿宋" w:cs="仿宋"/>
          <w:color w:val="auto"/>
          <w:sz w:val="28"/>
          <w:szCs w:val="28"/>
          <w:highlight w:val="none"/>
          <w:lang w:val="en-US" w:eastAsia="zh-CN"/>
        </w:rPr>
        <w:t>乙方每次向甲方请款时</w:t>
      </w:r>
      <w:r>
        <w:rPr>
          <w:rFonts w:hint="eastAsia" w:ascii="仿宋" w:hAnsi="仿宋" w:eastAsia="仿宋" w:cs="仿宋"/>
          <w:b w:val="0"/>
          <w:bCs w:val="0"/>
          <w:i w:val="0"/>
          <w:iCs w:val="0"/>
          <w:color w:val="auto"/>
          <w:sz w:val="28"/>
          <w:szCs w:val="28"/>
          <w:highlight w:val="none"/>
          <w:lang w:val="en-US" w:eastAsia="zh-CN"/>
        </w:rPr>
        <w:t>必须提供甲方认可且符合合同约定的等额合法增值税专用发票（开票内容须与合同内容一致，各组团或各地块独立开具发票，以甲方要求为准），否则甲方有权不付款。甲方以实际收到乙方请款资料（包括《工人工资发放承诺书》等，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DD1388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6.5乙方每次向甲方请款时，应按甲方要求注明该次请款所含的每个组团、每个地块、每栋楼具体金额，否则甲方有权不付款且不违约。</w:t>
      </w:r>
    </w:p>
    <w:p w14:paraId="536444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5EA55D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6.7如甲乙双方对应付款金额、结算金额产生争议，甲方有权暂缓付款且不违约，甲方无须向乙方支付违约金或利息，直至双方达成一致意见后方可按甲方相应流程办理付款手续。</w:t>
      </w:r>
    </w:p>
    <w:p w14:paraId="3A7770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73A4A4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6.9乙方必须按税法规定的四流合一执行合同，即合同流、货物流、发票流、资金流一致，否则视为乙方违约，且由乙方承担所有责任及损失，直至满足四流合一，甲方方才付款。</w:t>
      </w:r>
    </w:p>
    <w:p w14:paraId="56A740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6.10乙方在本项目工作的人员如未在本项目进行实名制登记备案、打卡，甲方不计发该人员在工人工资专用账号的工资，由乙方自行解决，由此所导致的一切后果和全部责任均由乙方承担，同时甲方就此对乙方按1000元/人/次收取违约金。</w:t>
      </w:r>
    </w:p>
    <w:p w14:paraId="0B17EBE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6.11凡是乙方申报了乙方不在本项目工作人员的工人工资，属于乙方违约，由此所导致的一切后果和责任均由乙方承担，同时乙方向甲方承担违约金1000元/人/次。</w:t>
      </w:r>
    </w:p>
    <w:p w14:paraId="62FE97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6.12对报价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4AF936C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7" w:name="_Toc23840"/>
      <w:bookmarkStart w:id="158" w:name="_Toc32659"/>
      <w:bookmarkStart w:id="159" w:name="_Toc9906"/>
      <w:bookmarkStart w:id="160" w:name="_Toc1493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第七章、双方责任和权利</w:t>
      </w:r>
      <w:bookmarkEnd w:id="157"/>
      <w:bookmarkEnd w:id="158"/>
      <w:bookmarkEnd w:id="159"/>
      <w:bookmarkEnd w:id="160"/>
    </w:p>
    <w:p w14:paraId="5AEE133B">
      <w:pPr>
        <w:keepNext w:val="0"/>
        <w:keepLines w:val="0"/>
        <w:pageBreakBefore w:val="0"/>
        <w:widowControl w:val="0"/>
        <w:kinsoku/>
        <w:wordWrap/>
        <w:overflowPunct/>
        <w:topLinePunct w:val="0"/>
        <w:autoSpaceDE/>
        <w:autoSpaceDN/>
        <w:bidi w:val="0"/>
        <w:adjustRightInd w:val="0"/>
        <w:snapToGrid w:val="0"/>
        <w:spacing w:line="360" w:lineRule="auto"/>
        <w:ind w:left="-140" w:leftChars="-50" w:right="112" w:rightChars="4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61" w:name="_Toc9016"/>
      <w:bookmarkStart w:id="162" w:name="_Toc7257"/>
      <w:bookmarkStart w:id="163" w:name="_Toc31047"/>
      <w:bookmarkStart w:id="164" w:name="_Toc3945"/>
      <w:bookmarkStart w:id="165" w:name="_Toc6947"/>
      <w:bookmarkStart w:id="166" w:name="_Toc10420"/>
      <w:bookmarkStart w:id="167" w:name="_Toc31294"/>
      <w:r>
        <w:rPr>
          <w:rFonts w:hint="eastAsia" w:ascii="仿宋" w:hAnsi="仿宋" w:eastAsia="仿宋" w:cs="仿宋"/>
          <w:b/>
          <w:bCs/>
          <w:i w:val="0"/>
          <w:iCs w:val="0"/>
          <w:color w:val="auto"/>
          <w:sz w:val="28"/>
          <w:szCs w:val="28"/>
          <w:highlight w:val="none"/>
          <w:shd w:val="clear" w:color="auto" w:fill="auto"/>
          <w:lang w:val="en-US" w:eastAsia="zh-CN"/>
        </w:rPr>
        <w:t>7</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61"/>
      <w:bookmarkEnd w:id="162"/>
      <w:bookmarkEnd w:id="163"/>
      <w:bookmarkEnd w:id="164"/>
      <w:bookmarkEnd w:id="165"/>
      <w:bookmarkEnd w:id="166"/>
      <w:bookmarkEnd w:id="167"/>
    </w:p>
    <w:p w14:paraId="28C471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rPr>
          <w:rFonts w:hint="eastAsia" w:ascii="仿宋" w:hAnsi="仿宋" w:eastAsia="仿宋" w:cs="仿宋"/>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7.1.1</w:t>
      </w:r>
      <w:r>
        <w:rPr>
          <w:rFonts w:hint="eastAsia" w:ascii="仿宋" w:hAnsi="仿宋" w:eastAsia="仿宋" w:cs="仿宋"/>
          <w:i w:val="0"/>
          <w:iCs w:val="0"/>
          <w:color w:val="auto"/>
          <w:sz w:val="28"/>
          <w:szCs w:val="28"/>
          <w:highlight w:val="none"/>
        </w:rPr>
        <w:t>按国家工程质量标准</w:t>
      </w:r>
      <w:r>
        <w:rPr>
          <w:rFonts w:hint="eastAsia" w:ascii="仿宋" w:hAnsi="仿宋" w:eastAsia="仿宋" w:cs="仿宋"/>
          <w:i w:val="0"/>
          <w:iCs w:val="0"/>
          <w:color w:val="auto"/>
          <w:sz w:val="28"/>
          <w:szCs w:val="28"/>
          <w:highlight w:val="none"/>
          <w:lang w:val="en-US" w:eastAsia="zh-CN"/>
        </w:rPr>
        <w:t>及本工程设计文件</w:t>
      </w:r>
      <w:r>
        <w:rPr>
          <w:rFonts w:hint="eastAsia" w:ascii="仿宋" w:hAnsi="仿宋" w:eastAsia="仿宋" w:cs="仿宋"/>
          <w:i w:val="0"/>
          <w:iCs w:val="0"/>
          <w:color w:val="auto"/>
          <w:sz w:val="28"/>
          <w:szCs w:val="28"/>
          <w:highlight w:val="none"/>
        </w:rPr>
        <w:t>对乙方施工成品进行内部核验，并办理过程验收手续和完工后总体验收手续。在验收合格情况下按照合同及时结算及付</w:t>
      </w:r>
      <w:r>
        <w:rPr>
          <w:rFonts w:hint="eastAsia" w:ascii="仿宋" w:hAnsi="仿宋" w:eastAsia="仿宋" w:cs="仿宋"/>
          <w:i w:val="0"/>
          <w:iCs w:val="0"/>
          <w:color w:val="auto"/>
          <w:sz w:val="28"/>
          <w:szCs w:val="28"/>
          <w:highlight w:val="none"/>
          <w:lang w:val="en-US" w:eastAsia="zh-CN"/>
        </w:rPr>
        <w:t>款</w:t>
      </w:r>
      <w:r>
        <w:rPr>
          <w:rFonts w:hint="eastAsia" w:ascii="仿宋" w:hAnsi="仿宋" w:eastAsia="仿宋" w:cs="仿宋"/>
          <w:i w:val="0"/>
          <w:iCs w:val="0"/>
          <w:color w:val="auto"/>
          <w:sz w:val="28"/>
          <w:szCs w:val="28"/>
          <w:highlight w:val="none"/>
        </w:rPr>
        <w:t>。</w:t>
      </w:r>
    </w:p>
    <w:p w14:paraId="6A3D2E9D">
      <w:pPr>
        <w:keepNext w:val="0"/>
        <w:keepLines w:val="0"/>
        <w:pageBreakBefore w:val="0"/>
        <w:widowControl w:val="0"/>
        <w:kinsoku/>
        <w:wordWrap/>
        <w:overflowPunct/>
        <w:topLinePunct w:val="0"/>
        <w:autoSpaceDE/>
        <w:autoSpaceDN/>
        <w:bidi w:val="0"/>
        <w:adjustRightInd w:val="0"/>
        <w:snapToGrid w:val="0"/>
        <w:spacing w:line="360" w:lineRule="auto"/>
        <w:ind w:left="-140" w:leftChars="-50" w:right="-238" w:rightChars="-85" w:firstLine="627" w:firstLineChars="224"/>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乙方进场前，甲方应做好“三通一平”和施工前的准备工作，主要为：接通水源、电源，办理报建、临时占用道路等手续，排除地下障碍物，包括不可迁移的地下管线和四周建筑物的安全防护措施（如需加固及完工后的维修等费用由甲方负责）。施工期间，非乙方原因造成的地下管线及四周建筑物损坏均由甲方承担。但在施工中，乙方须关注地下管线和四周建筑物的安全，如发现险情须立即停止施工并通知甲方共同制定有效的安全处理措施，不得冒险作业。</w:t>
      </w:r>
    </w:p>
    <w:p w14:paraId="21D437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7.1.3甲方提供座标和高程基准点，作为乙方为本工程桩位测设的依据。</w:t>
      </w:r>
    </w:p>
    <w:p w14:paraId="1B00ED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7.1.4甲方有权根据本项目总体情况安排、调整本工程工期，规定乙方先做某部位后做某部位，何时增加工人何时减少工人，乙方必须服从调动及安排。</w:t>
      </w:r>
    </w:p>
    <w:p w14:paraId="474688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7.1.5甲方有权对乙方在施工中出现的不符合设计图纸、违反施工规范和安全操作规程、材料浪费等违规行为强行制止，并要求乙方在规定时间内按要求整改，同时有权根据具体情况对乙方收取相关违约金。</w:t>
      </w:r>
    </w:p>
    <w:p w14:paraId="07144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7.1.6甲方有权对乙方及其人员进行技术考核，考核不合格的人员不能上岗且乙方按甲方要求调换合格人员接替上岗。</w:t>
      </w:r>
    </w:p>
    <w:p w14:paraId="3E9028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甲方对乙方向乙方人员发放报酬的情况有知情权，乙方工人工资金额由乙方提供书面文件给甲方项目部及甲方工程部核实确定。甲方有权知晓乙方工人的工资分配制度和实施情况，对不合理、违规的分配甲方有权制止及干预。乙方须及时支付工人工资及材料款，如乙方欠款导致甲方被追索，甲方有权自应付给乙方的款项中扣款代付，但此举不视为甲方同意对乙方债务承担责任。乙方对甲方代付行为及金额无异议，如应付给乙方的工程款不足以代付导致甲方需垫付费用，乙方需在甲方发出书面通知起3个日历天内还清甲方垫付款并自甲方垫付之日起按一年期贷款市场报价利率（LPR）的4倍为标准支付利息给甲方。</w:t>
      </w:r>
    </w:p>
    <w:p w14:paraId="7191A1B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7.1.8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14D8A1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7.1.9凡甲方认为会影响本工程质量或可能导致安全事故的乙方自备材料、机具等，乙方不得用于本项目，否则乙方无条件更换且每次向甲方承担违约金壹万元及不延长工期。</w:t>
      </w:r>
    </w:p>
    <w:p w14:paraId="71EEA1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7.1.10甲方因参与本合同履行而发出、或与乙方达成合意所形成的一切相关文件，均须同时加盖甲方公章及经法定代表人（或授权代表人）签名，否则均不对甲方产生约束力，除非事后获得甲方另行追认。</w:t>
      </w:r>
    </w:p>
    <w:p w14:paraId="388D60C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7.1.11对乙方不按合同约定时间向甲方申报其工人工资资料等行为，甲方有权对乙方收取违约金，每逾期一天的违约金不少于伍佰元/人（按乙方在本工程施工工人人数计）。</w:t>
      </w:r>
    </w:p>
    <w:p w14:paraId="5041824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7.1.12若乙方原因导致其工人工资不能及时发放，工人发生停工或静坐、闹事等不良行为的，甲方有权按本合同相关条款（如本合同第二部分合同通用条款第十二章等）向乙方收取违约金。</w:t>
      </w:r>
    </w:p>
    <w:p w14:paraId="1B9382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7.1.13工程若有变更，甲方必须以书面形式通知乙方，若因工程变更导致增加工程量，甲方须给予乙方合理的备料期（具体时间双方协商）并办理签证确认</w:t>
      </w:r>
    </w:p>
    <w:p w14:paraId="391D54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lang w:val="en-US" w:eastAsia="zh-CN"/>
        </w:rPr>
        <w:t>7.</w:t>
      </w:r>
      <w:r>
        <w:rPr>
          <w:rFonts w:hint="eastAsia" w:ascii="仿宋" w:hAnsi="仿宋" w:eastAsia="仿宋" w:cs="仿宋"/>
          <w:b/>
          <w:bCs/>
          <w:i w:val="0"/>
          <w:iCs w:val="0"/>
          <w:color w:val="auto"/>
          <w:sz w:val="28"/>
          <w:szCs w:val="28"/>
          <w:highlight w:val="none"/>
        </w:rPr>
        <w:t>2乙方责任和权利</w:t>
      </w:r>
    </w:p>
    <w:p w14:paraId="61402DB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7.2.1施工前，乙方须仔细阅读本工程相关地质资料，并明确现场施工场地是否与地质资料相符，提出合理化建议。因乙方未对地质资料进行实际核查而导致的不良后果、责任及损失由乙方承担。</w:t>
      </w:r>
    </w:p>
    <w:p w14:paraId="63A83F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7.2.2乙方须按设计图纸和施工规范施工，保证施工成品质量满足合同要求。因乙方原因导致的质量事故，由乙方赔偿甲方损失，并根据甲方提供的座标和高程基准点对本工程进行测量、放线，对测设结果负责。</w:t>
      </w:r>
    </w:p>
    <w:p w14:paraId="4C4547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7.2.3乙方负责本工程所有资料的编制（包括</w:t>
      </w:r>
      <w:r>
        <w:rPr>
          <w:rFonts w:hint="eastAsia" w:ascii="仿宋" w:hAnsi="仿宋" w:eastAsia="仿宋" w:cs="仿宋"/>
          <w:b w:val="0"/>
          <w:bCs w:val="0"/>
          <w:i w:val="0"/>
          <w:iCs w:val="0"/>
          <w:color w:val="auto"/>
          <w:sz w:val="28"/>
          <w:szCs w:val="28"/>
          <w:highlight w:val="none"/>
        </w:rPr>
        <w:t>打桩、压桩</w:t>
      </w:r>
      <w:r>
        <w:rPr>
          <w:rFonts w:hint="eastAsia" w:ascii="仿宋" w:hAnsi="仿宋" w:eastAsia="仿宋" w:cs="仿宋"/>
          <w:b w:val="0"/>
          <w:bCs w:val="0"/>
          <w:i w:val="0"/>
          <w:iCs w:val="0"/>
          <w:color w:val="auto"/>
          <w:sz w:val="28"/>
          <w:szCs w:val="28"/>
          <w:highlight w:val="none"/>
          <w:lang w:val="en-US" w:eastAsia="zh-CN"/>
        </w:rPr>
        <w:t>的</w:t>
      </w:r>
      <w:r>
        <w:rPr>
          <w:rFonts w:hint="eastAsia" w:ascii="仿宋" w:hAnsi="仿宋" w:eastAsia="仿宋" w:cs="仿宋"/>
          <w:b w:val="0"/>
          <w:bCs w:val="0"/>
          <w:i w:val="0"/>
          <w:iCs w:val="0"/>
          <w:color w:val="auto"/>
          <w:sz w:val="28"/>
          <w:szCs w:val="28"/>
          <w:highlight w:val="none"/>
        </w:rPr>
        <w:t>施工记录</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，并在施工当日经甲方、建设单位、监理方共同签字确认，否则向甲方承担违约金壹万元/次</w:t>
      </w:r>
      <w:r>
        <w:rPr>
          <w:rFonts w:hint="eastAsia" w:ascii="仿宋" w:hAnsi="仿宋" w:eastAsia="仿宋" w:cs="仿宋"/>
          <w:b w:val="0"/>
          <w:bCs w:val="0"/>
          <w:i w:val="0"/>
          <w:iCs w:val="0"/>
          <w:color w:val="auto"/>
          <w:sz w:val="28"/>
          <w:szCs w:val="28"/>
          <w:highlight w:val="none"/>
        </w:rPr>
        <w:t>。</w:t>
      </w:r>
    </w:p>
    <w:p w14:paraId="45A370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2.4遵守甲方管理制度，服从甲方管理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如甲方需要乙方配合施工，乙方必须安排相应技工或工作人员配合、值班，费用已包含在合同价内，甲方不另计费给乙方</w:t>
      </w:r>
      <w:r>
        <w:rPr>
          <w:rFonts w:hint="eastAsia" w:ascii="仿宋" w:hAnsi="仿宋" w:eastAsia="仿宋" w:cs="仿宋"/>
          <w:b w:val="0"/>
          <w:bCs w:val="0"/>
          <w:i w:val="0"/>
          <w:iCs w:val="0"/>
          <w:color w:val="auto"/>
          <w:sz w:val="28"/>
          <w:szCs w:val="28"/>
          <w:highlight w:val="none"/>
        </w:rPr>
        <w:t>。</w:t>
      </w:r>
    </w:p>
    <w:p w14:paraId="12B9E1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2.5</w:t>
      </w:r>
      <w:r>
        <w:rPr>
          <w:rFonts w:hint="eastAsia" w:ascii="仿宋" w:hAnsi="仿宋" w:eastAsia="仿宋" w:cs="仿宋"/>
          <w:b w:val="0"/>
          <w:bCs w:val="0"/>
          <w:i w:val="0"/>
          <w:iCs w:val="0"/>
          <w:color w:val="auto"/>
          <w:sz w:val="28"/>
          <w:szCs w:val="28"/>
          <w:highlight w:val="none"/>
          <w:lang w:val="en-US" w:eastAsia="zh-CN"/>
        </w:rPr>
        <w:t>乙方必须严格按照国家、省《建筑地基基础施工及验收规范》和设计图纸的要求进行施工，在施工过程中，发现有质量问题或深度不够等，应及时向甲方、建设单位、设计单位提出书面意见，征得甲方、建设单位和设计单位同意后方能改变施工方案。乙方</w:t>
      </w:r>
      <w:r>
        <w:rPr>
          <w:rFonts w:hint="eastAsia" w:ascii="仿宋" w:hAnsi="仿宋" w:eastAsia="仿宋" w:cs="仿宋"/>
          <w:b w:val="0"/>
          <w:bCs w:val="0"/>
          <w:i w:val="0"/>
          <w:iCs w:val="0"/>
          <w:color w:val="auto"/>
          <w:sz w:val="28"/>
          <w:szCs w:val="28"/>
          <w:highlight w:val="none"/>
        </w:rPr>
        <w:t>对完成的每一</w:t>
      </w:r>
      <w:r>
        <w:rPr>
          <w:rFonts w:hint="eastAsia" w:ascii="仿宋" w:hAnsi="仿宋" w:eastAsia="仿宋" w:cs="仿宋"/>
          <w:b w:val="0"/>
          <w:bCs w:val="0"/>
          <w:i w:val="0"/>
          <w:iCs w:val="0"/>
          <w:color w:val="auto"/>
          <w:sz w:val="28"/>
          <w:szCs w:val="28"/>
          <w:highlight w:val="none"/>
          <w:lang w:eastAsia="zh-CN"/>
        </w:rPr>
        <w:t>道</w:t>
      </w:r>
      <w:r>
        <w:rPr>
          <w:rFonts w:hint="eastAsia" w:ascii="仿宋" w:hAnsi="仿宋" w:eastAsia="仿宋" w:cs="仿宋"/>
          <w:b w:val="0"/>
          <w:bCs w:val="0"/>
          <w:i w:val="0"/>
          <w:iCs w:val="0"/>
          <w:color w:val="auto"/>
          <w:sz w:val="28"/>
          <w:szCs w:val="28"/>
          <w:highlight w:val="none"/>
        </w:rPr>
        <w:t>工序及时、认真进行自检，自检合格后提请甲方验收。对验收中</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提出的问题</w:t>
      </w:r>
      <w:r>
        <w:rPr>
          <w:rFonts w:hint="eastAsia" w:ascii="仿宋" w:hAnsi="仿宋" w:eastAsia="仿宋" w:cs="仿宋"/>
          <w:b w:val="0"/>
          <w:bCs w:val="0"/>
          <w:i w:val="0"/>
          <w:iCs w:val="0"/>
          <w:color w:val="auto"/>
          <w:sz w:val="28"/>
          <w:szCs w:val="28"/>
          <w:highlight w:val="none"/>
          <w:lang w:val="en-US" w:eastAsia="zh-CN"/>
        </w:rPr>
        <w:t>按甲方要求的时间、质量要求</w:t>
      </w:r>
      <w:r>
        <w:rPr>
          <w:rFonts w:hint="eastAsia" w:ascii="仿宋" w:hAnsi="仿宋" w:eastAsia="仿宋" w:cs="仿宋"/>
          <w:b w:val="0"/>
          <w:bCs w:val="0"/>
          <w:i w:val="0"/>
          <w:iCs w:val="0"/>
          <w:color w:val="auto"/>
          <w:sz w:val="28"/>
          <w:szCs w:val="28"/>
          <w:highlight w:val="none"/>
        </w:rPr>
        <w:t>及时彻底整改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每延误一天完成整改，向甲方支付违约金伍仟元</w:t>
      </w:r>
      <w:r>
        <w:rPr>
          <w:rFonts w:hint="eastAsia" w:ascii="仿宋" w:hAnsi="仿宋" w:eastAsia="仿宋" w:cs="仿宋"/>
          <w:b w:val="0"/>
          <w:bCs w:val="0"/>
          <w:i w:val="0"/>
          <w:iCs w:val="0"/>
          <w:color w:val="auto"/>
          <w:sz w:val="28"/>
          <w:szCs w:val="28"/>
          <w:highlight w:val="none"/>
        </w:rPr>
        <w:t>。</w:t>
      </w:r>
    </w:p>
    <w:p w14:paraId="3EB8FD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7.2.6乙方须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6E46EC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7.2.7任意一</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办理结算和不付款。</w:t>
      </w:r>
    </w:p>
    <w:p w14:paraId="0C3C65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7.2.8乙方须如实主动申报及发放工人工资，甲方有权核对，如发现乙方弄虚作假，甲方暂停支付乙方合同款。</w:t>
      </w:r>
    </w:p>
    <w:p w14:paraId="0B10C02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7.2.9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价中，不另计价。</w:t>
      </w:r>
    </w:p>
    <w:p w14:paraId="31E12EF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7.2.10合同履行过程中，如乙方中途自行退场，甲方不支付任何款项，因此造成甲方损失的由乙方赔偿。</w:t>
      </w:r>
    </w:p>
    <w:p w14:paraId="33472B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7.2.11乙方须合理使用甲供材，在保证质量的情况下，按合同约定及相应规范控制使用。</w:t>
      </w:r>
    </w:p>
    <w:p w14:paraId="22EECB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7.2.12乙方施工中须与其他分包单位积极配合，保护所有成品，保护费用及责任由乙方承担。非经甲方书面同意，所有已进场材料设备不能运出工地。</w:t>
      </w:r>
    </w:p>
    <w:p w14:paraId="593744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7.2.13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23E434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7.2.14对违章指挥，乙方有权拒绝服从。</w:t>
      </w:r>
    </w:p>
    <w:p w14:paraId="7E94D9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14:paraId="47FE7E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7.2.16乙方供应的每批材料必须经甲方现场管理人员（或甲方施工员）确认是否符合合同要求及本工程所需，如不符合，一律不准进场并按甲方要求更换且不得因此延长工期。</w:t>
      </w:r>
      <w:r>
        <w:rPr>
          <w:rFonts w:hint="eastAsia" w:ascii="仿宋" w:hAnsi="仿宋" w:eastAsia="仿宋" w:cs="仿宋"/>
          <w:i w:val="0"/>
          <w:iCs w:val="0"/>
          <w:caps w:val="0"/>
          <w:color w:val="auto"/>
          <w:spacing w:val="0"/>
          <w:sz w:val="28"/>
          <w:szCs w:val="28"/>
          <w:highlight w:val="none"/>
        </w:rPr>
        <w:t>甲方仅对</w:t>
      </w:r>
      <w:r>
        <w:rPr>
          <w:rFonts w:hint="eastAsia" w:ascii="仿宋" w:hAnsi="仿宋" w:eastAsia="仿宋" w:cs="仿宋"/>
          <w:i w:val="0"/>
          <w:iCs w:val="0"/>
          <w:caps w:val="0"/>
          <w:color w:val="auto"/>
          <w:spacing w:val="0"/>
          <w:sz w:val="28"/>
          <w:szCs w:val="28"/>
          <w:highlight w:val="none"/>
          <w:lang w:val="en-US" w:eastAsia="zh-CN"/>
        </w:rPr>
        <w:t>乙供材料</w:t>
      </w:r>
      <w:r>
        <w:rPr>
          <w:rFonts w:hint="eastAsia" w:ascii="仿宋" w:hAnsi="仿宋" w:eastAsia="仿宋" w:cs="仿宋"/>
          <w:i w:val="0"/>
          <w:iCs w:val="0"/>
          <w:caps w:val="0"/>
          <w:color w:val="auto"/>
          <w:spacing w:val="0"/>
          <w:sz w:val="28"/>
          <w:szCs w:val="28"/>
          <w:highlight w:val="none"/>
        </w:rPr>
        <w:t>的型号、规格</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aps w:val="0"/>
          <w:color w:val="auto"/>
          <w:spacing w:val="0"/>
          <w:sz w:val="28"/>
          <w:szCs w:val="28"/>
          <w:highlight w:val="none"/>
          <w:lang w:val="en-US" w:eastAsia="zh-CN"/>
        </w:rPr>
        <w:t>品牌、</w:t>
      </w:r>
      <w:r>
        <w:rPr>
          <w:rFonts w:hint="eastAsia" w:ascii="仿宋" w:hAnsi="仿宋" w:eastAsia="仿宋" w:cs="仿宋"/>
          <w:i w:val="0"/>
          <w:iCs w:val="0"/>
          <w:caps w:val="0"/>
          <w:color w:val="auto"/>
          <w:spacing w:val="0"/>
          <w:sz w:val="28"/>
          <w:szCs w:val="28"/>
          <w:highlight w:val="none"/>
        </w:rPr>
        <w:t>外观完整性</w:t>
      </w:r>
      <w:r>
        <w:rPr>
          <w:rFonts w:hint="eastAsia" w:ascii="仿宋" w:hAnsi="仿宋" w:eastAsia="仿宋" w:cs="仿宋"/>
          <w:i w:val="0"/>
          <w:iCs w:val="0"/>
          <w:caps w:val="0"/>
          <w:color w:val="auto"/>
          <w:spacing w:val="0"/>
          <w:sz w:val="28"/>
          <w:szCs w:val="28"/>
          <w:highlight w:val="none"/>
          <w:lang w:val="en-US" w:eastAsia="zh-CN"/>
        </w:rPr>
        <w:t>及乙供检测报告等</w:t>
      </w:r>
      <w:r>
        <w:rPr>
          <w:rFonts w:hint="eastAsia" w:ascii="仿宋" w:hAnsi="仿宋" w:eastAsia="仿宋" w:cs="仿宋"/>
          <w:i w:val="0"/>
          <w:iCs w:val="0"/>
          <w:caps w:val="0"/>
          <w:color w:val="auto"/>
          <w:spacing w:val="0"/>
          <w:sz w:val="28"/>
          <w:szCs w:val="28"/>
          <w:highlight w:val="none"/>
        </w:rPr>
        <w:t>进行</w:t>
      </w:r>
      <w:r>
        <w:rPr>
          <w:rFonts w:hint="eastAsia" w:ascii="仿宋" w:hAnsi="仿宋" w:eastAsia="仿宋" w:cs="仿宋"/>
          <w:i w:val="0"/>
          <w:iCs w:val="0"/>
          <w:caps w:val="0"/>
          <w:color w:val="auto"/>
          <w:spacing w:val="0"/>
          <w:sz w:val="28"/>
          <w:szCs w:val="28"/>
          <w:highlight w:val="none"/>
          <w:lang w:val="en-US" w:eastAsia="zh-CN"/>
        </w:rPr>
        <w:t>外观</w:t>
      </w:r>
      <w:r>
        <w:rPr>
          <w:rFonts w:hint="eastAsia" w:ascii="仿宋" w:hAnsi="仿宋" w:eastAsia="仿宋" w:cs="仿宋"/>
          <w:i w:val="0"/>
          <w:iCs w:val="0"/>
          <w:caps w:val="0"/>
          <w:color w:val="auto"/>
          <w:spacing w:val="0"/>
          <w:sz w:val="28"/>
          <w:szCs w:val="28"/>
          <w:highlight w:val="none"/>
        </w:rPr>
        <w:t>检查，甲方</w:t>
      </w:r>
      <w:r>
        <w:rPr>
          <w:rFonts w:hint="eastAsia" w:ascii="仿宋" w:hAnsi="仿宋" w:eastAsia="仿宋" w:cs="仿宋"/>
          <w:i w:val="0"/>
          <w:iCs w:val="0"/>
          <w:caps w:val="0"/>
          <w:color w:val="auto"/>
          <w:spacing w:val="0"/>
          <w:sz w:val="28"/>
          <w:szCs w:val="28"/>
          <w:highlight w:val="none"/>
          <w:lang w:val="en-US" w:eastAsia="zh-CN"/>
        </w:rPr>
        <w:t>允许乙供材料进场的行为</w:t>
      </w:r>
      <w:r>
        <w:rPr>
          <w:rFonts w:hint="eastAsia" w:ascii="仿宋" w:hAnsi="仿宋" w:eastAsia="仿宋" w:cs="仿宋"/>
          <w:i w:val="0"/>
          <w:iCs w:val="0"/>
          <w:caps w:val="0"/>
          <w:color w:val="auto"/>
          <w:spacing w:val="0"/>
          <w:sz w:val="28"/>
          <w:szCs w:val="28"/>
          <w:highlight w:val="none"/>
        </w:rPr>
        <w:t>不视为</w:t>
      </w:r>
      <w:r>
        <w:rPr>
          <w:rFonts w:hint="eastAsia" w:ascii="仿宋" w:hAnsi="仿宋" w:eastAsia="仿宋" w:cs="仿宋"/>
          <w:i w:val="0"/>
          <w:iCs w:val="0"/>
          <w:caps w:val="0"/>
          <w:color w:val="auto"/>
          <w:spacing w:val="0"/>
          <w:sz w:val="28"/>
          <w:szCs w:val="28"/>
          <w:highlight w:val="none"/>
          <w:lang w:val="en-US" w:eastAsia="zh-CN"/>
        </w:rPr>
        <w:t>可</w:t>
      </w:r>
      <w:r>
        <w:rPr>
          <w:rFonts w:hint="eastAsia" w:ascii="仿宋" w:hAnsi="仿宋" w:eastAsia="仿宋" w:cs="仿宋"/>
          <w:i w:val="0"/>
          <w:iCs w:val="0"/>
          <w:caps w:val="0"/>
          <w:color w:val="auto"/>
          <w:spacing w:val="0"/>
          <w:sz w:val="28"/>
          <w:szCs w:val="28"/>
          <w:highlight w:val="none"/>
        </w:rPr>
        <w:t>免除乙方的质量责任、缺陷责任及保修责任</w:t>
      </w:r>
      <w:r>
        <w:rPr>
          <w:rFonts w:hint="eastAsia" w:ascii="仿宋" w:hAnsi="仿宋" w:eastAsia="仿宋" w:cs="仿宋"/>
          <w:b w:val="0"/>
          <w:bCs w:val="0"/>
          <w:i w:val="0"/>
          <w:iCs w:val="0"/>
          <w:color w:val="auto"/>
          <w:sz w:val="28"/>
          <w:szCs w:val="28"/>
          <w:highlight w:val="none"/>
          <w:lang w:val="en-US" w:eastAsia="zh-CN"/>
        </w:rPr>
        <w:t>。</w:t>
      </w:r>
    </w:p>
    <w:p w14:paraId="2749CA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7.2.17乙方确保本工程的质量和进度一次性达到合同要求，否则造成的一切损失由乙方承担且每次向甲方支付违约金壹万元。</w:t>
      </w:r>
    </w:p>
    <w:p w14:paraId="55E6F0B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7.2.18乙方充分了解本工程现场实际情况，确定本合同约定的☑合同单价/□合同总价已包含处理现场各种因素导致的多次进退场、怠工、误工等不能正常开工情形的费用，甲方无需另行计费给乙方。</w:t>
      </w:r>
    </w:p>
    <w:p w14:paraId="580BAA2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7.2.19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9CA98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7.2.20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1035E8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7.2.21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6B56B7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7.2.22乙方原因导致的一切安全事故，属乙方责任，所有损失及费用由乙方承担。</w:t>
      </w:r>
    </w:p>
    <w:p w14:paraId="1B4F25E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jc w:val="left"/>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7.2.23</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乙方人员在本合同有效期内发生的所有安全事故，均由乙方承担全部费用及损失，对甲方造成损失的则由乙方赔偿甲方损失。</w:t>
      </w:r>
    </w:p>
    <w:p w14:paraId="1D5B9C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7.2.24乙方人员（包括乙方家属、朋友等人员）发生的所有安全事故均与甲方无关，甲方不承担任何责任和费用，一切责任和费用均由乙方承担。</w:t>
      </w:r>
    </w:p>
    <w:p w14:paraId="27BC48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25</w:t>
      </w:r>
      <w:r>
        <w:rPr>
          <w:rFonts w:hint="default" w:ascii="仿宋" w:hAnsi="仿宋" w:eastAsia="仿宋" w:cs="仿宋"/>
          <w:b w:val="0"/>
          <w:bCs w:val="0"/>
          <w:i w:val="0"/>
          <w:iCs w:val="0"/>
          <w:color w:val="auto"/>
          <w:sz w:val="28"/>
          <w:szCs w:val="28"/>
          <w:highlight w:val="none"/>
          <w:lang w:val="en-US" w:eastAsia="zh-CN"/>
        </w:rPr>
        <w:t>乙方与第三方发生的任何经济往来、债务纠纷均与甲方无关。乙方须保证所供应材料无权属上的瑕疵或无知识产权的争议，若因此对甲方造成损失，则由乙方负全责赔偿。</w:t>
      </w:r>
    </w:p>
    <w:p w14:paraId="369491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26</w:t>
      </w:r>
      <w:r>
        <w:rPr>
          <w:rFonts w:hint="default" w:ascii="仿宋" w:hAnsi="仿宋" w:eastAsia="仿宋" w:cs="仿宋"/>
          <w:b w:val="0"/>
          <w:bCs w:val="0"/>
          <w:i w:val="0"/>
          <w:iCs w:val="0"/>
          <w:color w:val="auto"/>
          <w:sz w:val="28"/>
          <w:szCs w:val="28"/>
          <w:highlight w:val="none"/>
          <w:lang w:val="en-US" w:eastAsia="zh-CN"/>
        </w:rPr>
        <w:t>乙方与第三人签订的劳动、租赁、买卖等一切合同，与甲方无关。乙方在施工期间</w:t>
      </w:r>
      <w:r>
        <w:rPr>
          <w:rFonts w:hint="eastAsia" w:ascii="仿宋" w:hAnsi="仿宋" w:eastAsia="仿宋" w:cs="仿宋"/>
          <w:b w:val="0"/>
          <w:bCs w:val="0"/>
          <w:i w:val="0"/>
          <w:iCs w:val="0"/>
          <w:color w:val="auto"/>
          <w:sz w:val="28"/>
          <w:szCs w:val="28"/>
          <w:highlight w:val="none"/>
          <w:lang w:val="en-US" w:eastAsia="zh-CN"/>
        </w:rPr>
        <w:t>产生</w:t>
      </w:r>
      <w:r>
        <w:rPr>
          <w:rFonts w:hint="default" w:ascii="仿宋" w:hAnsi="仿宋" w:eastAsia="仿宋" w:cs="仿宋"/>
          <w:b w:val="0"/>
          <w:bCs w:val="0"/>
          <w:i w:val="0"/>
          <w:iCs w:val="0"/>
          <w:color w:val="auto"/>
          <w:sz w:val="28"/>
          <w:szCs w:val="28"/>
          <w:highlight w:val="none"/>
          <w:lang w:val="en-US" w:eastAsia="zh-CN"/>
        </w:rPr>
        <w:t>的与第三方一切债务，由乙方负全责处理并承担责任。</w:t>
      </w:r>
    </w:p>
    <w:p w14:paraId="1AF8887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7.2.27非甲方原因导致的乙方人员在本合同有效期内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0E081D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7.2.28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E90AC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负责本工程工作面上所用材料、机具、垃圾的清理，乙方每天施工过程中须做到工完场清，并自行负责有机物垃圾的处置，隐蔽工程验收前把工作面有关材料、机具、垃圾清理到甲方指定位置，相关费用已含于合同单价中，甲方无需另行计费给乙方。</w:t>
      </w:r>
    </w:p>
    <w:p w14:paraId="6D4C89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7.2.29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40E86E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7.2.30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6089466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.2.3</w:t>
      </w:r>
      <w:r>
        <w:rPr>
          <w:rFonts w:hint="eastAsia" w:ascii="仿宋" w:hAnsi="仿宋" w:eastAsia="仿宋" w:cs="仿宋"/>
          <w:b w:val="0"/>
          <w:bCs w:val="0"/>
          <w:i w:val="0"/>
          <w:iCs w:val="0"/>
          <w:color w:val="auto"/>
          <w:sz w:val="28"/>
          <w:szCs w:val="28"/>
          <w:highlight w:val="none"/>
          <w:lang w:val="en-US" w:eastAsia="zh-CN"/>
        </w:rPr>
        <w:t>1</w:t>
      </w:r>
      <w:r>
        <w:rPr>
          <w:rFonts w:hint="default" w:ascii="仿宋" w:hAnsi="仿宋" w:eastAsia="仿宋" w:cs="仿宋"/>
          <w:b w:val="0"/>
          <w:bCs w:val="0"/>
          <w:i w:val="0"/>
          <w:iCs w:val="0"/>
          <w:color w:val="auto"/>
          <w:sz w:val="28"/>
          <w:szCs w:val="28"/>
          <w:highlight w:val="none"/>
          <w:lang w:val="en-US" w:eastAsia="zh-CN"/>
        </w:rPr>
        <w:t>乙方组织施工人员进场时，须向甲方实名申报《技术工人素质承诺书》（格式详见附件），否则不得进场，并且须按甲方要求提供技术工人现场实操施工样板或组织甲方观摩技术工人现场分步分项施工技能，经甲方检验合格后乙方相关技术工人方可进入本项目施工，技术不合格人员须无条件按甲方要求当天退场且甲方不因此承担任何费用和责任，乙方同时按甲方要求另行组织合格人员进场施工。</w:t>
      </w:r>
    </w:p>
    <w:p w14:paraId="23814F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lang w:val="en-US" w:eastAsia="zh-CN"/>
        </w:rPr>
        <w:t>7.2</w:t>
      </w:r>
      <w:r>
        <w:rPr>
          <w:rFonts w:hint="default"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32</w:t>
      </w:r>
      <w:r>
        <w:rPr>
          <w:rFonts w:hint="default" w:ascii="仿宋" w:hAnsi="仿宋" w:eastAsia="仿宋" w:cs="仿宋"/>
          <w:b w:val="0"/>
          <w:bCs w:val="0"/>
          <w:i w:val="0"/>
          <w:iCs w:val="0"/>
          <w:color w:val="auto"/>
          <w:sz w:val="28"/>
          <w:szCs w:val="28"/>
          <w:highlight w:val="none"/>
          <w:lang w:val="en-US" w:eastAsia="zh-CN"/>
        </w:rPr>
        <w:t>乙方必须按本合同施工图纸及甲方签发的《施工交楼标准》准确预留、预埋或开凿槽施工【包括但不限于：楼地面、屋面找平层、墙体、柱子天棚抹灰等施工前完成(甲方另行签证除外）】。禁止乙方在泥水找平或抹灰工程完成后再开凿槽、开洞，进行影响工程质量及观感的工作</w:t>
      </w:r>
      <w:r>
        <w:rPr>
          <w:rFonts w:hint="eastAsia" w:ascii="仿宋" w:hAnsi="仿宋" w:eastAsia="仿宋" w:cs="仿宋"/>
          <w:b w:val="0"/>
          <w:bCs w:val="0"/>
          <w:i w:val="0"/>
          <w:iCs w:val="0"/>
          <w:color w:val="auto"/>
          <w:sz w:val="28"/>
          <w:szCs w:val="28"/>
          <w:highlight w:val="none"/>
          <w:lang w:val="en-US" w:eastAsia="zh-CN"/>
        </w:rPr>
        <w:t>/行为</w:t>
      </w:r>
      <w:r>
        <w:rPr>
          <w:rFonts w:hint="default" w:ascii="仿宋" w:hAnsi="仿宋" w:eastAsia="仿宋" w:cs="仿宋"/>
          <w:b w:val="0"/>
          <w:bCs w:val="0"/>
          <w:i w:val="0"/>
          <w:iCs w:val="0"/>
          <w:color w:val="auto"/>
          <w:sz w:val="28"/>
          <w:szCs w:val="28"/>
          <w:highlight w:val="none"/>
          <w:lang w:val="en-US" w:eastAsia="zh-CN"/>
        </w:rPr>
        <w:t>。因乙方原因造成上述情况发生的，属乙方违约，找平层、抹灰层、面层等工程恢复由甲方指定专业泥水分包单位完成，按所产生全部费用的200%（包含但不限于工期延误、材料、劳务等费用）由乙方承担。同时乙方就此违约行为按本合同（暂定）总价的30%向甲方支付违约金，并按1000元/处接受甲方对乙方处罚，相应违约金及扣款在乙方任一工程款中扣除。</w:t>
      </w:r>
    </w:p>
    <w:p w14:paraId="3B62C61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8" w:name="_Toc807"/>
      <w:bookmarkStart w:id="169" w:name="_Toc22397"/>
      <w:bookmarkStart w:id="170" w:name="_Toc11160"/>
      <w:bookmarkStart w:id="171" w:name="_Toc17239"/>
      <w:bookmarkStart w:id="172" w:name="_Toc32184"/>
      <w:bookmarkStart w:id="173" w:name="_Toc2179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第八章、安全生产、文明施工要求</w:t>
      </w:r>
      <w:bookmarkEnd w:id="168"/>
      <w:bookmarkEnd w:id="169"/>
      <w:bookmarkEnd w:id="170"/>
      <w:bookmarkEnd w:id="171"/>
      <w:bookmarkEnd w:id="172"/>
      <w:bookmarkEnd w:id="173"/>
    </w:p>
    <w:p w14:paraId="034833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74" w:name="_Toc5758"/>
      <w:bookmarkStart w:id="175" w:name="_Toc16313"/>
      <w:bookmarkStart w:id="176" w:name="_Toc27493"/>
      <w:bookmarkStart w:id="177" w:name="_Toc29611"/>
      <w:bookmarkStart w:id="178" w:name="_Toc2948"/>
      <w:bookmarkStart w:id="179" w:name="_Toc17044"/>
      <w:bookmarkStart w:id="180" w:name="_Toc30676"/>
      <w:r>
        <w:rPr>
          <w:rFonts w:hint="eastAsia" w:ascii="仿宋" w:hAnsi="仿宋" w:eastAsia="仿宋" w:cs="仿宋"/>
          <w:b w:val="0"/>
          <w:bCs w:val="0"/>
          <w:i w:val="0"/>
          <w:iCs w:val="0"/>
          <w:color w:val="auto"/>
          <w:sz w:val="28"/>
          <w:szCs w:val="28"/>
          <w:highlight w:val="none"/>
          <w:lang w:val="en-US" w:eastAsia="zh-CN"/>
        </w:rPr>
        <w:t>8.1甲方应对乙方进场的施工人员进行安全教育。</w:t>
      </w:r>
      <w:bookmarkEnd w:id="174"/>
      <w:bookmarkEnd w:id="175"/>
      <w:bookmarkEnd w:id="176"/>
      <w:bookmarkEnd w:id="177"/>
      <w:bookmarkEnd w:id="178"/>
      <w:bookmarkEnd w:id="179"/>
      <w:bookmarkEnd w:id="180"/>
    </w:p>
    <w:p w14:paraId="0BFF2E2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8.2甲方不得违反《建设工程安全生产管理条例》（有更新版本则按最新版本执行）的规定要求乙方违章施工。因甲方指挥失误导致的安全事故由甲方承担相应责任和费用。</w:t>
      </w:r>
    </w:p>
    <w:p w14:paraId="140879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8.3乙方须严格遵守《建筑施工安全检查标准》（JGJ59-2011标准，有更新版本则按最新版本执）、《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552F02B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8.4乙方施工过程中，上道工序完成与下道工序必须进行工作面交接并以书面形式确认，甲乙双方及相关单位签字确认的“隐蔽验收表”作为工程进度款申请书及结算书的附件。</w:t>
      </w:r>
    </w:p>
    <w:p w14:paraId="28985D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81" w:name="_Toc7882"/>
      <w:bookmarkStart w:id="182" w:name="_Toc8"/>
      <w:bookmarkStart w:id="183" w:name="_Toc18060"/>
      <w:bookmarkStart w:id="184" w:name="_Toc9774"/>
      <w:bookmarkStart w:id="185" w:name="_Toc18465"/>
      <w:bookmarkStart w:id="186" w:name="_Toc5694"/>
      <w:bookmarkStart w:id="187" w:name="_Toc17839"/>
      <w:r>
        <w:rPr>
          <w:rFonts w:hint="eastAsia" w:ascii="仿宋" w:hAnsi="仿宋" w:eastAsia="仿宋" w:cs="仿宋"/>
          <w:b w:val="0"/>
          <w:bCs w:val="0"/>
          <w:i w:val="0"/>
          <w:iCs w:val="0"/>
          <w:color w:val="auto"/>
          <w:sz w:val="28"/>
          <w:szCs w:val="28"/>
          <w:highlight w:val="none"/>
          <w:lang w:val="en-US" w:eastAsia="zh-CN"/>
        </w:rPr>
        <w:t>8.5其它事项：</w:t>
      </w:r>
      <w:bookmarkEnd w:id="181"/>
      <w:bookmarkEnd w:id="182"/>
      <w:bookmarkEnd w:id="183"/>
      <w:bookmarkEnd w:id="184"/>
      <w:bookmarkEnd w:id="185"/>
      <w:bookmarkEnd w:id="186"/>
      <w:bookmarkEnd w:id="187"/>
    </w:p>
    <w:p w14:paraId="0E07FF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8.5.1拆除作业时不得高空抛弃材料，必须通过机械或人工传递至地面；</w:t>
      </w:r>
    </w:p>
    <w:p w14:paraId="12D56A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8.5.2必须正确佩戴安全帽及安全带；</w:t>
      </w:r>
    </w:p>
    <w:p w14:paraId="4E5697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8.5.3不许酒后上班；</w:t>
      </w:r>
    </w:p>
    <w:p w14:paraId="70F749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8.5.4不许穿拖鞋、硬底鞋上班。</w:t>
      </w:r>
    </w:p>
    <w:p w14:paraId="04B5AE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8.6劳保用品配置标准具体实施及费用收取标准、办法：</w:t>
      </w:r>
    </w:p>
    <w:p w14:paraId="4C4FD6A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8.6.1本工程配置黄色的安全帽、荧光黄色的反光背心，款式按甲方颁布的《劳保用品配置标准及司旗款式》（V2022）制度执行。</w:t>
      </w:r>
    </w:p>
    <w:p w14:paraId="451534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8.6..2甲方提供安全帽20元/顶、反光背心15元/件，按乙方实际领取数量的对应金额在结算时进行扣除。</w:t>
      </w:r>
    </w:p>
    <w:p w14:paraId="3F1D2A59">
      <w:pPr>
        <w:keepNext w:val="0"/>
        <w:keepLines w:val="0"/>
        <w:pageBreakBefore w:val="0"/>
        <w:widowControl w:val="0"/>
        <w:numPr>
          <w:ilvl w:val="0"/>
          <w:numId w:val="3"/>
        </w:numPr>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88" w:name="_Toc28272"/>
      <w:bookmarkStart w:id="189" w:name="_Toc13291"/>
      <w:bookmarkStart w:id="190" w:name="_Toc11386"/>
      <w:bookmarkStart w:id="191" w:name="_Toc25785"/>
      <w:bookmarkStart w:id="192" w:name="_Toc24173"/>
      <w:bookmarkStart w:id="193" w:name="_Toc319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验收及保修</w:t>
      </w:r>
      <w:bookmarkEnd w:id="188"/>
      <w:bookmarkEnd w:id="189"/>
      <w:bookmarkEnd w:id="190"/>
      <w:bookmarkEnd w:id="191"/>
      <w:bookmarkEnd w:id="192"/>
      <w:bookmarkEnd w:id="193"/>
    </w:p>
    <w:p w14:paraId="1149887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保修期内，本工程如因乙方原因出现质量问题，乙方须在接到甲方通知起24小时内派人到达现场处理解决，否则甲方有权自行或委托第三方处理，乙方承担相关费用、责任并向甲方支付违约金一万元/次；如发生的问题或事故系乙方导致或属于乙方保修内容，甲方所耗费用有权从乙方的保修金中扣除，不足部分由乙方在甲方发出书面通知之日起10个日历天内支付；如非乙方原因所致，乙方仍应提供维修服务，但费用经双方商定后由责任方承担。</w:t>
      </w:r>
    </w:p>
    <w:p w14:paraId="7369D0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94" w:name="_Toc12967"/>
      <w:bookmarkStart w:id="195" w:name="_Toc4352"/>
      <w:bookmarkStart w:id="196" w:name="_Toc23115"/>
      <w:bookmarkStart w:id="197" w:name="_Toc3973"/>
      <w:bookmarkStart w:id="198" w:name="_Toc454"/>
      <w:r>
        <w:rPr>
          <w:rFonts w:hint="eastAsia" w:ascii="仿宋" w:hAnsi="仿宋" w:eastAsia="仿宋" w:cs="仿宋"/>
          <w:b w:val="0"/>
          <w:bCs w:val="0"/>
          <w:i w:val="0"/>
          <w:iCs w:val="0"/>
          <w:color w:val="auto"/>
          <w:sz w:val="28"/>
          <w:szCs w:val="28"/>
          <w:highlight w:val="none"/>
          <w:lang w:val="en-US" w:eastAsia="zh-CN"/>
        </w:rPr>
        <w:t>9.2保修期内若发生乙方原因导致的质量问题，乙方须赔偿甲方因此造成的一切损失并进行整改；如出现较大质量缺陷，乙方履行保修整改义务至整改验收合格后，工程保修期自整改验收合格之日起顺延。</w:t>
      </w:r>
    </w:p>
    <w:p w14:paraId="363E3C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9.3保修期届满后，由甲方工程部组织主导乙方、建设单位、本项目使用单位等相关单位人员验收，验收合格后由甲方工程部出具《保修验收合格报告》，若验收不通过，由乙方整改后进行整改验收，相关费用由乙方负责。本工程整改两次才通过保修验收的，保修期按乙方整改天数顺延，整改三次以上验收合格的，保修期自整改验收合格之日起顺延一年。</w:t>
      </w:r>
    </w:p>
    <w:p w14:paraId="088459D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9.4如本工程在保修期满后发现乙方原因导致的质量问题（如乙方施工瑕疵、施工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终止而失效。</w:t>
      </w:r>
    </w:p>
    <w:p w14:paraId="10C7435D">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9" w:name="_Toc364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第十章、保险</w:t>
      </w:r>
      <w:bookmarkEnd w:id="194"/>
      <w:bookmarkEnd w:id="195"/>
      <w:bookmarkEnd w:id="196"/>
      <w:bookmarkEnd w:id="197"/>
      <w:bookmarkEnd w:id="198"/>
      <w:bookmarkEnd w:id="199"/>
    </w:p>
    <w:p w14:paraId="3FA828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临设工程因乙方原因出现损失、损害或损坏，乙方须立即修复、补救及更换或维修任何受破坏或损坏之部位，同时按甲方要求清理及弃置任何残骸。</w:t>
      </w:r>
    </w:p>
    <w:p w14:paraId="453B53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10.2甲方未办理“建筑工程社会保险——工伤保险”时，对乙方导致的任何安全事故及工伤人员的全部安全事故，由乙方全部承担责任和费用，相关费用已综合包含在合同单价中，甲方不承担任何责任和费用。</w:t>
      </w:r>
    </w:p>
    <w:p w14:paraId="38A7F6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10.3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合同单价内，乙方人员或因乙方原因造成任何事故(包括第三方人员在内)导致的损失、赔偿、补偿等责任和费用由乙方承担。</w:t>
      </w:r>
    </w:p>
    <w:p w14:paraId="517B54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10.4甲乙双方在签订各自的保险合同时，其第三方责任险应将对方互相视为第三方。</w:t>
      </w:r>
    </w:p>
    <w:p w14:paraId="6729F0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10.5乙方须对本工程涉及的乙方人员购买人身意外伤害险等保险，保额不低于死亡赔偿人民币150万元/人及伤害赔偿人民币15万元/人，相关费用已含于本合同约定的合同单价中甲方无需另行支付给乙方。乙方须自保险合同生效之日起5个日历天内将保险合同复印件（加盖乙方公章）提交甲方项目部留存。</w:t>
      </w:r>
    </w:p>
    <w:p w14:paraId="535727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10.6无论甲乙任何一方有无按照本合同约定办理相关保险事宜，乙方人员或因乙方原因导致在本项目范围内发生的伤亡事故，均由乙方承担责任和费用。 </w:t>
      </w:r>
    </w:p>
    <w:p w14:paraId="068F5228">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0" w:name="_Toc14887"/>
      <w:bookmarkStart w:id="201" w:name="_Toc2911"/>
      <w:bookmarkStart w:id="202" w:name="_Toc25283"/>
      <w:bookmarkStart w:id="203" w:name="_Toc9446"/>
      <w:bookmarkStart w:id="204" w:name="_Toc19955"/>
      <w:bookmarkStart w:id="205" w:name="_Toc2071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第十一章、奖罚条款</w:t>
      </w:r>
      <w:bookmarkEnd w:id="200"/>
      <w:bookmarkEnd w:id="201"/>
      <w:bookmarkEnd w:id="202"/>
      <w:bookmarkEnd w:id="203"/>
      <w:bookmarkEnd w:id="204"/>
      <w:bookmarkEnd w:id="205"/>
    </w:p>
    <w:p w14:paraId="1F91A0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06" w:name="_Toc9459"/>
      <w:bookmarkStart w:id="207" w:name="_Toc4943"/>
      <w:bookmarkStart w:id="208" w:name="_Toc31201"/>
      <w:bookmarkStart w:id="209" w:name="_Toc27789"/>
      <w:bookmarkStart w:id="210" w:name="_Toc20288"/>
      <w:bookmarkStart w:id="211" w:name="_Toc26899"/>
      <w:bookmarkStart w:id="212" w:name="_Toc21565"/>
      <w:r>
        <w:rPr>
          <w:rFonts w:hint="eastAsia" w:ascii="仿宋" w:hAnsi="仿宋" w:eastAsia="仿宋" w:cs="仿宋"/>
          <w:b w:val="0"/>
          <w:bCs w:val="0"/>
          <w:i w:val="0"/>
          <w:iCs w:val="0"/>
          <w:color w:val="auto"/>
          <w:sz w:val="28"/>
          <w:szCs w:val="28"/>
          <w:highlight w:val="none"/>
          <w:lang w:val="en-US" w:eastAsia="zh-CN"/>
        </w:rPr>
        <w:t>11.1奖励</w:t>
      </w:r>
      <w:bookmarkEnd w:id="206"/>
      <w:bookmarkEnd w:id="207"/>
      <w:bookmarkEnd w:id="208"/>
      <w:bookmarkEnd w:id="209"/>
      <w:bookmarkEnd w:id="210"/>
      <w:bookmarkEnd w:id="211"/>
      <w:bookmarkEnd w:id="212"/>
    </w:p>
    <w:p w14:paraId="155897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3F0E8C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11.1.1.1甲方组织的各类检查验收中，乙方组建的施工队伍被评为优质作业队。</w:t>
      </w:r>
    </w:p>
    <w:p w14:paraId="3E4A3CF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11.1.1.2乙方负责施工的成品受到省、市有关部门表彰。</w:t>
      </w:r>
    </w:p>
    <w:p w14:paraId="432B8F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11.1.1.3乙方负责施工的成品受到建设单位、监理好评。</w:t>
      </w:r>
    </w:p>
    <w:p w14:paraId="7BDCD5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11.1.1.4特定情况下，由于乙方的主观努力使甲方避免遭受巨大损失。</w:t>
      </w:r>
    </w:p>
    <w:p w14:paraId="37C316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12.1.1.5乙方工人安全生产、文明施工、节约用料、质量优、进度快。</w:t>
      </w:r>
    </w:p>
    <w:p w14:paraId="0E70F41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13" w:name="_Toc22406"/>
      <w:bookmarkStart w:id="214" w:name="_Toc7955"/>
      <w:bookmarkStart w:id="215" w:name="_Toc30232"/>
      <w:bookmarkStart w:id="216" w:name="_Toc5991"/>
      <w:bookmarkStart w:id="217" w:name="_Toc20986"/>
      <w:bookmarkStart w:id="218" w:name="_Toc14079"/>
      <w:bookmarkStart w:id="219" w:name="_Toc29516"/>
      <w:r>
        <w:rPr>
          <w:rFonts w:hint="eastAsia" w:ascii="仿宋" w:hAnsi="仿宋" w:eastAsia="仿宋" w:cs="仿宋"/>
          <w:b w:val="0"/>
          <w:bCs w:val="0"/>
          <w:i w:val="0"/>
          <w:iCs w:val="0"/>
          <w:color w:val="auto"/>
          <w:sz w:val="28"/>
          <w:szCs w:val="28"/>
          <w:highlight w:val="none"/>
          <w:lang w:val="en-US" w:eastAsia="zh-CN"/>
        </w:rPr>
        <w:t>11.2惩罚</w:t>
      </w:r>
      <w:bookmarkEnd w:id="213"/>
      <w:bookmarkEnd w:id="214"/>
      <w:bookmarkEnd w:id="215"/>
      <w:bookmarkEnd w:id="216"/>
      <w:bookmarkEnd w:id="217"/>
      <w:bookmarkEnd w:id="218"/>
      <w:bookmarkEnd w:id="219"/>
    </w:p>
    <w:p w14:paraId="448EE6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11.2.1如乙方出现下列任一情况，甲方有权单方解除本合同，同时乙方赔偿甲方损失（包括但不限于因工期延误而使得甲方对建设单位承担的违约责任、损失赔偿责任等）：</w:t>
      </w:r>
    </w:p>
    <w:p w14:paraId="538C33A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11.2.1.1乙方在质量、进度、安全、管理等方面经甲方二次警告或处罚后仍不能明显改善；</w:t>
      </w:r>
    </w:p>
    <w:p w14:paraId="4EB1B8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11.2.1.2乙方将本工程以各种形式转包、分包给他人；</w:t>
      </w:r>
    </w:p>
    <w:p w14:paraId="3F5D4E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11.2.1.3乙方发生偷工减料、以次充好、弄虚作假等情形。</w:t>
      </w:r>
    </w:p>
    <w:p w14:paraId="5CD006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11.2.2因下列情况导致的甲方损失均由乙方赔偿（包括但不限于因逾期完工而使得甲方对建设单位承担的违约责任、损失赔偿责任等）：</w:t>
      </w:r>
    </w:p>
    <w:p w14:paraId="5198E5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①因乙方施工质量事故造成的损失；</w:t>
      </w:r>
    </w:p>
    <w:p w14:paraId="7A3619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②因乙方中途退场造成的损失；</w:t>
      </w:r>
    </w:p>
    <w:p w14:paraId="12E7B6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③乙方发生偷工减料、以次充好、弄虚作假等情形。</w:t>
      </w:r>
    </w:p>
    <w:p w14:paraId="6956C5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11.2.3因乙方导致工程质量或工期达不到合同要求或使用甲供材料用量超标的，均属乙方违约，甲方有权单方解除合同且不付款，同时乙方赔偿甲方由此造成的损失及费用。</w:t>
      </w:r>
    </w:p>
    <w:p w14:paraId="0CB0E6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11.2.4乙方或其人员有下列情况之一的，造成甲方损失的由乙方全额赔偿甲方，同时甲方有权对乙方采取每人或每次收取违约金壹佰元至叁万元的措施：</w:t>
      </w:r>
    </w:p>
    <w:p w14:paraId="6A5ECB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11.2.4.1隐蔽工程一次验收不合格；</w:t>
      </w:r>
    </w:p>
    <w:p w14:paraId="366EC6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11.2.4.2不能按甲方确定的周进度计划完成施工作业延误工期一天；</w:t>
      </w:r>
    </w:p>
    <w:p w14:paraId="685537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11.2.4.3出现因质量、安全不满足本合同约定需整改；</w:t>
      </w:r>
    </w:p>
    <w:p w14:paraId="2FABAB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11.2.4.4聚众赌博，影响他人休息；</w:t>
      </w:r>
    </w:p>
    <w:p w14:paraId="5BAFE9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11.2.4.5聚众闹事、打人、打架、偷抢行为；</w:t>
      </w:r>
    </w:p>
    <w:p w14:paraId="680EAEC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11.2.4.6容留非本工程现场人员在本项目宿舍住宿；</w:t>
      </w:r>
    </w:p>
    <w:p w14:paraId="715358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11.2.4.7不按甲方要求加班或人员不足导致延误工期一天；</w:t>
      </w:r>
    </w:p>
    <w:p w14:paraId="5DA1D2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11.2.4.8浪费材料、损坏机具或破坏其它设施及成品；</w:t>
      </w:r>
    </w:p>
    <w:p w14:paraId="46ADA1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11.2.4.9在生活区存放易燃易爆物品或其它危险品；</w:t>
      </w:r>
    </w:p>
    <w:p w14:paraId="0D0E130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11.2.4.10收留、聘用未成年人；（同时驱逐未成年人离开本项目）</w:t>
      </w:r>
    </w:p>
    <w:p w14:paraId="22A079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11.2.4.11在宿舍内做饭、使用大功率电器设备，如电磁炉、电饭煲、电热棒等。</w:t>
      </w:r>
    </w:p>
    <w:p w14:paraId="299FBF4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11.2.5乙方或其人员有下列情况之一的，造成甲方损失的由乙方全额赔偿给甲方，同时，甲方有权对乙方采取每人或每次收取违约金壹佰元至叁万元。</w:t>
      </w:r>
    </w:p>
    <w:p w14:paraId="6C1274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11.2.5.1管理人员未经甲方同意离开工地两天以内；</w:t>
      </w:r>
    </w:p>
    <w:p w14:paraId="757704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11.2.5.2未戴好安全帽、穿拖鞋或赤脚、赤膊进入作业区；</w:t>
      </w:r>
    </w:p>
    <w:p w14:paraId="082F31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11.2.5.3不戴工卡上岗；</w:t>
      </w:r>
    </w:p>
    <w:p w14:paraId="0809E2D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11.2.5.4施工人员进场三天内不办理工作卡；</w:t>
      </w:r>
    </w:p>
    <w:p w14:paraId="4D402A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11.2.5.5未经甲方批准擅带家属及小孩进入施工现场或在宿舍居住；</w:t>
      </w:r>
    </w:p>
    <w:p w14:paraId="22A6386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11.2.5.6工棚内乱拉乱接电线，违反生活区管理制度；</w:t>
      </w:r>
    </w:p>
    <w:p w14:paraId="08C90A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11.2.5.7宿舍卫生不合格；</w:t>
      </w:r>
    </w:p>
    <w:p w14:paraId="101BC0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11.2.5.8材料、机具未按甲方要求堆放，建筑垃圾未按甲方要求处理，随地大小便，随意吸烟，在墙上乱涂乱画。</w:t>
      </w:r>
    </w:p>
    <w:p w14:paraId="6C1FBB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11.2.5.9乙方人员、车辆不接受甲方门岗保卫检查。</w:t>
      </w:r>
    </w:p>
    <w:p w14:paraId="5BB32454">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2147483648" w:line="360" w:lineRule="auto"/>
        <w:ind w:left="-140" w:leftChars="-50" w:right="-20" w:rightChars="-7" w:firstLine="503" w:firstLineChars="179"/>
        <w:jc w:val="left"/>
        <w:textAlignment w:val="auto"/>
        <w:outlineLvl w:val="9"/>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0" w:name="_Toc12741"/>
      <w:bookmarkStart w:id="221" w:name="_Toc21006"/>
      <w:bookmarkStart w:id="222" w:name="_Toc30520"/>
      <w:bookmarkStart w:id="223" w:name="_Toc24467"/>
      <w:bookmarkStart w:id="224" w:name="_Toc27799"/>
      <w:bookmarkStart w:id="225" w:name="_Toc1698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第十二章、违约条款</w:t>
      </w:r>
      <w:bookmarkEnd w:id="220"/>
      <w:bookmarkEnd w:id="221"/>
      <w:bookmarkEnd w:id="222"/>
      <w:bookmarkEnd w:id="223"/>
      <w:bookmarkEnd w:id="224"/>
      <w:bookmarkEnd w:id="225"/>
    </w:p>
    <w:p w14:paraId="34BA1E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乙方延迟开工或不能按合同约定的工期完成本工程任一节点内容的，每延迟一个日历天，乙方向甲方支付违约金人民币伍仟元整，延迟超过三个日历天的，甲方有权单方解除合同，已完工工程无偿归甲方，甲方无需支付合同款并有权委托其他单位继续完成本工程；乙方还须按</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20%支付违约金并按甲方要求准时退场，每延迟一个日历天退场，乙方向甲方另行支付额外违约金人民币伍万元整，甲方的损失（包括但不限于因逾期而使得甲方需对建设单位承担的违约责任、损失赔偿责任等）由乙方赔偿。</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12.2乙方原因造成本工程质量达不到约定的质量标准的，乙方无条件返工整改至合格为止。甲方要求之日起2个日历天内，乙方仍未采取有效返工措施或未在甲方要求的期限内完成整改并通过甲方验收的，每延迟一个日历天，乙方向甲方承担违约金人民币伍仟元整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合同总价20%的违约金和赔偿甲方全部损失，已完工工程无偿归甲方，甲方无需支付合同款；②另行委托其他单位对本工程返修整改，乙方须无条件接受并配合，由此产生的一切费用乙方承担。</w:t>
      </w:r>
    </w:p>
    <w:p w14:paraId="60C581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12.3经甲方验核达不到约定质量标准的检验批（分项或分部），甲方有权对乙方按相应检验批的工程量收取相当于</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合同总价5%的违约金，如果甲方被政府部门或建设单位处罚而须承担违约、赔偿责任或费用的，则由乙方全部承担，同时甲方保留对乙方追偿的权利。</w:t>
      </w:r>
    </w:p>
    <w:p w14:paraId="0E2743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12.4合同履行期间，因乙方原因造成甲方或本工程或本项目被政府部门停工、整改导致扣分的，按贰万元/分由乙方支付给甲方（甲方亦可从任意合同款中扣款）。</w:t>
      </w:r>
    </w:p>
    <w:p w14:paraId="3A8D479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12.5乙方及其人员、供应商不得以任何理由去政府部门上访、投诉，不得去建设单位投诉、静坐，否则视情节轻重向甲方支付违约金壹万至壹拾万元/次。</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12.6乙方无正当理由停工或提出不履行合同或拖延工期或不能正常开展工作连续3天以上或无力将本工程顺利开展下去的，属乙方违约，甲方有权单方解除合同且乙方按</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合同总价的20%支付违约金给甲方，同时乙方按甲方要求限时退场，并赔偿甲方的损失。</w:t>
      </w:r>
    </w:p>
    <w:p w14:paraId="63F477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12.7乙方应及时足额发放工人工资和及时足额支付货款，避免产生劳资纠纷或货款纠纷。无论乙方实际是否欠薪或欠货款，每发生一次劳资纠纷或货款纠纷事件，涉及甲方或本项目或本工程的，乙方向甲方支付违约金叁万元，若导致媒体曝光或政府部门介入的，乙方另向甲方支付违约金不少于伍万元/次。</w:t>
      </w:r>
    </w:p>
    <w:p w14:paraId="42917C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12.8凡乙方发生偷工减料行为，甲方视情节轻重计收乙方贰万至壹拾万元/次的违约金。</w:t>
      </w:r>
    </w:p>
    <w:p w14:paraId="13AC4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12.9</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合同履行期间，因乙方原因导致建设单位或其他部门对甲方</w:t>
      </w:r>
      <w:r>
        <w:rPr>
          <w:rFonts w:hint="default" w:ascii="仿宋_GB2312" w:hAnsi="仿宋_GB2312" w:eastAsia="仿宋_GB2312" w:cs="仿宋_GB2312"/>
          <w:i w:val="0"/>
          <w:iCs w:val="0"/>
          <w:color w:val="auto"/>
          <w:sz w:val="28"/>
          <w:szCs w:val="28"/>
          <w:highlight w:val="none"/>
          <w:u w:val="none"/>
          <w:shd w:val="clear" w:color="auto" w:fill="auto"/>
          <w:lang w:val="en-US" w:eastAsia="zh-CN"/>
        </w:rPr>
        <w:t>扣款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的，乙方按该扣款金额的2倍以上向甲方支付违约金</w:t>
      </w:r>
      <w:r>
        <w:rPr>
          <w:rFonts w:hint="eastAsia" w:ascii="仿宋" w:hAnsi="仿宋" w:eastAsia="仿宋" w:cs="仿宋"/>
          <w:b w:val="0"/>
          <w:bCs w:val="0"/>
          <w:i w:val="0"/>
          <w:iCs w:val="0"/>
          <w:color w:val="auto"/>
          <w:sz w:val="28"/>
          <w:szCs w:val="28"/>
          <w:highlight w:val="none"/>
          <w:lang w:val="en-US" w:eastAsia="zh-CN"/>
        </w:rPr>
        <w:t>。</w:t>
      </w:r>
    </w:p>
    <w:p w14:paraId="1766A16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12.10因乙方原因导致甲方被起诉或被处分的，乙方除赔偿甲方损失外，甲方每被起诉或处分一次，乙方向甲方支付五万元违约金。若因此导致甲方账户被冻结，乙方按冻结资金总额的日千分之一向甲方支付利息；因出现此情形属乙方自身管理不当，乙方自愿赔偿甲方遭受的所有损失，并根据账户被冻结次数，每次额外再向甲方支付壹拾万元违约金。</w:t>
      </w:r>
    </w:p>
    <w:p w14:paraId="2CD6FC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12.11乙方出现上述第12.1条~第12.10条所述任一行为或未履行合同任一义务的，均属乙方严重违约，乙方除按上述条款承担包括但不限于以上所述的违约责任外，甲方可随时单方解除本合同，所产生的损失由乙方赔偿甲方。</w:t>
      </w:r>
    </w:p>
    <w:p w14:paraId="0595E4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12.12因建设单位、设计变更或非甲方原因导致本合同不能履行的，甲、乙双方互不追究违约责任，按照乙方已完成且经甲方验收合格的工程量进行结算，同时双方各自承担自身损失。</w:t>
      </w:r>
    </w:p>
    <w:p w14:paraId="36F753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12.13乙方不得因停工损失向甲方索赔，同意不追究甲方在本合同有效期内因付款延迟、停工而产生的违约责任。</w:t>
      </w:r>
    </w:p>
    <w:p w14:paraId="5BBADB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12.14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4DBC8F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12.15在本合同履行过程中，可能因乙方原因造成施工质量、安全文明措施等无法满足甲方及规范要求的，乙方须提供不属于其责任的证明并得到甲方的书面认可，否则视为乙方违约，全部责任及费用和损失由乙方承担。</w:t>
      </w:r>
    </w:p>
    <w:p w14:paraId="0B182B6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12.16乙方原因造成本工程质量达不到本合同约定的质量标准或出现影响使用功能和工程结构安全，即使通过技术整改措施仍然无法达到设计要求等永久质量问题的，无论是否在保修期内，乙方须无条件返工整改至合格为止，并须赔偿甲方因此造成的一切损失，所有费用甲方可在与乙方关联的任意款项中扣除，乙方关联款项不足以赔偿甲方损失的，由乙方在甲方通知5个日历天内自行筹备资金向甲方付清。若该永久质量问题无法满足设计及合同约定质量标准，而甲方和建设单位也接受现状质量，乙方仍承担违约责任，自愿接受不合格部位造价20%以上的违约金，同时向甲方支付5000元以上的违约金。</w:t>
      </w:r>
    </w:p>
    <w:p w14:paraId="03BF5E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7乙方同意：</w:t>
      </w:r>
      <w:r>
        <w:rPr>
          <w:rFonts w:hint="default" w:ascii="仿宋" w:hAnsi="仿宋" w:eastAsia="仿宋" w:cs="仿宋"/>
          <w:b w:val="0"/>
          <w:bCs w:val="0"/>
          <w:i w:val="0"/>
          <w:iCs w:val="0"/>
          <w:color w:val="auto"/>
          <w:sz w:val="28"/>
          <w:szCs w:val="28"/>
          <w:highlight w:val="none"/>
          <w:lang w:val="en-US"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lang w:val="en-US" w:eastAsia="zh-CN"/>
        </w:rPr>
        <w:t>不合格</w:t>
      </w:r>
      <w:r>
        <w:rPr>
          <w:rFonts w:hint="default" w:ascii="仿宋" w:hAnsi="仿宋" w:eastAsia="仿宋" w:cs="仿宋"/>
          <w:b w:val="0"/>
          <w:bCs w:val="0"/>
          <w:i w:val="0"/>
          <w:iCs w:val="0"/>
          <w:color w:val="auto"/>
          <w:sz w:val="28"/>
          <w:szCs w:val="28"/>
          <w:highlight w:val="none"/>
          <w:lang w:val="en-US" w:eastAsia="zh-CN"/>
        </w:rPr>
        <w:t>，甲方有权按自行估算的最大损失金额在</w:t>
      </w:r>
      <w:r>
        <w:rPr>
          <w:rFonts w:hint="eastAsia" w:ascii="仿宋" w:hAnsi="仿宋" w:eastAsia="仿宋" w:cs="仿宋"/>
          <w:b w:val="0"/>
          <w:bCs w:val="0"/>
          <w:i w:val="0"/>
          <w:iCs w:val="0"/>
          <w:color w:val="auto"/>
          <w:sz w:val="28"/>
          <w:szCs w:val="28"/>
          <w:highlight w:val="none"/>
          <w:lang w:val="en-US" w:eastAsia="zh-CN"/>
        </w:rPr>
        <w:t>甲乙双方签订的</w:t>
      </w:r>
      <w:r>
        <w:rPr>
          <w:rFonts w:hint="default" w:ascii="仿宋" w:hAnsi="仿宋" w:eastAsia="仿宋" w:cs="仿宋"/>
          <w:b w:val="0"/>
          <w:bCs w:val="0"/>
          <w:i w:val="0"/>
          <w:iCs w:val="0"/>
          <w:color w:val="auto"/>
          <w:sz w:val="28"/>
          <w:szCs w:val="28"/>
          <w:highlight w:val="none"/>
          <w:lang w:val="en-US" w:eastAsia="zh-CN"/>
        </w:rPr>
        <w:t>任何合同应付款项中进行暂扣，待责任及损失金额确定后，甲方无息返还非乙方责任的暂扣金额。</w:t>
      </w:r>
    </w:p>
    <w:p w14:paraId="4E979B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18</w:t>
      </w:r>
      <w:r>
        <w:rPr>
          <w:rFonts w:hint="default" w:ascii="仿宋" w:hAnsi="仿宋" w:eastAsia="仿宋" w:cs="仿宋"/>
          <w:b w:val="0"/>
          <w:bCs w:val="0"/>
          <w:i w:val="0"/>
          <w:iCs w:val="0"/>
          <w:color w:val="auto"/>
          <w:sz w:val="28"/>
          <w:szCs w:val="28"/>
          <w:highlight w:val="none"/>
          <w:lang w:val="en-US" w:eastAsia="zh-CN"/>
        </w:rPr>
        <w:t>乙方须对甲供材料进行质量检查，发现有质量问题或异常的材料，必须立即书面（包括但不限于微信、短信等方式）报告甲方，否则如乙方施工部分的甲供材料出现质量</w:t>
      </w:r>
      <w:r>
        <w:rPr>
          <w:rFonts w:hint="eastAsia" w:ascii="仿宋" w:hAnsi="仿宋" w:eastAsia="仿宋" w:cs="仿宋"/>
          <w:b w:val="0"/>
          <w:bCs w:val="0"/>
          <w:i w:val="0"/>
          <w:iCs w:val="0"/>
          <w:color w:val="auto"/>
          <w:sz w:val="28"/>
          <w:szCs w:val="28"/>
          <w:highlight w:val="none"/>
          <w:lang w:val="en-US" w:eastAsia="zh-CN"/>
        </w:rPr>
        <w:t>不合格</w:t>
      </w:r>
      <w:r>
        <w:rPr>
          <w:rFonts w:hint="default" w:ascii="仿宋" w:hAnsi="仿宋" w:eastAsia="仿宋" w:cs="仿宋"/>
          <w:b w:val="0"/>
          <w:bCs w:val="0"/>
          <w:i w:val="0"/>
          <w:iCs w:val="0"/>
          <w:color w:val="auto"/>
          <w:sz w:val="28"/>
          <w:szCs w:val="28"/>
          <w:highlight w:val="none"/>
          <w:lang w:val="en-US" w:eastAsia="zh-CN"/>
        </w:rPr>
        <w:t>，甲方有权扣除乙方在该施工部分的费用，如造成甲方损失，乙方须承担责任和损失。</w:t>
      </w:r>
    </w:p>
    <w:p w14:paraId="62E961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9</w:t>
      </w:r>
      <w:r>
        <w:rPr>
          <w:rFonts w:hint="default" w:ascii="仿宋" w:hAnsi="仿宋" w:eastAsia="仿宋" w:cs="仿宋"/>
          <w:b w:val="0"/>
          <w:bCs w:val="0"/>
          <w:i w:val="0"/>
          <w:iCs w:val="0"/>
          <w:color w:val="auto"/>
          <w:sz w:val="28"/>
          <w:szCs w:val="28"/>
          <w:highlight w:val="none"/>
          <w:lang w:val="en-US" w:eastAsia="zh-CN"/>
        </w:rPr>
        <w:t>基于本项目特殊性，乙方已充分了解其施工责任并自愿承担相应风险，合同所约定的违约金标准经双方友好协商确定，乙方同意不对违约金标准提出任何主张或抗辩。</w:t>
      </w:r>
    </w:p>
    <w:p w14:paraId="1FBD2AB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6" w:name="_Toc5697"/>
      <w:bookmarkStart w:id="227" w:name="_Toc28798"/>
      <w:bookmarkStart w:id="228" w:name="_Toc7356"/>
      <w:bookmarkStart w:id="229" w:name="_Toc31952"/>
      <w:bookmarkStart w:id="230" w:name="_Toc16038"/>
      <w:bookmarkStart w:id="231" w:name="_Toc96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第十三章、廉洁条款</w:t>
      </w:r>
      <w:bookmarkEnd w:id="226"/>
      <w:bookmarkEnd w:id="227"/>
      <w:bookmarkEnd w:id="228"/>
      <w:bookmarkEnd w:id="229"/>
      <w:bookmarkEnd w:id="230"/>
      <w:bookmarkEnd w:id="231"/>
    </w:p>
    <w:p w14:paraId="1D23952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13.1乙方在与甲方合作期间（包括本合同招标、签订、履行期间），不得向甲方职员提供请吃、送礼、旅游、色情服务、行贿、回扣或其他不正当利益，如有违反，乙方每次向甲方支付</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合同总价的10％作为违约金（甲方可从任意合同款中扣款），造成甲方经济或其他损失的，乙方全额赔偿甲方。</w:t>
      </w:r>
    </w:p>
    <w:p w14:paraId="640837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4A4CD3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13.3 如甲方发现乙方可能存在违反廉洁条款的行为时，甲方有权暂扣违约金/争议工程款/处罚款等对应等额的合同款，直至调查完毕后根据调查结果再作处理，甲方暂不付款的行为不违约。</w:t>
      </w:r>
    </w:p>
    <w:p w14:paraId="08A483B7">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2" w:name="_Toc28499"/>
      <w:bookmarkStart w:id="233" w:name="_Toc30636"/>
      <w:bookmarkStart w:id="234" w:name="_Toc22153"/>
      <w:bookmarkStart w:id="235" w:name="_Toc14868"/>
      <w:bookmarkStart w:id="236" w:name="_Toc10092"/>
      <w:bookmarkStart w:id="237" w:name="_Toc104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第十四章、其他</w:t>
      </w:r>
      <w:bookmarkEnd w:id="232"/>
      <w:bookmarkEnd w:id="233"/>
      <w:bookmarkEnd w:id="234"/>
      <w:bookmarkEnd w:id="235"/>
      <w:bookmarkEnd w:id="236"/>
      <w:bookmarkEnd w:id="23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360E341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14.1甲乙双方确认，甲方项目章仅供甲方项目部与乙方联系工作和确认施工技术、资料之用。乙方知悉并同意，该项目章用于以下情形时无效：</w:t>
      </w:r>
    </w:p>
    <w:p w14:paraId="185740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14.1.1签订工程合同或工程分包合同及机械设备、周材租赁及材料采购类等合同；</w:t>
      </w:r>
    </w:p>
    <w:p w14:paraId="175A8C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14.1.2任何类型的欠条或收据；</w:t>
      </w:r>
    </w:p>
    <w:p w14:paraId="4636280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14.1.3任何形式的经济结算凭证；</w:t>
      </w:r>
    </w:p>
    <w:p w14:paraId="59A4D4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14.1.4为他人或他单位提供任何形式的担保；</w:t>
      </w:r>
    </w:p>
    <w:p w14:paraId="7C193F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14.1.5确认任何形式的包含权利义务及责任承担的文件。</w:t>
      </w:r>
    </w:p>
    <w:p w14:paraId="7676C6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14.2甲方编制的《施工交楼标准》、《常见建筑工程质量通病的标准化施工细则》、《隐蔽工程管理制度》、《分包单位施工现场签证管理制度》、《工程类单价认质认价管理制度》、《分包单位材料管理制度》、《竣工图管理制度》等公司现行制度、规定为本合同不可分割的组成部分，与合同正文具有同等效力，乙方须照章施工。</w:t>
      </w:r>
    </w:p>
    <w:p w14:paraId="070CBC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14.3本合同除《工完场清交接单》、《甲方项目章样式》、《签证单分包说明》、《施工图纸》外，其余合同附件在办理相关手续时，乙方须加盖公章且经法人代表签章。</w:t>
      </w:r>
    </w:p>
    <w:p w14:paraId="04A3E8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38" w:name="_Toc19206"/>
      <w:bookmarkStart w:id="239" w:name="_Toc10212"/>
      <w:bookmarkStart w:id="240" w:name="_Toc11774"/>
      <w:bookmarkStart w:id="241" w:name="_Toc6917"/>
      <w:bookmarkStart w:id="242" w:name="_Toc13519"/>
      <w:bookmarkStart w:id="243" w:name="_Toc31707"/>
      <w:bookmarkStart w:id="244" w:name="_Toc10994"/>
      <w:r>
        <w:rPr>
          <w:rFonts w:hint="eastAsia" w:ascii="仿宋" w:hAnsi="仿宋" w:eastAsia="仿宋" w:cs="仿宋"/>
          <w:b w:val="0"/>
          <w:bCs w:val="0"/>
          <w:i w:val="0"/>
          <w:iCs w:val="0"/>
          <w:color w:val="auto"/>
          <w:sz w:val="28"/>
          <w:szCs w:val="28"/>
          <w:highlight w:val="none"/>
          <w:lang w:val="en-US" w:eastAsia="zh-CN"/>
        </w:rPr>
        <w:t>14.4本合同条款互为矛盾或不一致之处，按最有利于甲方的条款执行。</w:t>
      </w:r>
      <w:bookmarkEnd w:id="238"/>
      <w:bookmarkEnd w:id="239"/>
      <w:bookmarkEnd w:id="240"/>
      <w:bookmarkEnd w:id="241"/>
      <w:bookmarkEnd w:id="242"/>
      <w:bookmarkEnd w:id="243"/>
      <w:bookmarkEnd w:id="244"/>
    </w:p>
    <w:p w14:paraId="795901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14.5本合同未尽事宜，须经甲乙双方协商一致后签订补充协议进行明确。补充协议与本合同具有同等法律效力。</w:t>
      </w:r>
    </w:p>
    <w:p w14:paraId="63607CA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14.6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052934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14.7乙方违反本合同约定给甲方造成损失的，须按本合同约定承担违约责任外，甲方有权直接从任意合同款中直接扣除乙方应承担的违约金、罚款等款项，如所扣款额不足补偿甲方损失，乙方在甲方通知之日起七个日历天内补齐差额给甲方，且甲方向乙方追偿责任所产生的律师费、诉讼费、鉴定费、</w:t>
      </w:r>
      <w:r>
        <w:rPr>
          <w:rFonts w:hint="eastAsia" w:ascii="仿宋" w:hAnsi="仿宋" w:eastAsia="仿宋" w:cs="仿宋"/>
          <w:color w:val="auto"/>
          <w:sz w:val="28"/>
          <w:highlight w:val="none"/>
          <w:u w:val="none"/>
          <w:lang w:val="en-US" w:eastAsia="zh-CN"/>
        </w:rPr>
        <w:t>财产保全及相关担保费由乙方全额承担。</w:t>
      </w:r>
    </w:p>
    <w:p w14:paraId="2556FA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14.8本合同正文为清洁打印文本，如双方对此合同有任何修改及补充均应另行签订补充协议。合同正文中任何非打印的文字或者图形，除非经双方确认同意，否则不产生约束力。</w:t>
      </w:r>
    </w:p>
    <w:p w14:paraId="606489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14.9甲乙双方均确认已经审阅并理解本合同全部条款，且已经就条款的所有疑问得到满意解释，并确认合同条款为双方本着诚信互利的原则友好协商一致的结果，不属于任何一方的格式条款。</w:t>
      </w:r>
    </w:p>
    <w:p w14:paraId="4F57F5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14.10本合同有效期内，甲方制度文件及合同附件表格格式如有更新，按甲方最新版要求执行，甲方拥有最终解释权。</w:t>
      </w:r>
    </w:p>
    <w:p w14:paraId="5330C7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14.11以下文件均为合同文件有效组成部分，各文件互相解释，互为说明。当合同文件中出现不一致时，除合同另有约定外，以下排列顺序就是各合同文件的优先解释顺序：</w:t>
      </w:r>
    </w:p>
    <w:p w14:paraId="06BDD1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① 合同有效期内，双方法人代表或授权人签字并加盖公章的本合同补充协议；</w:t>
      </w:r>
    </w:p>
    <w:p w14:paraId="795F67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② 本合同第一部分，合同专用条款；</w:t>
      </w:r>
    </w:p>
    <w:p w14:paraId="61F26FB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③ 本合同第二部分，合同通用条款；</w:t>
      </w:r>
    </w:p>
    <w:p w14:paraId="4D1012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④ 经甲方确认的方案及相关设计变更；</w:t>
      </w:r>
    </w:p>
    <w:p w14:paraId="7E9F16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⑤ 本工程招标文件（含相关答疑、补充通知等）；</w:t>
      </w:r>
    </w:p>
    <w:p w14:paraId="533BFE5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⑥ 乙方发出的、经甲方确认的本工程投标文件及相关澄清文件；</w:t>
      </w:r>
    </w:p>
    <w:p w14:paraId="6A790F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⑦ 本工程所在地现行的法律、法规、标准、规范。</w:t>
      </w:r>
    </w:p>
    <w:p w14:paraId="5EE9092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14.12本合同一式叁份，甲方执贰份，乙方执壹份，均具同等效力。</w:t>
      </w:r>
    </w:p>
    <w:p w14:paraId="231F64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14.13本合同自甲乙双方签字并加盖公章（或合同章）之日起生效，双方履行完合同义务、责任之日终止。</w:t>
      </w:r>
    </w:p>
    <w:p w14:paraId="489E5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40" w:leftChars="-5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highlight w:val="none"/>
          <w:u w:val="none"/>
          <w:lang w:eastAsia="zh-CN"/>
        </w:rPr>
        <w:t>（以下无正文）</w:t>
      </w:r>
    </w:p>
    <w:p w14:paraId="35B59C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3" w:firstLineChars="179"/>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245" w:name="_Toc16843"/>
      <w:bookmarkStart w:id="246" w:name="_Toc11818"/>
      <w:bookmarkStart w:id="247" w:name="_Toc16367"/>
      <w:bookmarkStart w:id="248" w:name="_Toc2547"/>
      <w:bookmarkStart w:id="249" w:name="_Toc13721"/>
      <w:bookmarkStart w:id="250" w:name="_Toc28946"/>
      <w:bookmarkStart w:id="251" w:name="_Toc18930"/>
      <w:bookmarkStart w:id="252" w:name="_Toc4833"/>
      <w:bookmarkStart w:id="253" w:name="_Toc30304"/>
      <w:r>
        <w:rPr>
          <w:rFonts w:hint="eastAsia" w:ascii="仿宋" w:hAnsi="仿宋" w:eastAsia="仿宋" w:cs="仿宋"/>
          <w:b/>
          <w:bCs/>
          <w:i w:val="0"/>
          <w:iCs w:val="0"/>
          <w:color w:val="auto"/>
          <w:sz w:val="28"/>
          <w:szCs w:val="28"/>
          <w:highlight w:val="none"/>
          <w:shd w:val="clear" w:color="auto" w:fill="auto"/>
          <w:lang w:val="en-US" w:eastAsia="zh-CN"/>
        </w:rPr>
        <w:t>合同附件：</w:t>
      </w:r>
      <w:bookmarkEnd w:id="245"/>
      <w:bookmarkEnd w:id="246"/>
      <w:bookmarkEnd w:id="247"/>
      <w:bookmarkEnd w:id="248"/>
      <w:bookmarkEnd w:id="249"/>
      <w:bookmarkEnd w:id="250"/>
      <w:bookmarkEnd w:id="251"/>
      <w:bookmarkEnd w:id="252"/>
    </w:p>
    <w:bookmarkEnd w:id="100"/>
    <w:bookmarkEnd w:id="101"/>
    <w:bookmarkEnd w:id="102"/>
    <w:bookmarkEnd w:id="253"/>
    <w:p w14:paraId="38C393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54" w:name="_Toc22858"/>
      <w:bookmarkStart w:id="255" w:name="_Toc8154"/>
      <w:bookmarkStart w:id="256" w:name="_Toc25846"/>
      <w:bookmarkStart w:id="257" w:name="_Toc4707"/>
      <w:bookmarkStart w:id="258" w:name="_Toc20897"/>
      <w:bookmarkStart w:id="259" w:name="_Toc11189"/>
      <w:bookmarkStart w:id="260" w:name="_Toc7599"/>
      <w:bookmarkStart w:id="261" w:name="_Toc8825"/>
      <w:bookmarkStart w:id="262" w:name="_Toc18676"/>
      <w:bookmarkStart w:id="263" w:name="_Toc23629"/>
      <w:bookmarkStart w:id="264" w:name="_Toc27829"/>
      <w:bookmarkStart w:id="265" w:name="_Toc24379"/>
      <w:bookmarkStart w:id="266" w:name="_Toc6278"/>
      <w:bookmarkStart w:id="267" w:name="_Toc16115"/>
      <w:bookmarkStart w:id="268" w:name="_Toc11947"/>
      <w:bookmarkStart w:id="269" w:name="_Toc6254"/>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254"/>
      <w:bookmarkEnd w:id="255"/>
      <w:bookmarkEnd w:id="256"/>
      <w:bookmarkEnd w:id="257"/>
      <w:bookmarkEnd w:id="258"/>
      <w:bookmarkEnd w:id="259"/>
      <w:bookmarkEnd w:id="260"/>
      <w:bookmarkEnd w:id="261"/>
      <w:bookmarkEnd w:id="262"/>
      <w:bookmarkEnd w:id="263"/>
      <w:bookmarkEnd w:id="264"/>
      <w:bookmarkEnd w:id="265"/>
    </w:p>
    <w:p w14:paraId="337828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70" w:name="_Toc22678"/>
      <w:bookmarkStart w:id="271" w:name="_Toc25336"/>
      <w:bookmarkStart w:id="272" w:name="_Toc23949"/>
      <w:bookmarkStart w:id="273" w:name="_Toc27040"/>
      <w:bookmarkStart w:id="274" w:name="_Toc25490"/>
      <w:bookmarkStart w:id="275" w:name="_Toc29237"/>
      <w:bookmarkStart w:id="276" w:name="_Toc6961"/>
      <w:bookmarkStart w:id="277" w:name="_Toc16598"/>
      <w:bookmarkStart w:id="278" w:name="_Toc4136"/>
      <w:bookmarkStart w:id="279" w:name="_Toc29710"/>
      <w:bookmarkStart w:id="280" w:name="_Toc17284"/>
      <w:bookmarkStart w:id="281" w:name="_Toc27191"/>
      <w:bookmarkStart w:id="282" w:name="_Toc11948"/>
      <w:bookmarkStart w:id="283" w:name="_Toc31644"/>
      <w:bookmarkStart w:id="284" w:name="_Toc4786"/>
      <w:bookmarkStart w:id="285" w:name="_Toc11604"/>
      <w:bookmarkStart w:id="286" w:name="_Toc3457"/>
      <w:bookmarkStart w:id="287" w:name="_Toc26373"/>
      <w:bookmarkStart w:id="288" w:name="_Toc32302"/>
      <w:bookmarkStart w:id="289" w:name="_Toc27699"/>
      <w:bookmarkStart w:id="290" w:name="_Toc13862"/>
      <w:bookmarkStart w:id="291" w:name="_Toc21271"/>
      <w:bookmarkStart w:id="292" w:name="_Toc12070"/>
      <w:bookmarkStart w:id="293" w:name="_Toc28459"/>
      <w:bookmarkStart w:id="294" w:name="_Toc6688"/>
      <w:bookmarkStart w:id="295" w:name="_Toc29648"/>
      <w:bookmarkStart w:id="296" w:name="_Toc16643"/>
      <w:bookmarkStart w:id="297" w:name="_Toc23329"/>
      <w:bookmarkStart w:id="298" w:name="_Toc10650"/>
      <w:bookmarkStart w:id="299" w:name="_Toc15971"/>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hint="eastAsia" w:ascii="仿宋" w:hAnsi="仿宋" w:eastAsia="仿宋" w:cs="仿宋"/>
          <w:i w:val="0"/>
          <w:iCs w:val="0"/>
          <w:color w:val="auto"/>
          <w:sz w:val="28"/>
          <w:szCs w:val="28"/>
          <w:highlight w:val="none"/>
          <w:shd w:val="clear" w:color="auto" w:fill="auto"/>
          <w:lang w:val="en-US" w:eastAsia="zh-CN"/>
        </w:rPr>
        <w:t>格式；</w:t>
      </w:r>
      <w:bookmarkEnd w:id="290"/>
      <w:bookmarkEnd w:id="291"/>
      <w:bookmarkEnd w:id="292"/>
      <w:bookmarkEnd w:id="293"/>
      <w:bookmarkEnd w:id="294"/>
      <w:bookmarkEnd w:id="295"/>
      <w:bookmarkEnd w:id="296"/>
      <w:bookmarkEnd w:id="297"/>
      <w:bookmarkEnd w:id="298"/>
      <w:bookmarkEnd w:id="299"/>
    </w:p>
    <w:p w14:paraId="5CEA32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00" w:name="_Toc9220"/>
      <w:bookmarkStart w:id="301" w:name="_Toc19810"/>
      <w:bookmarkStart w:id="302" w:name="_Toc3355"/>
      <w:bookmarkStart w:id="303" w:name="_Toc24903"/>
      <w:bookmarkStart w:id="304" w:name="_Toc19825"/>
      <w:bookmarkStart w:id="305" w:name="_Toc3526"/>
      <w:bookmarkStart w:id="306" w:name="_Toc5095"/>
      <w:bookmarkStart w:id="307" w:name="_Toc21727"/>
      <w:bookmarkStart w:id="308" w:name="_Toc28426"/>
      <w:bookmarkStart w:id="309" w:name="_Toc19406"/>
      <w:bookmarkStart w:id="310" w:name="_Toc4256"/>
      <w:bookmarkStart w:id="311" w:name="_Toc25184"/>
      <w:bookmarkStart w:id="312" w:name="_Toc21366"/>
      <w:bookmarkStart w:id="313" w:name="_Toc14339"/>
      <w:bookmarkStart w:id="314" w:name="_Toc11696"/>
      <w:bookmarkStart w:id="315" w:name="_Toc27842"/>
      <w:bookmarkStart w:id="316" w:name="_Toc30478"/>
      <w:bookmarkStart w:id="317" w:name="_Toc14829"/>
      <w:bookmarkStart w:id="318" w:name="_Toc3046"/>
      <w:bookmarkStart w:id="319" w:name="_Toc26221"/>
      <w:bookmarkStart w:id="320" w:name="_Toc25146"/>
      <w:bookmarkStart w:id="321" w:name="_Toc1181"/>
      <w:bookmarkStart w:id="322" w:name="_Toc30623"/>
      <w:bookmarkStart w:id="323" w:name="_Toc12457"/>
      <w:bookmarkStart w:id="324" w:name="_Toc23456"/>
      <w:bookmarkStart w:id="325" w:name="_Toc918"/>
      <w:bookmarkStart w:id="326" w:name="_Toc25120"/>
      <w:bookmarkStart w:id="327" w:name="_Toc8243"/>
      <w:bookmarkStart w:id="328" w:name="_Toc31647"/>
      <w:bookmarkStart w:id="329" w:name="_Toc18083"/>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hint="eastAsia" w:ascii="仿宋" w:hAnsi="仿宋" w:eastAsia="仿宋" w:cs="仿宋"/>
          <w:i w:val="0"/>
          <w:iCs w:val="0"/>
          <w:color w:val="auto"/>
          <w:sz w:val="28"/>
          <w:szCs w:val="28"/>
          <w:highlight w:val="none"/>
          <w:shd w:val="clear" w:color="auto" w:fill="auto"/>
          <w:lang w:val="en-US" w:eastAsia="zh-CN"/>
        </w:rPr>
        <w:t>格式；</w:t>
      </w:r>
      <w:bookmarkEnd w:id="320"/>
      <w:bookmarkEnd w:id="321"/>
      <w:bookmarkEnd w:id="322"/>
      <w:bookmarkEnd w:id="323"/>
      <w:bookmarkEnd w:id="324"/>
      <w:bookmarkEnd w:id="325"/>
      <w:bookmarkEnd w:id="326"/>
      <w:bookmarkEnd w:id="327"/>
      <w:bookmarkEnd w:id="328"/>
      <w:bookmarkEnd w:id="329"/>
    </w:p>
    <w:p w14:paraId="39C33A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330" w:name="_Toc4675"/>
      <w:bookmarkStart w:id="331" w:name="_Toc29658"/>
      <w:bookmarkStart w:id="332" w:name="_Toc32243"/>
      <w:bookmarkStart w:id="333" w:name="_Toc625"/>
      <w:bookmarkStart w:id="334" w:name="_Toc8225"/>
      <w:bookmarkStart w:id="335" w:name="_Toc4124"/>
      <w:bookmarkStart w:id="336" w:name="_Toc2953"/>
      <w:bookmarkStart w:id="337" w:name="_Toc12708"/>
      <w:bookmarkStart w:id="338" w:name="_Toc8276"/>
      <w:bookmarkStart w:id="339" w:name="_Toc14408"/>
      <w:bookmarkStart w:id="340" w:name="_Toc30526"/>
      <w:bookmarkStart w:id="341" w:name="_Toc30996"/>
      <w:bookmarkStart w:id="342" w:name="_Toc29665"/>
      <w:bookmarkStart w:id="343" w:name="_Toc29231"/>
      <w:bookmarkStart w:id="344" w:name="_Toc10580"/>
      <w:bookmarkStart w:id="345" w:name="_Toc27559"/>
      <w:bookmarkStart w:id="346" w:name="_Toc8789"/>
      <w:bookmarkStart w:id="347" w:name="_Toc4351"/>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330"/>
      <w:bookmarkEnd w:id="331"/>
      <w:bookmarkEnd w:id="332"/>
      <w:bookmarkEnd w:id="333"/>
      <w:bookmarkEnd w:id="334"/>
      <w:bookmarkEnd w:id="335"/>
      <w:bookmarkEnd w:id="336"/>
      <w:bookmarkEnd w:id="337"/>
      <w:r>
        <w:rPr>
          <w:rFonts w:hint="eastAsia" w:ascii="仿宋" w:hAnsi="仿宋" w:eastAsia="仿宋" w:cs="仿宋"/>
          <w:i w:val="0"/>
          <w:iCs w:val="0"/>
          <w:color w:val="auto"/>
          <w:sz w:val="28"/>
          <w:szCs w:val="28"/>
          <w:highlight w:val="none"/>
          <w:shd w:val="clear" w:color="auto" w:fill="auto"/>
          <w:lang w:val="en-US" w:eastAsia="zh-CN"/>
        </w:rPr>
        <w:t>格式；</w:t>
      </w:r>
      <w:bookmarkEnd w:id="338"/>
      <w:bookmarkEnd w:id="339"/>
      <w:bookmarkEnd w:id="340"/>
      <w:bookmarkEnd w:id="341"/>
      <w:bookmarkEnd w:id="342"/>
      <w:bookmarkEnd w:id="343"/>
      <w:bookmarkEnd w:id="344"/>
      <w:bookmarkEnd w:id="345"/>
      <w:bookmarkEnd w:id="346"/>
      <w:bookmarkEnd w:id="347"/>
    </w:p>
    <w:p w14:paraId="69E033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48" w:name="_Toc29501"/>
      <w:bookmarkStart w:id="349" w:name="_Toc20020"/>
      <w:bookmarkStart w:id="350" w:name="_Toc17895"/>
      <w:bookmarkStart w:id="351" w:name="_Toc2302"/>
      <w:bookmarkStart w:id="352" w:name="_Toc1628"/>
      <w:bookmarkStart w:id="353" w:name="_Toc20516"/>
      <w:bookmarkStart w:id="354" w:name="_Toc7977"/>
      <w:bookmarkStart w:id="355" w:name="_Toc26757"/>
      <w:bookmarkStart w:id="356" w:name="_Toc5880"/>
      <w:bookmarkStart w:id="357" w:name="_Toc30595"/>
      <w:bookmarkStart w:id="358" w:name="_Toc13787"/>
      <w:bookmarkStart w:id="359" w:name="_Toc7170"/>
      <w:bookmarkStart w:id="360" w:name="_Toc4532"/>
      <w:bookmarkStart w:id="361" w:name="_Toc18174"/>
      <w:bookmarkStart w:id="362" w:name="_Toc12321"/>
      <w:bookmarkStart w:id="363" w:name="_Toc23449"/>
      <w:bookmarkStart w:id="364" w:name="_Toc9015"/>
      <w:bookmarkStart w:id="365" w:name="_Toc14040"/>
      <w:bookmarkStart w:id="366" w:name="_Toc19765"/>
      <w:bookmarkStart w:id="367" w:name="_Toc32363"/>
      <w:bookmarkStart w:id="368" w:name="_Toc31683"/>
      <w:bookmarkStart w:id="369" w:name="_Toc25706"/>
      <w:bookmarkStart w:id="370" w:name="_Toc11437"/>
      <w:bookmarkStart w:id="371" w:name="_Toc4713"/>
      <w:bookmarkStart w:id="372" w:name="_Toc20848"/>
      <w:bookmarkStart w:id="373" w:name="_Toc19832"/>
      <w:bookmarkStart w:id="374" w:name="_Toc10036"/>
      <w:bookmarkStart w:id="375" w:name="_Toc11025"/>
      <w:bookmarkStart w:id="376" w:name="_Toc7316"/>
      <w:bookmarkStart w:id="377" w:name="_Toc27338"/>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仿宋" w:hAnsi="仿宋" w:eastAsia="仿宋" w:cs="仿宋"/>
          <w:i w:val="0"/>
          <w:iCs w:val="0"/>
          <w:color w:val="auto"/>
          <w:sz w:val="28"/>
          <w:szCs w:val="28"/>
          <w:highlight w:val="none"/>
          <w:shd w:val="clear" w:color="auto" w:fill="auto"/>
          <w:lang w:val="en-US" w:eastAsia="zh-CN"/>
        </w:rPr>
        <w:t>格式；</w:t>
      </w:r>
      <w:bookmarkEnd w:id="368"/>
      <w:bookmarkEnd w:id="369"/>
      <w:bookmarkEnd w:id="370"/>
      <w:bookmarkEnd w:id="371"/>
      <w:bookmarkEnd w:id="372"/>
      <w:bookmarkEnd w:id="373"/>
      <w:bookmarkEnd w:id="374"/>
      <w:bookmarkEnd w:id="375"/>
      <w:bookmarkEnd w:id="376"/>
      <w:bookmarkEnd w:id="377"/>
    </w:p>
    <w:p w14:paraId="13DE88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78" w:name="_Toc25345"/>
      <w:bookmarkStart w:id="379" w:name="_Toc1613"/>
      <w:bookmarkStart w:id="380" w:name="_Toc9377"/>
      <w:bookmarkStart w:id="381" w:name="_Toc29999"/>
      <w:bookmarkStart w:id="382" w:name="_Toc25421"/>
      <w:bookmarkStart w:id="383" w:name="_Toc32730"/>
      <w:bookmarkStart w:id="384" w:name="_Toc15617"/>
      <w:bookmarkStart w:id="385" w:name="_Toc15102"/>
      <w:bookmarkStart w:id="386" w:name="_Toc8957"/>
      <w:bookmarkStart w:id="387" w:name="_Toc19655"/>
      <w:bookmarkStart w:id="388" w:name="_Toc7073"/>
      <w:bookmarkStart w:id="389" w:name="_Toc24739"/>
      <w:bookmarkStart w:id="390" w:name="_Toc2307"/>
      <w:bookmarkStart w:id="391" w:name="_Toc22271"/>
      <w:bookmarkStart w:id="392" w:name="_Toc5989"/>
      <w:bookmarkStart w:id="393" w:name="_Toc5662"/>
      <w:bookmarkStart w:id="394" w:name="_Toc27592"/>
      <w:bookmarkStart w:id="395" w:name="_Toc11623"/>
      <w:bookmarkStart w:id="396" w:name="_Toc12149"/>
      <w:bookmarkStart w:id="397" w:name="_Toc15998"/>
      <w:bookmarkStart w:id="398" w:name="_Toc22231"/>
      <w:bookmarkStart w:id="399" w:name="_Toc18835"/>
      <w:bookmarkStart w:id="400" w:name="_Toc28908"/>
      <w:bookmarkStart w:id="401" w:name="_Toc28300"/>
      <w:bookmarkStart w:id="402" w:name="_Toc24504"/>
      <w:bookmarkStart w:id="403" w:name="_Toc21579"/>
      <w:bookmarkStart w:id="404" w:name="_Toc26175"/>
      <w:bookmarkStart w:id="405" w:name="_Toc8058"/>
      <w:bookmarkStart w:id="406" w:name="_Toc16339"/>
      <w:bookmarkStart w:id="407" w:name="_Toc24213"/>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仿宋" w:hAnsi="仿宋" w:eastAsia="仿宋" w:cs="仿宋"/>
          <w:i w:val="0"/>
          <w:iCs w:val="0"/>
          <w:color w:val="auto"/>
          <w:sz w:val="28"/>
          <w:szCs w:val="28"/>
          <w:highlight w:val="none"/>
          <w:shd w:val="clear" w:color="auto" w:fill="auto"/>
          <w:lang w:val="en-US" w:eastAsia="zh-CN"/>
        </w:rPr>
        <w:t>格式；</w:t>
      </w:r>
      <w:bookmarkEnd w:id="398"/>
      <w:bookmarkEnd w:id="399"/>
      <w:bookmarkEnd w:id="400"/>
      <w:bookmarkEnd w:id="401"/>
      <w:bookmarkEnd w:id="402"/>
      <w:bookmarkEnd w:id="403"/>
      <w:bookmarkEnd w:id="404"/>
      <w:bookmarkEnd w:id="405"/>
      <w:bookmarkEnd w:id="406"/>
      <w:bookmarkEnd w:id="407"/>
    </w:p>
    <w:p w14:paraId="225421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08" w:name="_Toc16687"/>
      <w:bookmarkStart w:id="409" w:name="_Toc7252"/>
      <w:bookmarkStart w:id="410" w:name="_Toc32535"/>
      <w:bookmarkStart w:id="411" w:name="_Toc28993"/>
      <w:bookmarkStart w:id="412" w:name="_Toc27211"/>
      <w:bookmarkStart w:id="413" w:name="_Toc17584"/>
      <w:bookmarkStart w:id="414" w:name="_Toc27703"/>
      <w:bookmarkStart w:id="415" w:name="_Toc25447"/>
      <w:bookmarkStart w:id="416" w:name="_Toc7317"/>
      <w:bookmarkStart w:id="417" w:name="_Toc25112"/>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408"/>
      <w:bookmarkEnd w:id="409"/>
      <w:bookmarkEnd w:id="410"/>
      <w:bookmarkEnd w:id="411"/>
      <w:bookmarkEnd w:id="412"/>
      <w:bookmarkEnd w:id="413"/>
      <w:bookmarkEnd w:id="414"/>
      <w:bookmarkEnd w:id="415"/>
      <w:bookmarkEnd w:id="416"/>
      <w:bookmarkEnd w:id="417"/>
    </w:p>
    <w:p w14:paraId="08F9CC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18" w:name="_Toc21391"/>
      <w:bookmarkStart w:id="419" w:name="_Toc15804"/>
      <w:bookmarkStart w:id="420" w:name="_Toc10838"/>
      <w:bookmarkStart w:id="421" w:name="_Toc6059"/>
      <w:bookmarkStart w:id="422" w:name="_Toc16033"/>
      <w:bookmarkStart w:id="423" w:name="_Toc13138"/>
      <w:bookmarkStart w:id="424" w:name="_Toc11278"/>
      <w:bookmarkStart w:id="425" w:name="_Toc1933"/>
      <w:bookmarkStart w:id="426" w:name="_Toc2384"/>
      <w:bookmarkStart w:id="427" w:name="_Toc8673"/>
      <w:bookmarkStart w:id="428" w:name="_Toc8489"/>
      <w:bookmarkStart w:id="429" w:name="_Toc17795"/>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418"/>
      <w:bookmarkEnd w:id="419"/>
      <w:bookmarkEnd w:id="420"/>
      <w:bookmarkEnd w:id="421"/>
      <w:r>
        <w:rPr>
          <w:rFonts w:hint="eastAsia" w:ascii="仿宋" w:hAnsi="仿宋" w:eastAsia="仿宋" w:cs="仿宋"/>
          <w:i w:val="0"/>
          <w:iCs w:val="0"/>
          <w:color w:val="auto"/>
          <w:sz w:val="28"/>
          <w:szCs w:val="28"/>
          <w:highlight w:val="none"/>
          <w:shd w:val="clear" w:color="auto" w:fill="auto"/>
          <w:lang w:val="en-US" w:eastAsia="zh-CN"/>
        </w:rPr>
        <w:t>；</w:t>
      </w:r>
      <w:bookmarkEnd w:id="422"/>
      <w:bookmarkEnd w:id="423"/>
      <w:bookmarkEnd w:id="424"/>
      <w:bookmarkEnd w:id="425"/>
      <w:bookmarkEnd w:id="426"/>
      <w:bookmarkEnd w:id="427"/>
      <w:bookmarkEnd w:id="428"/>
      <w:bookmarkEnd w:id="429"/>
    </w:p>
    <w:p w14:paraId="47A5F9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30" w:name="_Toc12607"/>
      <w:bookmarkStart w:id="431" w:name="_Toc18640"/>
      <w:bookmarkStart w:id="432" w:name="_Toc341"/>
      <w:bookmarkStart w:id="433" w:name="_Toc25618"/>
      <w:bookmarkStart w:id="434" w:name="_Toc22636"/>
      <w:bookmarkStart w:id="435" w:name="_Toc10114"/>
      <w:bookmarkStart w:id="436" w:name="_Toc19704"/>
      <w:bookmarkStart w:id="437" w:name="_Toc30237"/>
      <w:bookmarkStart w:id="438" w:name="_Toc31415"/>
      <w:bookmarkStart w:id="439" w:name="_Toc4335"/>
      <w:bookmarkStart w:id="440" w:name="_Toc14821"/>
      <w:bookmarkStart w:id="441" w:name="_Toc31008"/>
      <w:bookmarkStart w:id="442" w:name="_Toc7399"/>
      <w:bookmarkStart w:id="443" w:name="_Toc26903"/>
      <w:bookmarkStart w:id="444" w:name="_Toc18259"/>
      <w:bookmarkStart w:id="445" w:name="_Toc25734"/>
      <w:bookmarkStart w:id="446" w:name="_Toc26020"/>
      <w:bookmarkStart w:id="447" w:name="_Toc19119"/>
      <w:r>
        <w:rPr>
          <w:rFonts w:hint="eastAsia" w:ascii="仿宋" w:hAnsi="仿宋" w:eastAsia="仿宋" w:cs="仿宋"/>
          <w:i w:val="0"/>
          <w:iCs w:val="0"/>
          <w:color w:val="auto"/>
          <w:sz w:val="28"/>
          <w:szCs w:val="28"/>
          <w:highlight w:val="none"/>
          <w:shd w:val="clear" w:color="auto" w:fill="auto"/>
          <w:lang w:val="en-US" w:eastAsia="zh-CN"/>
        </w:rPr>
        <w:t>附件九</w:t>
      </w:r>
      <w:bookmarkEnd w:id="430"/>
      <w:bookmarkEnd w:id="431"/>
      <w:bookmarkEnd w:id="432"/>
      <w:bookmarkEnd w:id="433"/>
      <w:bookmarkEnd w:id="434"/>
      <w:bookmarkEnd w:id="435"/>
      <w:bookmarkEnd w:id="436"/>
      <w:bookmarkEnd w:id="437"/>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438"/>
      <w:bookmarkEnd w:id="439"/>
      <w:bookmarkEnd w:id="440"/>
      <w:bookmarkEnd w:id="441"/>
      <w:bookmarkEnd w:id="442"/>
      <w:bookmarkEnd w:id="443"/>
      <w:bookmarkEnd w:id="444"/>
      <w:bookmarkEnd w:id="445"/>
      <w:bookmarkEnd w:id="446"/>
      <w:bookmarkEnd w:id="447"/>
    </w:p>
    <w:p w14:paraId="309A3B5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48" w:name="_Toc26774"/>
      <w:bookmarkStart w:id="449" w:name="_Toc23263"/>
      <w:bookmarkStart w:id="450" w:name="_Toc1544"/>
      <w:bookmarkStart w:id="451" w:name="_Toc24794"/>
      <w:bookmarkStart w:id="452" w:name="_Toc6281"/>
      <w:bookmarkStart w:id="453" w:name="_Toc21989"/>
      <w:bookmarkStart w:id="454" w:name="_Toc764"/>
      <w:bookmarkStart w:id="455" w:name="_Toc16561"/>
      <w:bookmarkStart w:id="456" w:name="_Toc23503"/>
      <w:bookmarkStart w:id="457" w:name="_Toc30239"/>
      <w:bookmarkStart w:id="458" w:name="_Toc13891"/>
      <w:bookmarkStart w:id="459" w:name="_Toc4534"/>
      <w:bookmarkStart w:id="460" w:name="_Toc32090"/>
      <w:bookmarkStart w:id="461" w:name="_Toc25579"/>
      <w:bookmarkStart w:id="462" w:name="_Toc20322"/>
      <w:bookmarkStart w:id="463" w:name="_Toc2495"/>
      <w:bookmarkStart w:id="464" w:name="_Toc26828"/>
      <w:bookmarkStart w:id="465" w:name="_Toc4480"/>
      <w:r>
        <w:rPr>
          <w:rFonts w:hint="eastAsia" w:ascii="仿宋" w:hAnsi="仿宋" w:eastAsia="仿宋" w:cs="仿宋"/>
          <w:i w:val="0"/>
          <w:iCs w:val="0"/>
          <w:color w:val="auto"/>
          <w:sz w:val="28"/>
          <w:szCs w:val="28"/>
          <w:highlight w:val="none"/>
          <w:shd w:val="clear" w:color="auto" w:fill="auto"/>
          <w:lang w:val="en-US" w:eastAsia="zh-CN"/>
        </w:rPr>
        <w:t>附件十</w:t>
      </w:r>
      <w:bookmarkEnd w:id="448"/>
      <w:bookmarkEnd w:id="449"/>
      <w:bookmarkEnd w:id="450"/>
      <w:bookmarkEnd w:id="451"/>
      <w:bookmarkEnd w:id="452"/>
      <w:bookmarkEnd w:id="453"/>
      <w:bookmarkEnd w:id="454"/>
      <w:bookmarkEnd w:id="455"/>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456"/>
      <w:bookmarkEnd w:id="457"/>
      <w:bookmarkEnd w:id="458"/>
      <w:bookmarkEnd w:id="459"/>
      <w:bookmarkEnd w:id="460"/>
      <w:bookmarkEnd w:id="461"/>
      <w:bookmarkEnd w:id="462"/>
      <w:bookmarkEnd w:id="463"/>
      <w:bookmarkEnd w:id="464"/>
      <w:bookmarkEnd w:id="465"/>
    </w:p>
    <w:p w14:paraId="46E1BB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66" w:name="_Toc20899"/>
      <w:bookmarkStart w:id="467" w:name="_Toc14035"/>
      <w:bookmarkStart w:id="468" w:name="_Toc1927"/>
      <w:bookmarkStart w:id="469" w:name="_Toc3842"/>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466"/>
      <w:bookmarkEnd w:id="467"/>
      <w:bookmarkEnd w:id="468"/>
      <w:bookmarkEnd w:id="469"/>
    </w:p>
    <w:p w14:paraId="34FF0F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3C7D57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70" w:name="_Toc7371"/>
      <w:bookmarkStart w:id="471" w:name="_Toc27917"/>
      <w:bookmarkStart w:id="472" w:name="_Toc26926"/>
      <w:bookmarkStart w:id="473" w:name="_Toc10168"/>
      <w:bookmarkStart w:id="474" w:name="_Toc26887"/>
      <w:bookmarkStart w:id="475" w:name="_Toc18635"/>
      <w:bookmarkStart w:id="476" w:name="_Toc18689"/>
      <w:bookmarkStart w:id="477" w:name="_Toc16929"/>
      <w:bookmarkStart w:id="478" w:name="_Toc13230"/>
      <w:bookmarkStart w:id="479" w:name="_Toc22619"/>
      <w:bookmarkStart w:id="480" w:name="_Toc27059"/>
      <w:bookmarkStart w:id="481" w:name="_Toc972"/>
      <w:bookmarkStart w:id="482" w:name="_Toc7184"/>
      <w:bookmarkStart w:id="483" w:name="_Toc30233"/>
      <w:bookmarkStart w:id="484" w:name="_Toc30940"/>
      <w:bookmarkStart w:id="485" w:name="_Toc20722"/>
      <w:bookmarkStart w:id="486" w:name="_Toc3430"/>
      <w:bookmarkStart w:id="487" w:name="_Toc31017"/>
      <w:bookmarkStart w:id="488" w:name="_Toc9097"/>
      <w:bookmarkStart w:id="489" w:name="_Toc11973"/>
      <w:bookmarkStart w:id="490" w:name="_Toc26713"/>
      <w:bookmarkStart w:id="491" w:name="_Toc32697"/>
      <w:bookmarkStart w:id="492" w:name="_Toc31032"/>
      <w:bookmarkStart w:id="493" w:name="_Toc21822"/>
      <w:bookmarkStart w:id="494" w:name="_Toc1716"/>
      <w:bookmarkStart w:id="495" w:name="_Toc26891"/>
      <w:bookmarkStart w:id="496" w:name="_Toc32611"/>
      <w:bookmarkStart w:id="497" w:name="_Toc31464"/>
      <w:bookmarkStart w:id="498" w:name="_Toc248"/>
      <w:bookmarkStart w:id="499" w:name="_Toc28296"/>
      <w:r>
        <w:rPr>
          <w:rFonts w:hint="eastAsia" w:ascii="仿宋" w:hAnsi="仿宋" w:eastAsia="仿宋" w:cs="仿宋"/>
          <w:i w:val="0"/>
          <w:iCs w:val="0"/>
          <w:color w:val="auto"/>
          <w:sz w:val="28"/>
          <w:szCs w:val="28"/>
          <w:highlight w:val="none"/>
          <w:shd w:val="clear" w:color="auto" w:fill="auto"/>
          <w:lang w:val="en-US" w:eastAsia="zh-CN"/>
        </w:rPr>
        <w:t>附件十三</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ascii="仿宋" w:hAnsi="仿宋" w:eastAsia="仿宋" w:cs="仿宋"/>
          <w:i w:val="0"/>
          <w:iCs w:val="0"/>
          <w:color w:val="auto"/>
          <w:sz w:val="28"/>
          <w:szCs w:val="28"/>
          <w:highlight w:val="none"/>
          <w:shd w:val="clear" w:color="auto" w:fill="auto"/>
          <w:lang w:val="en-US" w:eastAsia="zh-CN"/>
        </w:rPr>
        <w:t>《甲方项目章》样式；</w:t>
      </w:r>
      <w:bookmarkEnd w:id="496"/>
      <w:bookmarkEnd w:id="497"/>
      <w:bookmarkEnd w:id="498"/>
      <w:bookmarkEnd w:id="499"/>
    </w:p>
    <w:p w14:paraId="4E22F7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乙方资质文件；</w:t>
      </w:r>
      <w:bookmarkStart w:id="609" w:name="_GoBack"/>
      <w:bookmarkEnd w:id="609"/>
    </w:p>
    <w:p w14:paraId="31E729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附件十五</w:t>
      </w:r>
      <w:r>
        <w:rPr>
          <w:rFonts w:hint="eastAsia" w:ascii="仿宋" w:hAnsi="仿宋" w:eastAsia="仿宋" w:cs="仿宋"/>
          <w:i w:val="0"/>
          <w:iCs w:val="0"/>
          <w:color w:val="auto"/>
          <w:sz w:val="28"/>
          <w:szCs w:val="28"/>
          <w:highlight w:val="none"/>
          <w:shd w:val="clear" w:color="auto" w:fill="auto"/>
          <w:lang w:val="en-US" w:eastAsia="zh-CN"/>
        </w:rPr>
        <w:t>《报价清单》</w:t>
      </w:r>
      <w:r>
        <w:rPr>
          <w:rFonts w:hint="eastAsia" w:ascii="仿宋" w:hAnsi="仿宋" w:eastAsia="仿宋" w:cs="仿宋"/>
          <w:b w:val="0"/>
          <w:bCs w:val="0"/>
          <w:i w:val="0"/>
          <w:iCs w:val="0"/>
          <w:color w:val="auto"/>
          <w:sz w:val="28"/>
          <w:szCs w:val="28"/>
          <w:highlight w:val="none"/>
          <w:lang w:val="en-US" w:eastAsia="zh-CN"/>
        </w:rPr>
        <w:t>；</w:t>
      </w:r>
    </w:p>
    <w:p w14:paraId="246398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auto"/>
          <w:sz w:val="28"/>
          <w:szCs w:val="28"/>
          <w:highlight w:val="none"/>
          <w:shd w:val="clear" w:color="auto" w:fill="auto"/>
          <w:lang w:val="en-US" w:eastAsia="zh-CN"/>
        </w:rPr>
        <w:t>附件十六《图纸、地勘资料》。</w:t>
      </w:r>
      <w:bookmarkStart w:id="500" w:name="_Toc24436"/>
      <w:bookmarkStart w:id="501" w:name="_Toc18988"/>
      <w:bookmarkStart w:id="502" w:name="_Toc5837"/>
      <w:bookmarkStart w:id="503" w:name="_Toc6751"/>
      <w:bookmarkStart w:id="504" w:name="_Toc29240"/>
      <w:bookmarkStart w:id="505" w:name="_Toc30618"/>
      <w:bookmarkStart w:id="506" w:name="_Toc26371"/>
      <w:bookmarkStart w:id="507" w:name="_Toc30280"/>
      <w:bookmarkStart w:id="508" w:name="_Toc24665"/>
      <w:bookmarkStart w:id="509" w:name="_Toc25445"/>
      <w:bookmarkStart w:id="510" w:name="_Toc21258"/>
      <w:bookmarkStart w:id="511" w:name="_Toc20974"/>
      <w:bookmarkStart w:id="512" w:name="_Toc26856"/>
      <w:bookmarkStart w:id="513" w:name="_Toc18518"/>
      <w:bookmarkStart w:id="514" w:name="_Toc13080"/>
    </w:p>
    <w:p w14:paraId="1CC9177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sectPr>
          <w:footerReference r:id="rId6"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p w14:paraId="278EE7F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00"/>
      <w:bookmarkEnd w:id="501"/>
      <w:bookmarkEnd w:id="502"/>
      <w:bookmarkEnd w:id="503"/>
      <w:bookmarkEnd w:id="504"/>
      <w:bookmarkEnd w:id="505"/>
      <w:bookmarkEnd w:id="506"/>
      <w:bookmarkEnd w:id="5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6FBB6C6B">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15" w:name="_Toc12609"/>
      <w:bookmarkStart w:id="516" w:name="_Toc14012"/>
      <w:bookmarkStart w:id="517" w:name="_Toc32477"/>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15"/>
      <w:bookmarkEnd w:id="516"/>
      <w:bookmarkEnd w:id="517"/>
    </w:p>
    <w:p w14:paraId="24957FB6">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774AA5F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6B04DCBA">
      <w:pPr>
        <w:ind w:right="0" w:rightChars="0"/>
        <w:rPr>
          <w:color w:val="000000" w:themeColor="text1"/>
          <w:highlight w:val="none"/>
          <w14:textFill>
            <w14:solidFill>
              <w14:schemeClr w14:val="tx1"/>
            </w14:solidFill>
          </w14:textFill>
        </w:rPr>
      </w:pPr>
    </w:p>
    <w:tbl>
      <w:tblPr>
        <w:tblStyle w:val="17"/>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4"/>
      </w:tblGrid>
      <w:tr w14:paraId="6219EF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6AB18085">
            <w:pPr>
              <w:ind w:right="0" w:rightChars="0"/>
              <w:rPr>
                <w:rFonts w:ascii="宋体" w:hAnsi="宋体" w:eastAsia="宋体" w:cs="宋体"/>
                <w:color w:val="000000" w:themeColor="text1"/>
                <w:sz w:val="22"/>
                <w:szCs w:val="22"/>
                <w:highlight w:val="none"/>
                <w14:textFill>
                  <w14:solidFill>
                    <w14:schemeClr w14:val="tx1"/>
                  </w14:solidFill>
                </w14:textFill>
              </w:rPr>
            </w:pPr>
          </w:p>
          <w:p w14:paraId="7101225C">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696FC74">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D800C00">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0A3C98E0">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459EFDF">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77CF9C18">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4D40FF9F">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50FBF971">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502BF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74FA160F">
            <w:pPr>
              <w:ind w:right="0" w:rightChars="0"/>
              <w:rPr>
                <w:rFonts w:ascii="宋体" w:hAnsi="宋体" w:eastAsia="宋体" w:cs="宋体"/>
                <w:color w:val="000000" w:themeColor="text1"/>
                <w:sz w:val="22"/>
                <w:szCs w:val="22"/>
                <w:highlight w:val="none"/>
                <w14:textFill>
                  <w14:solidFill>
                    <w14:schemeClr w14:val="tx1"/>
                  </w14:solidFill>
                </w14:textFill>
              </w:rPr>
            </w:pPr>
          </w:p>
          <w:p w14:paraId="677D0B04">
            <w:pPr>
              <w:pStyle w:val="16"/>
              <w:tabs>
                <w:tab w:val="left" w:pos="840"/>
                <w:tab w:val="clear" w:pos="-116"/>
                <w:tab w:val="clear" w:pos="420"/>
              </w:tabs>
              <w:ind w:right="0" w:rightChars="0"/>
              <w:rPr>
                <w:color w:val="000000" w:themeColor="text1"/>
                <w:highlight w:val="none"/>
                <w14:textFill>
                  <w14:solidFill>
                    <w14:schemeClr w14:val="tx1"/>
                  </w14:solidFill>
                </w14:textFill>
              </w:rPr>
            </w:pPr>
          </w:p>
          <w:p w14:paraId="428F4DE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256D3906">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74A18822">
            <w:pPr>
              <w:pStyle w:val="16"/>
              <w:tabs>
                <w:tab w:val="left" w:pos="840"/>
                <w:tab w:val="clear" w:pos="-116"/>
                <w:tab w:val="clear" w:pos="420"/>
              </w:tabs>
              <w:ind w:right="0" w:rightChars="0"/>
              <w:rPr>
                <w:color w:val="000000" w:themeColor="text1"/>
                <w:highlight w:val="none"/>
                <w14:textFill>
                  <w14:solidFill>
                    <w14:schemeClr w14:val="tx1"/>
                  </w14:solidFill>
                </w14:textFill>
              </w:rPr>
            </w:pPr>
          </w:p>
          <w:p w14:paraId="2DF6AFC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98AD2A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5E872B94">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3198163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B1953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5A5032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01A42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9CA45A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18" w:name="_Toc12620"/>
      <w:bookmarkStart w:id="519" w:name="_Toc25837"/>
      <w:bookmarkStart w:id="520" w:name="_Toc21603"/>
      <w:bookmarkStart w:id="521" w:name="_Toc12826"/>
      <w:bookmarkStart w:id="522" w:name="_Toc2480"/>
      <w:bookmarkStart w:id="523" w:name="_Toc1879"/>
      <w:bookmarkStart w:id="524" w:name="_Toc7310"/>
      <w:bookmarkStart w:id="525" w:name="_Toc1063"/>
      <w:bookmarkStart w:id="526" w:name="_Toc5408"/>
      <w:bookmarkStart w:id="527" w:name="_Toc23686"/>
      <w:bookmarkStart w:id="528" w:name="_Toc741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18"/>
      <w:bookmarkEnd w:id="519"/>
      <w:bookmarkEnd w:id="520"/>
      <w:bookmarkEnd w:id="521"/>
      <w:bookmarkEnd w:id="522"/>
      <w:bookmarkEnd w:id="523"/>
      <w:bookmarkEnd w:id="524"/>
      <w:bookmarkEnd w:id="525"/>
      <w:bookmarkEnd w:id="526"/>
      <w:bookmarkEnd w:id="527"/>
      <w:bookmarkEnd w:id="52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7"/>
        <w:tblW w:w="5138" w:type="pct"/>
        <w:tblInd w:w="-127" w:type="dxa"/>
        <w:tblLayout w:type="fixed"/>
        <w:tblCellMar>
          <w:top w:w="15" w:type="dxa"/>
          <w:left w:w="15" w:type="dxa"/>
          <w:bottom w:w="15" w:type="dxa"/>
          <w:right w:w="15" w:type="dxa"/>
        </w:tblCellMar>
      </w:tblPr>
      <w:tblGrid>
        <w:gridCol w:w="10046"/>
      </w:tblGrid>
      <w:tr w14:paraId="22BB407F">
        <w:trPr>
          <w:trHeight w:val="13066" w:hRule="atLeast"/>
        </w:trPr>
        <w:tc>
          <w:tcPr>
            <w:tcW w:w="5000" w:type="pct"/>
            <w:noWrap w:val="0"/>
            <w:vAlign w:val="center"/>
          </w:tcPr>
          <w:p w14:paraId="4E18CDC4">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29" w:name="_Toc8418"/>
            <w:bookmarkStart w:id="530" w:name="_Toc2581"/>
            <w:bookmarkStart w:id="531" w:name="_Toc1475"/>
            <w:bookmarkStart w:id="532" w:name="_Toc30698"/>
            <w:bookmarkStart w:id="533" w:name="_Toc2053"/>
            <w:bookmarkStart w:id="534" w:name="_Toc5587"/>
            <w:bookmarkStart w:id="535" w:name="_Toc11791"/>
            <w:bookmarkStart w:id="536" w:name="_Toc15779"/>
            <w:bookmarkStart w:id="537" w:name="_Toc27619"/>
            <w:bookmarkStart w:id="538" w:name="_Toc9291"/>
            <w:bookmarkStart w:id="539" w:name="_Toc19511"/>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29"/>
            <w:bookmarkEnd w:id="530"/>
            <w:bookmarkEnd w:id="531"/>
            <w:bookmarkEnd w:id="532"/>
            <w:bookmarkEnd w:id="533"/>
            <w:bookmarkEnd w:id="534"/>
            <w:bookmarkEnd w:id="535"/>
            <w:bookmarkEnd w:id="536"/>
            <w:bookmarkEnd w:id="537"/>
            <w:bookmarkEnd w:id="538"/>
            <w:bookmarkEnd w:id="539"/>
          </w:p>
          <w:tbl>
            <w:tblPr>
              <w:tblStyle w:val="30"/>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03D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19D93B0E">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569EABC2">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4F9C5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715C77BC">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6AFE6279">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07868549">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387E8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35AC2FE">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5AD19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59D74247">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6F79E663">
                  <w:pPr>
                    <w:rPr>
                      <w:rFonts w:hint="eastAsia" w:ascii="仿宋" w:hAnsi="仿宋" w:eastAsia="仿宋" w:cs="仿宋"/>
                      <w:color w:val="000000" w:themeColor="text1"/>
                      <w:sz w:val="22"/>
                      <w:szCs w:val="22"/>
                      <w:highlight w:val="none"/>
                      <w14:textFill>
                        <w14:solidFill>
                          <w14:schemeClr w14:val="tx1"/>
                        </w14:solidFill>
                      </w14:textFill>
                    </w:rPr>
                  </w:pPr>
                </w:p>
              </w:tc>
            </w:tr>
            <w:tr w14:paraId="0F2E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786CE4C5">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36CC49B5">
                  <w:pPr>
                    <w:rPr>
                      <w:rFonts w:hint="eastAsia" w:ascii="仿宋" w:hAnsi="仿宋" w:eastAsia="仿宋" w:cs="仿宋"/>
                      <w:color w:val="000000" w:themeColor="text1"/>
                      <w:sz w:val="22"/>
                      <w:szCs w:val="22"/>
                      <w:highlight w:val="none"/>
                      <w14:textFill>
                        <w14:solidFill>
                          <w14:schemeClr w14:val="tx1"/>
                        </w14:solidFill>
                      </w14:textFill>
                    </w:rPr>
                  </w:pPr>
                </w:p>
              </w:tc>
            </w:tr>
            <w:tr w14:paraId="2A3C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08F60C38">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5563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5CFDD30F">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1B7E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58F54EF">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431A86BE">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1E635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238E34FD">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2236C574">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307857B">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1E50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551034E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BA4B3EC">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75D8DF6E">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53A5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4E8A06A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3B97765">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术负责人意见 (对工作内容及工程量见证) ：</w:t>
                  </w:r>
                </w:p>
                <w:p w14:paraId="38E083D6">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D85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0EB200B7">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0AE8712">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F9A53C6">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D83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66225A6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8FF5D25">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20683686">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BF9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0F4FED25">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：1.通知单、工程变更(联系)单、工程量审核表、图像资料(事前、事中、事后)及其它相关依</w:t>
                  </w:r>
                </w:p>
                <w:p w14:paraId="5B4B9589">
                  <w:pPr>
                    <w:spacing w:before="21" w:line="260" w:lineRule="exact"/>
                    <w:ind w:left="2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4"/>
                      <w:sz w:val="20"/>
                      <w:szCs w:val="20"/>
                      <w:highlight w:val="none"/>
                      <w14:textFill>
                        <w14:solidFill>
                          <w14:schemeClr w14:val="tx1"/>
                        </w14:solidFill>
                      </w14:textFill>
                    </w:rPr>
                    <w:t>据</w:t>
                  </w:r>
                  <w:r>
                    <w:rPr>
                      <w:rFonts w:hint="eastAsia" w:ascii="仿宋" w:hAnsi="仿宋" w:eastAsia="仿宋" w:cs="仿宋"/>
                      <w:color w:val="000000" w:themeColor="text1"/>
                      <w:spacing w:val="9"/>
                      <w:position w:val="4"/>
                      <w:sz w:val="20"/>
                      <w:szCs w:val="20"/>
                      <w:highlight w:val="none"/>
                      <w14:textFill>
                        <w14:solidFill>
                          <w14:schemeClr w14:val="tx1"/>
                        </w14:solidFill>
                      </w14:textFill>
                    </w:rPr>
                    <w:t>附后；一式二份原件，</w:t>
                  </w:r>
                  <w:r>
                    <w:rPr>
                      <w:rFonts w:hint="eastAsia" w:ascii="仿宋" w:hAnsi="仿宋" w:eastAsia="仿宋" w:cs="仿宋"/>
                      <w:color w:val="000000" w:themeColor="text1"/>
                      <w:spacing w:val="9"/>
                      <w:position w:val="4"/>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9"/>
                      <w:position w:val="4"/>
                      <w:sz w:val="20"/>
                      <w:szCs w:val="20"/>
                      <w:highlight w:val="none"/>
                      <w14:textFill>
                        <w14:solidFill>
                          <w14:schemeClr w14:val="tx1"/>
                        </w14:solidFill>
                      </w14:textFill>
                    </w:rPr>
                    <w:t>项目成本管理员和分包方各一份。</w:t>
                  </w:r>
                </w:p>
                <w:p w14:paraId="4D3E33E1">
                  <w:pPr>
                    <w:spacing w:line="258" w:lineRule="exact"/>
                    <w:ind w:left="12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5"/>
                      <w:position w:val="1"/>
                      <w:sz w:val="20"/>
                      <w:szCs w:val="20"/>
                      <w:highlight w:val="none"/>
                      <w14:textFill>
                        <w14:solidFill>
                          <w14:schemeClr w14:val="tx1"/>
                        </w14:solidFill>
                      </w14:textFill>
                    </w:rPr>
                    <w:t>2</w:t>
                  </w:r>
                  <w:r>
                    <w:rPr>
                      <w:rFonts w:hint="eastAsia" w:ascii="仿宋" w:hAnsi="仿宋" w:eastAsia="仿宋" w:cs="仿宋"/>
                      <w:color w:val="000000" w:themeColor="text1"/>
                      <w:spacing w:val="8"/>
                      <w:position w:val="1"/>
                      <w:sz w:val="20"/>
                      <w:szCs w:val="20"/>
                      <w:highlight w:val="none"/>
                      <w14:textFill>
                        <w14:solidFill>
                          <w14:schemeClr w14:val="tx1"/>
                        </w14:solidFill>
                      </w14:textFill>
                    </w:rPr>
                    <w:t>.本签证单仅用于确认存在工程变更事宜。</w:t>
                  </w:r>
                </w:p>
                <w:p w14:paraId="5DC6BA84">
                  <w:pPr>
                    <w:spacing w:before="129" w:line="386" w:lineRule="auto"/>
                    <w:ind w:left="26" w:right="87" w:firstLine="9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8"/>
                      <w:sz w:val="20"/>
                      <w:szCs w:val="20"/>
                      <w:highlight w:val="none"/>
                      <w14:textFill>
                        <w14:solidFill>
                          <w14:schemeClr w14:val="tx1"/>
                        </w14:solidFill>
                      </w14:textFill>
                    </w:rPr>
                    <w:t>3.</w:t>
                  </w:r>
                  <w:r>
                    <w:rPr>
                      <w:rFonts w:hint="eastAsia" w:ascii="仿宋" w:hAnsi="仿宋" w:eastAsia="仿宋" w:cs="仿宋"/>
                      <w:color w:val="000000" w:themeColor="text1"/>
                      <w:spacing w:val="10"/>
                      <w:sz w:val="20"/>
                      <w:szCs w:val="20"/>
                      <w:highlight w:val="none"/>
                      <w14:textFill>
                        <w14:solidFill>
                          <w14:schemeClr w14:val="tx1"/>
                        </w14:solidFill>
                      </w14:textFill>
                    </w:rPr>
                    <w:t>本</w:t>
                  </w:r>
                  <w:r>
                    <w:rPr>
                      <w:rFonts w:hint="eastAsia" w:ascii="仿宋" w:hAnsi="仿宋" w:eastAsia="仿宋" w:cs="仿宋"/>
                      <w:color w:val="000000" w:themeColor="text1"/>
                      <w:spacing w:val="9"/>
                      <w:sz w:val="20"/>
                      <w:szCs w:val="20"/>
                      <w:highlight w:val="none"/>
                      <w14:textFill>
                        <w14:solidFill>
                          <w14:schemeClr w14:val="tx1"/>
                        </w14:solidFill>
                      </w14:textFill>
                    </w:rPr>
                    <w:t>签证单所述内容为双方对事项发生的签认，本签证单结算价款以分包方主合同工程结算时与</w:t>
                  </w:r>
                  <w:r>
                    <w:rPr>
                      <w:rFonts w:hint="eastAsia" w:ascii="仿宋" w:hAnsi="仿宋" w:eastAsia="仿宋" w:cs="仿宋"/>
                      <w:color w:val="000000" w:themeColor="text1"/>
                      <w:spacing w:val="14"/>
                      <w:sz w:val="20"/>
                      <w:szCs w:val="20"/>
                      <w:highlight w:val="none"/>
                      <w14:textFill>
                        <w14:solidFill>
                          <w14:schemeClr w14:val="tx1"/>
                        </w14:solidFill>
                      </w14:textFill>
                    </w:rPr>
                    <w:t>承</w:t>
                  </w:r>
                  <w:r>
                    <w:rPr>
                      <w:rFonts w:hint="eastAsia" w:ascii="仿宋" w:hAnsi="仿宋" w:eastAsia="仿宋" w:cs="仿宋"/>
                      <w:color w:val="000000" w:themeColor="text1"/>
                      <w:spacing w:val="8"/>
                      <w:sz w:val="20"/>
                      <w:szCs w:val="20"/>
                      <w:highlight w:val="none"/>
                      <w14:textFill>
                        <w14:solidFill>
                          <w14:schemeClr w14:val="tx1"/>
                        </w14:solidFill>
                      </w14:textFill>
                    </w:rPr>
                    <w:t>包</w:t>
                  </w:r>
                  <w:r>
                    <w:rPr>
                      <w:rFonts w:hint="eastAsia" w:ascii="仿宋" w:hAnsi="仿宋" w:eastAsia="仿宋" w:cs="仿宋"/>
                      <w:color w:val="000000" w:themeColor="text1"/>
                      <w:spacing w:val="7"/>
                      <w:sz w:val="20"/>
                      <w:szCs w:val="20"/>
                      <w:highlight w:val="none"/>
                      <w14:textFill>
                        <w14:solidFill>
                          <w14:schemeClr w14:val="tx1"/>
                        </w14:solidFill>
                      </w14:textFill>
                    </w:rPr>
                    <w:t>方共同确认的为准。</w:t>
                  </w:r>
                </w:p>
              </w:tc>
            </w:tr>
          </w:tbl>
          <w:p w14:paraId="0F2E38E3">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557FD465">
      <w:pPr>
        <w:keepNext w:val="0"/>
        <w:keepLines w:val="0"/>
        <w:pageBreakBefore w:val="0"/>
        <w:shd w:val="clear" w:color="auto" w:fill="auto"/>
        <w:wordWrap w:val="0"/>
        <w:overflowPunct/>
        <w:topLinePunct w:val="0"/>
        <w:bidi w:val="0"/>
        <w:snapToGrid w:val="0"/>
        <w:spacing w:line="360" w:lineRule="auto"/>
        <w:ind w:right="-896"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5B6972D7">
      <w:pPr>
        <w:pStyle w:val="16"/>
        <w:tabs>
          <w:tab w:val="left" w:pos="840"/>
          <w:tab w:val="clear" w:pos="-116"/>
          <w:tab w:val="clear" w:pos="420"/>
        </w:tabs>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7"/>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0D373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3F99A466">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7CEE120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5BEB4A7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1FB3B440">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08EAFF6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496B0F2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9C89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585D6C9">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70B6DA7">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5C1FB4E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43FA0A4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15C6EBA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34AF064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2AF55B71">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87B6843">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4A0E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95A6C0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722AB1A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B2A8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B95CF8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7F93BBF3">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ED4D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BC6B67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241E275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E8AE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C9802B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0085824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BB58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C4FC1B4">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39157D5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2F757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21312DC">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分项工程名称、主要工作内容、工程量及难易情况等信息(主合同外工程)</w:t>
            </w:r>
          </w:p>
        </w:tc>
        <w:tc>
          <w:tcPr>
            <w:tcW w:w="7910" w:type="dxa"/>
            <w:gridSpan w:val="10"/>
            <w:noWrap w:val="0"/>
            <w:vAlign w:val="center"/>
          </w:tcPr>
          <w:p w14:paraId="0307EF6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ADF4E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6B98B6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69A7F5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4BF297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3EE55C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FD98BE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7E051B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6DC9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ADC5AA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DA3843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6844B5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ACB6D66">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D134A5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EC25D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3EA68E6">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9D4DC3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847CBDD">
            <w:pPr>
              <w:rPr>
                <w:rFonts w:hint="eastAsia" w:ascii="仿宋" w:hAnsi="仿宋" w:eastAsia="仿宋" w:cs="仿宋"/>
                <w:b w:val="0"/>
                <w:bCs/>
                <w:color w:val="000000" w:themeColor="text1"/>
                <w:sz w:val="21"/>
                <w:szCs w:val="21"/>
                <w:highlight w:val="none"/>
                <w14:textFill>
                  <w14:solidFill>
                    <w14:schemeClr w14:val="tx1"/>
                  </w14:solidFill>
                </w14:textFill>
              </w:rPr>
            </w:pPr>
          </w:p>
          <w:p w14:paraId="2BC35FB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049A9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3CEFAB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39A6704">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32D4E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951F66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68A32E3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7C02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D36107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03793EDF">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64A95E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1504885">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88F2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5742BCD">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7AC5CC6C">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55C80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D733E5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2608FDCC">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643B0F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E8C1280">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536F5EE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EBBA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1BCB03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4051963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0FF1E9E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40" w:name="_Toc5591"/>
      <w:bookmarkStart w:id="541" w:name="_Toc13180"/>
      <w:bookmarkStart w:id="542" w:name="_Toc29438"/>
      <w:bookmarkStart w:id="543" w:name="_Toc28037"/>
      <w:bookmarkStart w:id="544" w:name="_Toc4037"/>
      <w:bookmarkStart w:id="545" w:name="_Toc22471"/>
      <w:bookmarkStart w:id="546" w:name="_Toc12425"/>
      <w:bookmarkStart w:id="547" w:name="_Toc12179"/>
      <w:bookmarkStart w:id="548" w:name="_Toc27035"/>
      <w:bookmarkStart w:id="549" w:name="_Toc2479"/>
    </w:p>
    <w:p w14:paraId="5EC945D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0"/>
      <w:bookmarkEnd w:id="541"/>
      <w:bookmarkEnd w:id="542"/>
      <w:bookmarkEnd w:id="543"/>
      <w:bookmarkEnd w:id="544"/>
      <w:bookmarkEnd w:id="545"/>
      <w:bookmarkEnd w:id="546"/>
      <w:bookmarkEnd w:id="547"/>
      <w:bookmarkEnd w:id="548"/>
      <w:bookmarkEnd w:id="54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7D65997C">
      <w:pPr>
        <w:pStyle w:val="16"/>
        <w:tabs>
          <w:tab w:val="left" w:pos="840"/>
          <w:tab w:val="clear" w:pos="-116"/>
          <w:tab w:val="clear" w:pos="420"/>
        </w:tabs>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59FD74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2242C6A5">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30"/>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09AF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1357" w:type="dxa"/>
            <w:noWrap w:val="0"/>
            <w:vAlign w:val="top"/>
          </w:tcPr>
          <w:p w14:paraId="04DE8668">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3BB74ABB">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784C8402">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EAAF4F3">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04E25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5CF125BA">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563511CD">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 内容中，其中</w:t>
            </w:r>
          </w:p>
          <w:p w14:paraId="7F7937B7">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03A412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45DBDC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21568E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68C5D73">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7630D806">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CCE3C6">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B053CB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F0D211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058F9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21FEBC1">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4D23667A">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0C08EA8">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11650F9">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8A3BA8">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13EBCEA">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E928CB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D34649E">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E7932A3">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7F809D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7F1B24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688365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80534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C5EBDF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7477AE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6F38E6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0" w:name="_Toc29498"/>
      <w:bookmarkStart w:id="551" w:name="_Toc19333"/>
      <w:bookmarkStart w:id="552" w:name="_Toc17423"/>
      <w:bookmarkStart w:id="553" w:name="_Toc17060"/>
      <w:bookmarkStart w:id="554" w:name="_Toc7045"/>
      <w:bookmarkStart w:id="555" w:name="_Toc26417"/>
      <w:bookmarkStart w:id="556" w:name="_Toc8727"/>
      <w:bookmarkStart w:id="557" w:name="_Toc311"/>
      <w:bookmarkStart w:id="558" w:name="_Toc765"/>
      <w:bookmarkStart w:id="559" w:name="_Toc9543"/>
      <w:bookmarkStart w:id="560" w:name="_Toc329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0"/>
      <w:bookmarkEnd w:id="551"/>
      <w:bookmarkEnd w:id="552"/>
      <w:bookmarkEnd w:id="553"/>
      <w:bookmarkEnd w:id="554"/>
      <w:bookmarkEnd w:id="555"/>
      <w:bookmarkEnd w:id="556"/>
      <w:bookmarkEnd w:id="557"/>
      <w:bookmarkEnd w:id="558"/>
      <w:bookmarkEnd w:id="559"/>
      <w:bookmarkEnd w:id="56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37812351">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04599252">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30"/>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6191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2BA21283">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3B5818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6A36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75763202">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3F308A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FF5549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76B585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0551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4F586A25">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333E31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0288E821">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30764AC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2FAB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79FE11F">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7596AD25">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1254CE91">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5E5647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5D3CFE6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6956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F099E20">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0C8966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F8531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6DE391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11DE7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373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CD050F7">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08FFBA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EFA32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76A19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E950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D0F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DCF930C">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023DE4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7CE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D474A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DC9E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5B7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70D23A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1DBBB7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A6899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A8EAF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DD157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8974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3E20ABF">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638135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5ED34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0D425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7F55E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707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891623">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5A6AD4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33FD79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EAFC7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2D03A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AE69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8E57A8D">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216D61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6130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60070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99F13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F47B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FF700D0">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7DDA66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872DD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2E45A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659470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969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41CFC6D">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1F5848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98F2C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1C74F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072EB4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0D0A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EA68F5C">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370F70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51EF3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09B2B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A2E20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AC85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FF7139F">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0962A2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78D7E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4F0336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6A3E2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F5A6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43D43D70">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131FC7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C63AC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3818B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62299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10C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7A746B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6AB67FBF">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343977CB">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10D8F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261345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56B1081">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55A8FB19">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D5CBE4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75F4A64D">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369E7D3">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771926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DF5F838">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5A376571">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D9C54CD">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20A0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3F651C2">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1FE22EA0">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06057E72">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67D74A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C9B313D">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1" w:name="_Toc15553"/>
      <w:bookmarkStart w:id="562" w:name="_Toc25895"/>
      <w:bookmarkStart w:id="563" w:name="_Toc2501"/>
      <w:bookmarkStart w:id="564" w:name="_Toc7157"/>
      <w:bookmarkStart w:id="565" w:name="_Toc17176"/>
      <w:bookmarkStart w:id="566" w:name="_Toc9011"/>
      <w:bookmarkStart w:id="567" w:name="_Toc4753"/>
      <w:bookmarkStart w:id="568" w:name="_Toc22173"/>
      <w:bookmarkStart w:id="569" w:name="_Toc25405"/>
      <w:bookmarkStart w:id="570" w:name="_Toc13663"/>
      <w:bookmarkStart w:id="571" w:name="_Toc1934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61"/>
      <w:bookmarkEnd w:id="562"/>
      <w:bookmarkEnd w:id="563"/>
      <w:bookmarkEnd w:id="564"/>
      <w:bookmarkEnd w:id="565"/>
      <w:bookmarkEnd w:id="566"/>
      <w:bookmarkEnd w:id="567"/>
      <w:bookmarkEnd w:id="568"/>
      <w:bookmarkEnd w:id="569"/>
      <w:bookmarkEnd w:id="570"/>
      <w:bookmarkEnd w:id="571"/>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34C0CB1A">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41A4C320">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4ED19DD6">
      <w:pPr>
        <w:jc w:val="center"/>
        <w:rPr>
          <w:color w:val="000000" w:themeColor="text1"/>
          <w:sz w:val="32"/>
          <w:szCs w:val="32"/>
          <w:highlight w:val="none"/>
          <w14:textFill>
            <w14:solidFill>
              <w14:schemeClr w14:val="tx1"/>
            </w14:solidFill>
          </w14:textFill>
        </w:rPr>
      </w:pPr>
    </w:p>
    <w:tbl>
      <w:tblPr>
        <w:tblStyle w:val="18"/>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17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191CFB06">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5F7AD33F">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668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F820AE7">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170C1D38">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6FEE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7853EB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3FCD887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77B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FB9678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76C35E05">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p>
        </w:tc>
      </w:tr>
      <w:tr w14:paraId="707A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37B5AF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26462634">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796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45DA0A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48B5217E">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37B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D2B986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6D9C6A75">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3AFF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2DE96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5CA1EBF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38A5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894C593">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7E689A4F">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0D16487">
      <w:pPr>
        <w:jc w:val="center"/>
        <w:rPr>
          <w:color w:val="000000" w:themeColor="text1"/>
          <w:sz w:val="36"/>
          <w:szCs w:val="36"/>
          <w:highlight w:val="none"/>
          <w14:textFill>
            <w14:solidFill>
              <w14:schemeClr w14:val="tx1"/>
            </w14:solidFill>
          </w14:textFill>
        </w:rPr>
      </w:pPr>
    </w:p>
    <w:p w14:paraId="088CD904">
      <w:pPr>
        <w:jc w:val="center"/>
        <w:rPr>
          <w:rFonts w:ascii="宋体" w:hAnsi="宋体" w:cs="宋体"/>
          <w:color w:val="000000" w:themeColor="text1"/>
          <w:sz w:val="28"/>
          <w:szCs w:val="28"/>
          <w:highlight w:val="none"/>
          <w14:textFill>
            <w14:solidFill>
              <w14:schemeClr w14:val="tx1"/>
            </w14:solidFill>
          </w14:textFill>
        </w:rPr>
      </w:pPr>
    </w:p>
    <w:p w14:paraId="2D8FD4E4">
      <w:pPr>
        <w:jc w:val="center"/>
        <w:rPr>
          <w:rFonts w:ascii="宋体" w:hAnsi="宋体" w:cs="宋体"/>
          <w:color w:val="000000" w:themeColor="text1"/>
          <w:sz w:val="28"/>
          <w:szCs w:val="28"/>
          <w:highlight w:val="none"/>
          <w14:textFill>
            <w14:solidFill>
              <w14:schemeClr w14:val="tx1"/>
            </w14:solidFill>
          </w14:textFill>
        </w:rPr>
      </w:pPr>
    </w:p>
    <w:p w14:paraId="3D23E132">
      <w:pPr>
        <w:jc w:val="center"/>
        <w:rPr>
          <w:rFonts w:ascii="宋体" w:hAnsi="宋体" w:cs="宋体"/>
          <w:color w:val="000000" w:themeColor="text1"/>
          <w:sz w:val="28"/>
          <w:szCs w:val="28"/>
          <w:highlight w:val="none"/>
          <w14:textFill>
            <w14:solidFill>
              <w14:schemeClr w14:val="tx1"/>
            </w14:solidFill>
          </w14:textFill>
        </w:rPr>
      </w:pPr>
    </w:p>
    <w:p w14:paraId="4E0DCE5D">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5676F2F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72" w:name="_Toc17495"/>
      <w:bookmarkStart w:id="573" w:name="_Toc15934"/>
      <w:bookmarkStart w:id="574" w:name="_Toc14730"/>
      <w:bookmarkStart w:id="575" w:name="_Toc5978"/>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572"/>
      <w:bookmarkEnd w:id="573"/>
      <w:bookmarkEnd w:id="574"/>
      <w:bookmarkEnd w:id="575"/>
    </w:p>
    <w:p w14:paraId="26421EA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9548B5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3B06E3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BDF4D7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69B428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AF122A">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7BBDB1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76" w:name="_Toc30249"/>
      <w:bookmarkStart w:id="577" w:name="_Toc9387"/>
      <w:bookmarkStart w:id="578" w:name="_Toc11833"/>
      <w:bookmarkStart w:id="579" w:name="_Toc2362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08"/>
      <w:bookmarkEnd w:id="509"/>
      <w:bookmarkEnd w:id="510"/>
      <w:bookmarkEnd w:id="511"/>
      <w:bookmarkEnd w:id="512"/>
      <w:bookmarkEnd w:id="513"/>
      <w:bookmarkEnd w:id="514"/>
      <w:bookmarkEnd w:id="576"/>
      <w:bookmarkEnd w:id="577"/>
      <w:bookmarkEnd w:id="578"/>
      <w:bookmarkEnd w:id="57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7"/>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2203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5B9C9BF0">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62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166C3F09">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2AF0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5C5D4EB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5C5B23E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F6EC1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2962EF0">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C4A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7165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12AF5D5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0B33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960070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4313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D227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55F443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AE34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3B257E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B1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08BD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9F86CC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C54D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E36383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BC6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3B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8C6560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3F1E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47EFDE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611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67C4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46865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BAA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F32F81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F6F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02A1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81EE0D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096A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81E4C5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1F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E2A4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88CDC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90E2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E85499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25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7333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AFC1BA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8537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EB23AE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100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A66F60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2BE7813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99C6E5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8467E8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499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5D8AD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3B1312D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8C0762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18F90E3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B89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974E9D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44A86A3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A59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2E94F14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3BD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5776BA0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650A8F5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0" w:name="_Toc5270"/>
      <w:bookmarkStart w:id="581" w:name="_Toc16390"/>
    </w:p>
    <w:p w14:paraId="46EE013A">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2" w:name="_Toc10211"/>
      <w:bookmarkStart w:id="583" w:name="_Toc2372"/>
      <w:bookmarkStart w:id="584" w:name="_Toc22242"/>
      <w:bookmarkStart w:id="585" w:name="_Toc24471"/>
      <w:bookmarkStart w:id="586" w:name="_Toc12279"/>
      <w:bookmarkStart w:id="587" w:name="_Toc6245"/>
      <w:bookmarkStart w:id="588" w:name="_Toc27382"/>
      <w:bookmarkStart w:id="589" w:name="_Toc31140"/>
      <w:bookmarkStart w:id="590" w:name="_Toc25693"/>
      <w:bookmarkStart w:id="591" w:name="_Toc23748"/>
      <w:bookmarkStart w:id="592" w:name="_Toc24935"/>
      <w:bookmarkStart w:id="593" w:name="_Toc24255"/>
      <w:bookmarkStart w:id="594" w:name="_Toc3138"/>
      <w:bookmarkStart w:id="595" w:name="_Toc18032"/>
      <w:bookmarkStart w:id="596" w:name="_Toc4693"/>
    </w:p>
    <w:p w14:paraId="7FE75AD6">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195A67F">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E2EFC00">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FA7133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0EF14F">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2"/>
      <w:bookmarkEnd w:id="583"/>
      <w:bookmarkEnd w:id="584"/>
      <w:bookmarkEnd w:id="585"/>
      <w:bookmarkEnd w:id="586"/>
      <w:bookmarkEnd w:id="587"/>
      <w:bookmarkEnd w:id="588"/>
      <w:bookmarkEnd w:id="589"/>
      <w:bookmarkEnd w:id="590"/>
      <w:bookmarkEnd w:id="591"/>
      <w:bookmarkEnd w:id="59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4D909A58">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6FFF6043">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7"/>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74D0A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52C91C7D">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2C0053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11E9C680">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2A3AC248">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50D5A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789D73EE">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35B64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2124106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55ECE526">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18FEE8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25F35BC9">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5D07D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6753F69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16C30FD6">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4BFF14A3">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432EF58">
            <w:pPr>
              <w:spacing w:line="440" w:lineRule="atLeast"/>
              <w:jc w:val="center"/>
              <w:rPr>
                <w:rFonts w:hint="eastAsia"/>
                <w:color w:val="000000" w:themeColor="text1"/>
                <w:sz w:val="24"/>
                <w:highlight w:val="none"/>
                <w:lang w:eastAsia="zh-CN"/>
                <w14:textFill>
                  <w14:solidFill>
                    <w14:schemeClr w14:val="tx1"/>
                  </w14:solidFill>
                </w14:textFill>
              </w:rPr>
            </w:pPr>
          </w:p>
        </w:tc>
      </w:tr>
      <w:tr w14:paraId="405E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7521874">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8006AFB">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2F8D057F">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EDE7870">
            <w:pPr>
              <w:spacing w:line="440" w:lineRule="atLeast"/>
              <w:jc w:val="center"/>
              <w:rPr>
                <w:rFonts w:hint="eastAsia"/>
                <w:color w:val="000000" w:themeColor="text1"/>
                <w:sz w:val="24"/>
                <w:highlight w:val="none"/>
                <w:lang w:eastAsia="zh-CN"/>
                <w14:textFill>
                  <w14:solidFill>
                    <w14:schemeClr w14:val="tx1"/>
                  </w14:solidFill>
                </w14:textFill>
              </w:rPr>
            </w:pPr>
          </w:p>
        </w:tc>
      </w:tr>
      <w:tr w14:paraId="3BCA5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34A51522">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7DEAFC9E">
            <w:pPr>
              <w:spacing w:line="440" w:lineRule="atLeast"/>
              <w:jc w:val="center"/>
              <w:rPr>
                <w:rFonts w:hint="eastAsia"/>
                <w:color w:val="000000" w:themeColor="text1"/>
                <w:sz w:val="24"/>
                <w:highlight w:val="none"/>
                <w:lang w:val="en-US" w:eastAsia="zh-CN"/>
                <w14:textFill>
                  <w14:solidFill>
                    <w14:schemeClr w14:val="tx1"/>
                  </w14:solidFill>
                </w14:textFill>
              </w:rPr>
            </w:pPr>
          </w:p>
          <w:p w14:paraId="7748DFA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560208D7">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1A42286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6AFC29B">
            <w:pPr>
              <w:spacing w:line="440" w:lineRule="atLeast"/>
              <w:jc w:val="center"/>
              <w:rPr>
                <w:rFonts w:hint="eastAsia"/>
                <w:color w:val="000000" w:themeColor="text1"/>
                <w:sz w:val="24"/>
                <w:highlight w:val="none"/>
                <w:lang w:eastAsia="zh-CN"/>
                <w14:textFill>
                  <w14:solidFill>
                    <w14:schemeClr w14:val="tx1"/>
                  </w14:solidFill>
                </w14:textFill>
              </w:rPr>
            </w:pPr>
          </w:p>
        </w:tc>
      </w:tr>
      <w:tr w14:paraId="4CC8B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7B53E0AC">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5462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1F73028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1EA4CA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7FD1DC3B">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5535270E">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9C49CAC">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6ADD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47B113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090B4CF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321B664B">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666EEE6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E2F1BD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B93E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48C75D13">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D5F5F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07DC071E">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3F42405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9D16BC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64AD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7A44A1D">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FA73CD0">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05402AE6">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657E2B3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469A873">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44AA5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37CFD3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1FA0F7E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4DCED62B">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35518FB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CB8B9A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24F5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C30374">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5730023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55343DBB">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3BE2981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8A790D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08D7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55D70B4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3EBD3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4661DA3E">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52208DC5">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07B5C33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F0E1C7">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B610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DAAA996">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7F2494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0D0D9D0E">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0505FDD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CF9883B">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6D57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D6F7770">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02B85A1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309441AC">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4F77E740">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86B04F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3F521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AABEBF0">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406DFDF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5BC8E0D">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26EAAAC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3240007">
            <w:pPr>
              <w:spacing w:line="440" w:lineRule="atLeast"/>
              <w:jc w:val="center"/>
              <w:rPr>
                <w:rFonts w:hint="eastAsia"/>
                <w:color w:val="000000" w:themeColor="text1"/>
                <w:sz w:val="24"/>
                <w:highlight w:val="none"/>
                <w:lang w:eastAsia="zh-CN"/>
                <w14:textFill>
                  <w14:solidFill>
                    <w14:schemeClr w14:val="tx1"/>
                  </w14:solidFill>
                </w14:textFill>
              </w:rPr>
            </w:pPr>
          </w:p>
        </w:tc>
      </w:tr>
      <w:tr w14:paraId="44B5C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743647B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CC60D4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20C9C8DE">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69C609C9">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4ED37A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2931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78F65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ECC401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13DA2201">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00D3BDFB">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61C42E5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340D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08CC2D7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7831C13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1BD000DD">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00609195">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735A8DCD">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4A67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6EE436C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6FEBCFFF">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7F66A077">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3F096FF3">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2D325E1">
            <w:pPr>
              <w:spacing w:line="440" w:lineRule="atLeast"/>
              <w:jc w:val="center"/>
              <w:rPr>
                <w:rFonts w:hint="eastAsia"/>
                <w:color w:val="000000" w:themeColor="text1"/>
                <w:sz w:val="24"/>
                <w:highlight w:val="none"/>
                <w14:textFill>
                  <w14:solidFill>
                    <w14:schemeClr w14:val="tx1"/>
                  </w14:solidFill>
                </w14:textFill>
              </w:rPr>
            </w:pPr>
          </w:p>
        </w:tc>
      </w:tr>
      <w:tr w14:paraId="17444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5EE90F2D">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2D0DAE3">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23C76E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06FC6D37">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A2CC92F">
            <w:pPr>
              <w:spacing w:line="440" w:lineRule="atLeast"/>
              <w:jc w:val="center"/>
              <w:rPr>
                <w:rFonts w:hint="eastAsia"/>
                <w:color w:val="000000" w:themeColor="text1"/>
                <w:sz w:val="24"/>
                <w:highlight w:val="none"/>
                <w14:textFill>
                  <w14:solidFill>
                    <w14:schemeClr w14:val="tx1"/>
                  </w14:solidFill>
                </w14:textFill>
              </w:rPr>
            </w:pPr>
          </w:p>
        </w:tc>
      </w:tr>
    </w:tbl>
    <w:p w14:paraId="182D456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F6532A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597"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9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39D5EBFF">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598" w:name="_Toc2087"/>
      <w:bookmarkStart w:id="599" w:name="_Toc19900"/>
      <w:bookmarkStart w:id="600" w:name="_Toc21156"/>
      <w:bookmarkStart w:id="601" w:name="_Toc9945"/>
      <w:bookmarkStart w:id="602" w:name="_Toc12135"/>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0718AD0B">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41F2CD36">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0F5E4EB0">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13F691EA">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CBBEFA8">
      <w:pPr>
        <w:keepNext w:val="0"/>
        <w:keepLines w:val="0"/>
        <w:pageBreakBefore w:val="0"/>
        <w:numPr>
          <w:ilvl w:val="0"/>
          <w:numId w:val="5"/>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AA0FFE8">
      <w:pPr>
        <w:keepNext w:val="0"/>
        <w:keepLines w:val="0"/>
        <w:pageBreakBefore w:val="0"/>
        <w:widowControl/>
        <w:numPr>
          <w:ilvl w:val="0"/>
          <w:numId w:val="5"/>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2C93825C">
      <w:pPr>
        <w:keepNext w:val="0"/>
        <w:keepLines w:val="0"/>
        <w:pageBreakBefore w:val="0"/>
        <w:widowControl/>
        <w:numPr>
          <w:ilvl w:val="0"/>
          <w:numId w:val="5"/>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4BD8725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108385C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w:t>
      </w:r>
    </w:p>
    <w:p w14:paraId="632F068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2B255966">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59C7D5A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3B4EC16F">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54A224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4BA731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2666562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4AA1CBFD">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598"/>
    <w:bookmarkEnd w:id="599"/>
    <w:bookmarkEnd w:id="600"/>
    <w:bookmarkEnd w:id="601"/>
    <w:bookmarkEnd w:id="602"/>
    <w:p w14:paraId="2FD6BCE2">
      <w:pPr>
        <w:jc w:val="right"/>
        <w:rPr>
          <w:rFonts w:hint="eastAsia" w:ascii="仿宋" w:hAnsi="仿宋" w:eastAsia="仿宋" w:cs="仿宋"/>
          <w:b/>
          <w:bCs w:val="0"/>
          <w:color w:val="auto"/>
          <w:sz w:val="40"/>
          <w:szCs w:val="40"/>
          <w:highlight w:val="none"/>
          <w:shd w:val="clear" w:color="auto" w:fill="auto"/>
          <w:lang w:val="en-US" w:eastAsia="zh-CN"/>
        </w:rPr>
        <w:sectPr>
          <w:footerReference r:id="rId7"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7"/>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D6E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0366C709">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27457C0B">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36E0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6C0EC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1CF63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7A35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D1D8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BA01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413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32B2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C83E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31C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4FA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560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11956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3D9B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985E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FA7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78839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312C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5CA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FA28F6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1EF0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77B4A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0A211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9503C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53C717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DEAF5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3ECFC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2A23B0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A4891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2CDA7D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01129FD">
            <w:pPr>
              <w:jc w:val="center"/>
              <w:rPr>
                <w:rFonts w:hint="eastAsia" w:ascii="宋体" w:hAnsi="宋体" w:eastAsia="宋体" w:cs="宋体"/>
                <w:i w:val="0"/>
                <w:iCs w:val="0"/>
                <w:color w:val="auto"/>
                <w:sz w:val="20"/>
                <w:szCs w:val="20"/>
                <w:highlight w:val="none"/>
                <w:u w:val="none"/>
              </w:rPr>
            </w:pPr>
          </w:p>
        </w:tc>
      </w:tr>
      <w:tr w14:paraId="503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E50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5A44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6BF51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4C26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EDBF8C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857C0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D5C998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CAAE71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4EE63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2BE42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960BAA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63532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66B73E3">
            <w:pPr>
              <w:jc w:val="center"/>
              <w:rPr>
                <w:rFonts w:hint="eastAsia" w:ascii="宋体" w:hAnsi="宋体" w:eastAsia="宋体" w:cs="宋体"/>
                <w:i w:val="0"/>
                <w:iCs w:val="0"/>
                <w:color w:val="auto"/>
                <w:sz w:val="20"/>
                <w:szCs w:val="20"/>
                <w:highlight w:val="none"/>
                <w:u w:val="none"/>
              </w:rPr>
            </w:pPr>
          </w:p>
        </w:tc>
      </w:tr>
      <w:tr w14:paraId="31D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B13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36ABEF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8AB78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5F742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2393CD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DA296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2215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89AC6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3C04FE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B66CF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9324B5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CF8D9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9AA0D8">
            <w:pPr>
              <w:jc w:val="center"/>
              <w:rPr>
                <w:rFonts w:hint="eastAsia" w:ascii="宋体" w:hAnsi="宋体" w:eastAsia="宋体" w:cs="宋体"/>
                <w:i w:val="0"/>
                <w:iCs w:val="0"/>
                <w:color w:val="auto"/>
                <w:sz w:val="20"/>
                <w:szCs w:val="20"/>
                <w:highlight w:val="none"/>
                <w:u w:val="none"/>
              </w:rPr>
            </w:pPr>
          </w:p>
        </w:tc>
      </w:tr>
      <w:tr w14:paraId="1043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DEC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79FF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21816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61B04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9A9EA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3C622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97A4F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A5C58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8C443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FB93C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6B407C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D1961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66E6155">
            <w:pPr>
              <w:jc w:val="center"/>
              <w:rPr>
                <w:rFonts w:hint="eastAsia" w:ascii="宋体" w:hAnsi="宋体" w:eastAsia="宋体" w:cs="宋体"/>
                <w:i w:val="0"/>
                <w:iCs w:val="0"/>
                <w:color w:val="auto"/>
                <w:sz w:val="20"/>
                <w:szCs w:val="20"/>
                <w:highlight w:val="none"/>
                <w:u w:val="none"/>
              </w:rPr>
            </w:pPr>
          </w:p>
        </w:tc>
      </w:tr>
      <w:tr w14:paraId="36E8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A21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AE2AE6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065E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86175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0B844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0CDF5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A74011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B858F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6F3B32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FAAC8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2F32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16CFB8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724C95D">
            <w:pPr>
              <w:jc w:val="center"/>
              <w:rPr>
                <w:rFonts w:hint="eastAsia" w:ascii="宋体" w:hAnsi="宋体" w:eastAsia="宋体" w:cs="宋体"/>
                <w:i w:val="0"/>
                <w:iCs w:val="0"/>
                <w:color w:val="auto"/>
                <w:sz w:val="20"/>
                <w:szCs w:val="20"/>
                <w:highlight w:val="none"/>
                <w:u w:val="none"/>
              </w:rPr>
            </w:pPr>
          </w:p>
        </w:tc>
      </w:tr>
      <w:tr w14:paraId="1A2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914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46A81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73D51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970C40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A0E31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B54F9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420AB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F1C4A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3E25D7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6EC4F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2A78CD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2493CC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880F7">
            <w:pPr>
              <w:jc w:val="center"/>
              <w:rPr>
                <w:rFonts w:hint="eastAsia" w:ascii="宋体" w:hAnsi="宋体" w:eastAsia="宋体" w:cs="宋体"/>
                <w:i w:val="0"/>
                <w:iCs w:val="0"/>
                <w:color w:val="auto"/>
                <w:sz w:val="20"/>
                <w:szCs w:val="20"/>
                <w:highlight w:val="none"/>
                <w:u w:val="none"/>
              </w:rPr>
            </w:pPr>
          </w:p>
        </w:tc>
      </w:tr>
      <w:tr w14:paraId="574B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7C56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128F6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1C085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81E42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D4D894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CC5E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2F6D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2270C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E6E34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C802A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FE9E16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C53F5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36EC2D">
            <w:pPr>
              <w:jc w:val="center"/>
              <w:rPr>
                <w:rFonts w:hint="eastAsia" w:ascii="宋体" w:hAnsi="宋体" w:eastAsia="宋体" w:cs="宋体"/>
                <w:i w:val="0"/>
                <w:iCs w:val="0"/>
                <w:color w:val="auto"/>
                <w:sz w:val="20"/>
                <w:szCs w:val="20"/>
                <w:highlight w:val="none"/>
                <w:u w:val="none"/>
              </w:rPr>
            </w:pPr>
          </w:p>
        </w:tc>
      </w:tr>
      <w:tr w14:paraId="089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BA0E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2D894B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E67BC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50E28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CA2EA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D4E31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CEC6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3C6BA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C4C39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6FE4B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45833B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6B1F5B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70F152">
            <w:pPr>
              <w:jc w:val="center"/>
              <w:rPr>
                <w:rFonts w:hint="eastAsia" w:ascii="宋体" w:hAnsi="宋体" w:eastAsia="宋体" w:cs="宋体"/>
                <w:i w:val="0"/>
                <w:iCs w:val="0"/>
                <w:color w:val="auto"/>
                <w:sz w:val="20"/>
                <w:szCs w:val="20"/>
                <w:highlight w:val="none"/>
                <w:u w:val="none"/>
              </w:rPr>
            </w:pPr>
          </w:p>
        </w:tc>
      </w:tr>
      <w:tr w14:paraId="0966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55F7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FB360B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FFA45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02D1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388C3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0DF3F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F7DA65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31F94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B080A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8ACE154">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29FCF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0F76BA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08BF5F">
            <w:pPr>
              <w:jc w:val="center"/>
              <w:rPr>
                <w:rFonts w:hint="eastAsia" w:ascii="宋体" w:hAnsi="宋体" w:eastAsia="宋体" w:cs="宋体"/>
                <w:i w:val="0"/>
                <w:iCs w:val="0"/>
                <w:color w:val="auto"/>
                <w:sz w:val="20"/>
                <w:szCs w:val="20"/>
                <w:highlight w:val="none"/>
                <w:u w:val="none"/>
              </w:rPr>
            </w:pPr>
          </w:p>
        </w:tc>
      </w:tr>
      <w:tr w14:paraId="3252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875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17EC0E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1516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F32080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7E7D7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E207B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555765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AC2B10">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26598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5804D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FF48CA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102331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9ABFAED">
            <w:pPr>
              <w:jc w:val="center"/>
              <w:rPr>
                <w:rFonts w:hint="eastAsia" w:ascii="宋体" w:hAnsi="宋体" w:eastAsia="宋体" w:cs="宋体"/>
                <w:i w:val="0"/>
                <w:iCs w:val="0"/>
                <w:color w:val="auto"/>
                <w:sz w:val="20"/>
                <w:szCs w:val="20"/>
                <w:highlight w:val="none"/>
                <w:u w:val="none"/>
              </w:rPr>
            </w:pPr>
          </w:p>
        </w:tc>
      </w:tr>
      <w:tr w14:paraId="329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9A5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B2284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7CBF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BF3CA2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2E8C7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2258E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90DC4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A9552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44C74A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34757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6448F1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F5493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3426EC2">
            <w:pPr>
              <w:jc w:val="center"/>
              <w:rPr>
                <w:rFonts w:hint="eastAsia" w:ascii="宋体" w:hAnsi="宋体" w:eastAsia="宋体" w:cs="宋体"/>
                <w:i w:val="0"/>
                <w:iCs w:val="0"/>
                <w:color w:val="auto"/>
                <w:sz w:val="20"/>
                <w:szCs w:val="20"/>
                <w:highlight w:val="none"/>
                <w:u w:val="none"/>
              </w:rPr>
            </w:pPr>
          </w:p>
        </w:tc>
      </w:tr>
      <w:tr w14:paraId="32D1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6EB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A6B235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FC6FA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DE48EC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768F6F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58185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1471C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149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DDB7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D067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9A71E9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DF2655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4958669">
            <w:pPr>
              <w:jc w:val="center"/>
              <w:rPr>
                <w:rFonts w:hint="eastAsia" w:ascii="宋体" w:hAnsi="宋体" w:eastAsia="宋体" w:cs="宋体"/>
                <w:i w:val="0"/>
                <w:iCs w:val="0"/>
                <w:color w:val="auto"/>
                <w:sz w:val="20"/>
                <w:szCs w:val="20"/>
                <w:highlight w:val="none"/>
                <w:u w:val="none"/>
              </w:rPr>
            </w:pPr>
          </w:p>
        </w:tc>
      </w:tr>
      <w:tr w14:paraId="249E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52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455390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04E08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3CEC1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9DBC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D2A2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AA433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32E0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77EBF0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5A03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272C88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0B7D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FD9FD">
            <w:pPr>
              <w:jc w:val="center"/>
              <w:rPr>
                <w:rFonts w:hint="eastAsia" w:ascii="宋体" w:hAnsi="宋体" w:eastAsia="宋体" w:cs="宋体"/>
                <w:i w:val="0"/>
                <w:iCs w:val="0"/>
                <w:color w:val="auto"/>
                <w:sz w:val="20"/>
                <w:szCs w:val="20"/>
                <w:highlight w:val="none"/>
                <w:u w:val="none"/>
              </w:rPr>
            </w:pPr>
          </w:p>
        </w:tc>
      </w:tr>
      <w:tr w14:paraId="3A1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39A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090A101">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5678D">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653F6F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603E4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FF0D6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9560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B7E04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E35311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617E0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8F18888">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08F80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D02FFBA">
            <w:pPr>
              <w:jc w:val="center"/>
              <w:rPr>
                <w:rFonts w:hint="eastAsia" w:ascii="宋体" w:hAnsi="宋体" w:eastAsia="宋体" w:cs="宋体"/>
                <w:i w:val="0"/>
                <w:iCs w:val="0"/>
                <w:color w:val="auto"/>
                <w:sz w:val="20"/>
                <w:szCs w:val="20"/>
                <w:highlight w:val="none"/>
                <w:u w:val="none"/>
              </w:rPr>
            </w:pPr>
          </w:p>
        </w:tc>
      </w:tr>
      <w:tr w14:paraId="099D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009BF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1875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02263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F420F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B138D0F">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00E410CB">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DAF4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2037AA9C">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0B7CEB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44807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4C0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0AB12E09">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9C820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AACEF30">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088E8421">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2ABF1E37">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542CB0FB">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14FA1DBB">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73B3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7C0800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3ECA53D">
      <w:pPr>
        <w:rPr>
          <w:highlight w:val="none"/>
        </w:rPr>
      </w:pPr>
    </w:p>
    <w:p w14:paraId="0BFCEFEE">
      <w:pPr>
        <w:pStyle w:val="16"/>
        <w:rPr>
          <w:highlight w:val="none"/>
        </w:rPr>
      </w:pPr>
    </w:p>
    <w:p w14:paraId="31BF60EA">
      <w:pPr>
        <w:pStyle w:val="16"/>
        <w:rPr>
          <w:highlight w:val="none"/>
        </w:rPr>
      </w:pPr>
    </w:p>
    <w:p w14:paraId="209549F9">
      <w:pPr>
        <w:pStyle w:val="16"/>
        <w:rPr>
          <w:highlight w:val="none"/>
        </w:rPr>
      </w:pPr>
    </w:p>
    <w:p w14:paraId="3A7ADAF4">
      <w:pPr>
        <w:pStyle w:val="16"/>
        <w:rPr>
          <w:highlight w:val="none"/>
        </w:rPr>
      </w:pPr>
    </w:p>
    <w:p w14:paraId="50A52695">
      <w:pPr>
        <w:pStyle w:val="16"/>
        <w:rPr>
          <w:highlight w:val="none"/>
        </w:rPr>
      </w:pPr>
    </w:p>
    <w:p w14:paraId="29FAB0B1">
      <w:pPr>
        <w:pStyle w:val="16"/>
        <w:rPr>
          <w:highlight w:val="none"/>
        </w:rPr>
      </w:pPr>
    </w:p>
    <w:p w14:paraId="6B2FF482">
      <w:pPr>
        <w:pStyle w:val="16"/>
        <w:rPr>
          <w:highlight w:val="none"/>
        </w:rPr>
      </w:pPr>
    </w:p>
    <w:p w14:paraId="7FA11AA6">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13AEF8D">
      <w:pPr>
        <w:pStyle w:val="16"/>
        <w:rPr>
          <w:highlight w:val="none"/>
        </w:rPr>
      </w:pPr>
    </w:p>
    <w:p w14:paraId="5385B6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50877DA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D4621D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5CCD15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0A757CB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3E8360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r>
        <w:rPr>
          <w:rFonts w:hint="eastAsia" w:ascii="仿宋" w:hAnsi="仿宋" w:eastAsia="仿宋" w:cs="仿宋"/>
          <w:color w:val="auto"/>
          <w:sz w:val="28"/>
          <w:szCs w:val="28"/>
          <w:highlight w:val="none"/>
        </w:rPr>
        <w:t>:</w:t>
      </w:r>
    </w:p>
    <w:p w14:paraId="277243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5EDCDB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BE2C1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357D4D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56F54338">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497A77F2">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XXX</w:t>
      </w:r>
    </w:p>
    <w:p w14:paraId="01046C33">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3232CC33">
      <w:pPr>
        <w:pStyle w:val="16"/>
        <w:rPr>
          <w:highlight w:val="none"/>
        </w:rPr>
      </w:pPr>
    </w:p>
    <w:p w14:paraId="6076BA0D">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409679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0E09D3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4C11CA3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5F9D77E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6EDE58F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764DD53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2A04FB5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603"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03"/>
    </w:p>
    <w:p w14:paraId="1C4410D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071A6E8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7E823CE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757765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4EC8638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158260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7E8B3F2F">
      <w:pPr>
        <w:pStyle w:val="16"/>
        <w:keepNext w:val="0"/>
        <w:keepLines w:val="0"/>
        <w:pageBreakBefore w:val="0"/>
        <w:widowControl w:val="0"/>
        <w:tabs>
          <w:tab w:val="left" w:pos="840"/>
          <w:tab w:val="clear" w:pos="-116"/>
          <w:tab w:val="clear" w:pos="420"/>
        </w:tabs>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727F365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0DD83EC8">
      <w:pPr>
        <w:pStyle w:val="16"/>
        <w:keepNext w:val="0"/>
        <w:keepLines w:val="0"/>
        <w:pageBreakBefore w:val="0"/>
        <w:widowControl w:val="0"/>
        <w:tabs>
          <w:tab w:val="left" w:pos="840"/>
          <w:tab w:val="clear" w:pos="-116"/>
          <w:tab w:val="clear" w:pos="420"/>
        </w:tabs>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47E206D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3BAC58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55364E0F">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30B14F8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5081535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32E8E1B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A93C3E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03020B0">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4" w:name="_Toc23399"/>
      <w:bookmarkStart w:id="605" w:name="_Toc3509"/>
      <w:bookmarkStart w:id="606" w:name="_Toc26007"/>
      <w:bookmarkStart w:id="607" w:name="_Toc2008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0"/>
      <w:bookmarkEnd w:id="581"/>
      <w:bookmarkEnd w:id="593"/>
      <w:bookmarkEnd w:id="594"/>
      <w:bookmarkEnd w:id="595"/>
      <w:bookmarkEnd w:id="59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604"/>
      <w:bookmarkEnd w:id="605"/>
      <w:bookmarkEnd w:id="606"/>
      <w:bookmarkEnd w:id="6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22319494">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510B9A0E">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089097D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7411130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025A6D4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33A4B4C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7AC1DB5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349B559A">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7C91EC7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42C580D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1128732A">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B419CA9">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715C88C0">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39C4FD14">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6E71EFE5">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4D7264F3">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75BA23EF">
      <w:pPr>
        <w:spacing w:line="360" w:lineRule="auto"/>
        <w:jc w:val="right"/>
        <w:rPr>
          <w:rFonts w:hint="eastAsia" w:ascii="宋体" w:hAnsi="宋体"/>
          <w:b/>
          <w:bCs/>
          <w:color w:val="auto"/>
          <w:sz w:val="36"/>
          <w:szCs w:val="36"/>
          <w:highlight w:val="none"/>
          <w:lang w:val="en-US" w:eastAsia="zh-CN"/>
        </w:rPr>
      </w:pPr>
    </w:p>
    <w:p w14:paraId="1F37570C">
      <w:pPr>
        <w:spacing w:line="360" w:lineRule="auto"/>
        <w:jc w:val="right"/>
        <w:rPr>
          <w:rFonts w:hint="eastAsia" w:ascii="宋体" w:hAnsi="宋体"/>
          <w:b/>
          <w:bCs/>
          <w:color w:val="auto"/>
          <w:sz w:val="36"/>
          <w:szCs w:val="36"/>
          <w:highlight w:val="none"/>
          <w:lang w:val="en-US" w:eastAsia="zh-CN"/>
        </w:rPr>
      </w:pPr>
    </w:p>
    <w:p w14:paraId="63C5269B">
      <w:pPr>
        <w:spacing w:line="360" w:lineRule="auto"/>
        <w:jc w:val="right"/>
        <w:rPr>
          <w:rFonts w:hint="eastAsia" w:ascii="宋体" w:hAnsi="宋体"/>
          <w:b/>
          <w:bCs/>
          <w:color w:val="auto"/>
          <w:sz w:val="36"/>
          <w:szCs w:val="36"/>
          <w:highlight w:val="none"/>
          <w:lang w:val="en-US" w:eastAsia="zh-CN"/>
        </w:rPr>
      </w:pPr>
    </w:p>
    <w:p w14:paraId="034A6D47">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F7AC9B4">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08"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266"/>
      <w:bookmarkEnd w:id="267"/>
      <w:bookmarkEnd w:id="268"/>
      <w:bookmarkEnd w:id="269"/>
      <w:bookmarkEnd w:id="60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25774BA6">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64D21A3E">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199A2465">
      <w:pPr>
        <w:keepNext w:val="0"/>
        <w:keepLines w:val="0"/>
        <w:pageBreakBefore w:val="0"/>
        <w:widowControl w:val="0"/>
        <w:kinsoku/>
        <w:wordWrap/>
        <w:overflowPunct/>
        <w:topLinePunct w:val="0"/>
        <w:autoSpaceDE/>
        <w:autoSpaceDN/>
        <w:bidi w:val="0"/>
        <w:adjustRightInd/>
        <w:snapToGrid w:val="0"/>
        <w:spacing w:line="360" w:lineRule="auto"/>
        <w:ind w:right="62" w:rightChars="22" w:firstLine="575" w:firstLineChars="179"/>
        <w:jc w:val="center"/>
        <w:textAlignment w:val="auto"/>
        <w:outlineLvl w:val="0"/>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drawing>
          <wp:inline distT="0" distB="0" distL="114300" distR="114300">
            <wp:extent cx="3705225" cy="2447925"/>
            <wp:effectExtent l="0" t="0" r="9525" b="9525"/>
            <wp:docPr id="2" name="图片 2" descr="17536641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664105610"/>
                    <pic:cNvPicPr>
                      <a:picLocks noChangeAspect="1"/>
                    </pic:cNvPicPr>
                  </pic:nvPicPr>
                  <pic:blipFill>
                    <a:blip r:embed="rId12"/>
                    <a:stretch>
                      <a:fillRect/>
                    </a:stretch>
                  </pic:blipFill>
                  <pic:spPr>
                    <a:xfrm>
                      <a:off x="0" y="0"/>
                      <a:ext cx="3705225" cy="2447925"/>
                    </a:xfrm>
                    <a:prstGeom prst="rect">
                      <a:avLst/>
                    </a:prstGeom>
                  </pic:spPr>
                </pic:pic>
              </a:graphicData>
            </a:graphic>
          </wp:inline>
        </w:drawing>
      </w:r>
    </w:p>
    <w:p w14:paraId="5F9940AD">
      <w:pPr>
        <w:spacing w:line="360" w:lineRule="auto"/>
        <w:jc w:val="right"/>
        <w:rPr>
          <w:rFonts w:hint="eastAsia" w:ascii="宋体" w:hAnsi="宋体"/>
          <w:b/>
          <w:bCs/>
          <w:color w:val="auto"/>
          <w:sz w:val="32"/>
          <w:szCs w:val="32"/>
          <w:highlight w:val="none"/>
          <w:lang w:val="en-US" w:eastAsia="zh-CN"/>
        </w:rPr>
      </w:pPr>
    </w:p>
    <w:p w14:paraId="7D090147">
      <w:pPr>
        <w:spacing w:line="360" w:lineRule="auto"/>
        <w:jc w:val="right"/>
        <w:rPr>
          <w:rFonts w:hint="eastAsia" w:ascii="宋体" w:hAnsi="宋体"/>
          <w:b/>
          <w:bCs/>
          <w:color w:val="auto"/>
          <w:sz w:val="32"/>
          <w:szCs w:val="32"/>
          <w:highlight w:val="none"/>
          <w:lang w:val="en-US" w:eastAsia="zh-CN"/>
        </w:rPr>
      </w:pPr>
    </w:p>
    <w:p w14:paraId="1D063F37">
      <w:pPr>
        <w:spacing w:line="360" w:lineRule="auto"/>
        <w:jc w:val="both"/>
        <w:rPr>
          <w:rFonts w:hint="eastAsia" w:ascii="宋体" w:hAnsi="宋体"/>
          <w:b/>
          <w:bCs/>
          <w:color w:val="auto"/>
          <w:sz w:val="32"/>
          <w:szCs w:val="32"/>
          <w:highlight w:val="none"/>
          <w:lang w:val="en-US" w:eastAsia="zh-CN"/>
        </w:rPr>
      </w:pPr>
    </w:p>
    <w:p w14:paraId="0D676B11">
      <w:pPr>
        <w:spacing w:line="360" w:lineRule="auto"/>
        <w:jc w:val="right"/>
        <w:rPr>
          <w:rFonts w:hint="eastAsia" w:ascii="宋体" w:hAnsi="宋体"/>
          <w:b/>
          <w:bCs/>
          <w:color w:val="auto"/>
          <w:sz w:val="32"/>
          <w:szCs w:val="32"/>
          <w:highlight w:val="none"/>
          <w:lang w:val="en-US" w:eastAsia="zh-CN"/>
        </w:rPr>
      </w:pPr>
    </w:p>
    <w:p w14:paraId="591D5BFE">
      <w:pPr>
        <w:spacing w:line="360" w:lineRule="auto"/>
        <w:jc w:val="right"/>
        <w:rPr>
          <w:rFonts w:hint="eastAsia" w:ascii="宋体" w:hAnsi="宋体"/>
          <w:b/>
          <w:bCs/>
          <w:color w:val="auto"/>
          <w:sz w:val="32"/>
          <w:szCs w:val="32"/>
          <w:highlight w:val="none"/>
          <w:lang w:val="en-US" w:eastAsia="zh-CN"/>
        </w:rPr>
      </w:pPr>
    </w:p>
    <w:p w14:paraId="69F253D1">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5C783E18">
      <w:pPr>
        <w:pStyle w:val="16"/>
        <w:rPr>
          <w:rFonts w:hint="default" w:ascii="宋体" w:hAnsi="宋体" w:eastAsia="宋体" w:cs="宋体"/>
          <w:color w:val="auto"/>
          <w:sz w:val="24"/>
          <w:szCs w:val="24"/>
          <w:highlight w:val="none"/>
          <w:lang w:val="en-US" w:eastAsia="zh-CN"/>
        </w:rPr>
      </w:pPr>
    </w:p>
    <w:p w14:paraId="37FA5E01">
      <w:pPr>
        <w:pStyle w:val="16"/>
        <w:rPr>
          <w:rFonts w:hint="default" w:ascii="宋体" w:hAnsi="宋体" w:eastAsia="宋体" w:cs="宋体"/>
          <w:color w:val="auto"/>
          <w:sz w:val="24"/>
          <w:szCs w:val="24"/>
          <w:highlight w:val="none"/>
          <w:lang w:val="en-US" w:eastAsia="zh-CN"/>
        </w:rPr>
      </w:pPr>
    </w:p>
    <w:p w14:paraId="0C9DDFB7">
      <w:pPr>
        <w:pStyle w:val="16"/>
        <w:rPr>
          <w:rFonts w:hint="default" w:ascii="宋体" w:hAnsi="宋体" w:eastAsia="宋体" w:cs="宋体"/>
          <w:color w:val="auto"/>
          <w:sz w:val="24"/>
          <w:szCs w:val="24"/>
          <w:highlight w:val="none"/>
          <w:lang w:val="en-US" w:eastAsia="zh-CN"/>
        </w:rPr>
      </w:pPr>
    </w:p>
    <w:p w14:paraId="165C3EBF">
      <w:pPr>
        <w:pStyle w:val="16"/>
        <w:rPr>
          <w:rFonts w:hint="default" w:ascii="宋体" w:hAnsi="宋体" w:eastAsia="宋体" w:cs="宋体"/>
          <w:color w:val="auto"/>
          <w:sz w:val="24"/>
          <w:szCs w:val="24"/>
          <w:highlight w:val="none"/>
          <w:lang w:val="en-US" w:eastAsia="zh-CN"/>
        </w:rPr>
      </w:pPr>
    </w:p>
    <w:sectPr>
      <w:footerReference r:id="rId8" w:type="default"/>
      <w:pgSz w:w="11906" w:h="16838"/>
      <w:pgMar w:top="1134" w:right="1417" w:bottom="1134" w:left="1417" w:header="964" w:footer="567" w:gutter="0"/>
      <w:pgBorders>
        <w:top w:val="none" w:sz="0" w:space="0"/>
        <w:left w:val="none" w:sz="0" w:space="0"/>
        <w:bottom w:val="none" w:sz="0" w:space="0"/>
        <w:right w:val="none" w:sz="0" w:space="0"/>
      </w:pgBorders>
      <w:pgNumType w:fmt="decimal"/>
      <w:cols w:space="72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DA61">
    <w:pPr>
      <w:pStyle w:val="11"/>
      <w:jc w:val="both"/>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AD16">
    <w:pPr>
      <w:pStyle w:val="11"/>
      <w:tabs>
        <w:tab w:val="clear" w:pos="4153"/>
      </w:tabs>
      <w:jc w:val="center"/>
    </w:pPr>
  </w:p>
  <w:p w14:paraId="10865B5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CE7A">
    <w:pPr>
      <w:pStyle w:val="11"/>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24CD2">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3E24CD2">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40</w:t>
                    </w:r>
                    <w:r>
                      <w:t xml:space="preserve"> 页</w:t>
                    </w:r>
                  </w:p>
                </w:txbxContent>
              </v:textbox>
            </v:shape>
          </w:pict>
        </mc:Fallback>
      </mc:AlternateContent>
    </w:r>
  </w:p>
  <w:p w14:paraId="0C29346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3C33">
    <w:pPr>
      <w:pStyle w:val="11"/>
      <w:tabs>
        <w:tab w:val="clear" w:pos="4153"/>
      </w:tabs>
      <w:jc w:val="center"/>
    </w:pPr>
  </w:p>
  <w:p w14:paraId="6D4262EB">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0740">
    <w:pPr>
      <w:pStyle w:val="11"/>
    </w:pPr>
  </w:p>
  <w:p w14:paraId="341B6F0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3072">
    <w:pPr>
      <w:pStyle w:val="12"/>
      <w:pBdr>
        <w:top w:val="none" w:color="auto" w:sz="0" w:space="0"/>
        <w:left w:val="none" w:color="auto" w:sz="0" w:space="0"/>
        <w:bottom w:val="none" w:color="auto" w:sz="0" w:space="1"/>
        <w:right w:val="none" w:color="auto" w:sz="0" w:space="0"/>
        <w:between w:val="none" w:color="auto" w:sz="0" w:space="0"/>
      </w:pBdr>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43EFD582"/>
    <w:multiLevelType w:val="singleLevel"/>
    <w:tmpl w:val="43EFD582"/>
    <w:lvl w:ilvl="0" w:tentative="0">
      <w:start w:val="3"/>
      <w:numFmt w:val="chineseCounting"/>
      <w:suff w:val="nothing"/>
      <w:lvlText w:val="第%1章、"/>
      <w:lvlJc w:val="left"/>
      <w:rPr>
        <w:rFonts w:hint="eastAsia"/>
      </w:rPr>
    </w:lvl>
  </w:abstractNum>
  <w:abstractNum w:abstractNumId="3">
    <w:nsid w:val="5F2AA49B"/>
    <w:multiLevelType w:val="singleLevel"/>
    <w:tmpl w:val="5F2AA49B"/>
    <w:lvl w:ilvl="0" w:tentative="0">
      <w:start w:val="4"/>
      <w:numFmt w:val="chineseCounting"/>
      <w:suff w:val="nothing"/>
      <w:lvlText w:val="第%1章、"/>
      <w:lvlJc w:val="left"/>
      <w:rPr>
        <w:rFonts w:hint="eastAsia"/>
      </w:rPr>
    </w:lvl>
  </w:abstractNum>
  <w:abstractNum w:abstractNumId="4">
    <w:nsid w:val="763669C7"/>
    <w:multiLevelType w:val="singleLevel"/>
    <w:tmpl w:val="763669C7"/>
    <w:lvl w:ilvl="0" w:tentative="0">
      <w:start w:val="1"/>
      <w:numFmt w:val="decimal"/>
      <w:suff w:val="nothing"/>
      <w:lvlText w:val="%1、"/>
      <w:lvlJc w:val="left"/>
    </w:lvl>
  </w:abstractNum>
  <w:abstractNum w:abstractNumId="5">
    <w:nsid w:val="7A4A40FD"/>
    <w:multiLevelType w:val="singleLevel"/>
    <w:tmpl w:val="7A4A40FD"/>
    <w:lvl w:ilvl="0" w:tentative="0">
      <w:start w:val="9"/>
      <w:numFmt w:val="chineseCounting"/>
      <w:suff w:val="nothing"/>
      <w:lvlText w:val="第%1章、"/>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51"/>
  <w:drawingGridVerticalSpacing w:val="20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025001"/>
    <w:rsid w:val="00025001"/>
    <w:rsid w:val="000A5AFF"/>
    <w:rsid w:val="001209F2"/>
    <w:rsid w:val="00286026"/>
    <w:rsid w:val="002A735F"/>
    <w:rsid w:val="003475AB"/>
    <w:rsid w:val="00434A2E"/>
    <w:rsid w:val="005A7776"/>
    <w:rsid w:val="007B32E9"/>
    <w:rsid w:val="007D7711"/>
    <w:rsid w:val="008E46A7"/>
    <w:rsid w:val="0095706D"/>
    <w:rsid w:val="00A831AD"/>
    <w:rsid w:val="00A922CD"/>
    <w:rsid w:val="00AE1BF4"/>
    <w:rsid w:val="00B43E7D"/>
    <w:rsid w:val="00B52C35"/>
    <w:rsid w:val="00BD49C7"/>
    <w:rsid w:val="00BD613C"/>
    <w:rsid w:val="00BE1096"/>
    <w:rsid w:val="00C251A9"/>
    <w:rsid w:val="00C470E6"/>
    <w:rsid w:val="00D20D14"/>
    <w:rsid w:val="00DB32B3"/>
    <w:rsid w:val="00EC5141"/>
    <w:rsid w:val="00F136BC"/>
    <w:rsid w:val="00F211EF"/>
    <w:rsid w:val="00FA5508"/>
    <w:rsid w:val="010C7EB2"/>
    <w:rsid w:val="012E56C8"/>
    <w:rsid w:val="014C6B51"/>
    <w:rsid w:val="01A278D2"/>
    <w:rsid w:val="01B5477F"/>
    <w:rsid w:val="01BE3459"/>
    <w:rsid w:val="01FF3E3C"/>
    <w:rsid w:val="02CD0E37"/>
    <w:rsid w:val="03015FF9"/>
    <w:rsid w:val="0351744F"/>
    <w:rsid w:val="03CD4413"/>
    <w:rsid w:val="03DF1016"/>
    <w:rsid w:val="03F22DF6"/>
    <w:rsid w:val="04147D3C"/>
    <w:rsid w:val="043A1ADB"/>
    <w:rsid w:val="04A14D04"/>
    <w:rsid w:val="04FD07F4"/>
    <w:rsid w:val="053743BB"/>
    <w:rsid w:val="05382BA4"/>
    <w:rsid w:val="057F66D3"/>
    <w:rsid w:val="0598312B"/>
    <w:rsid w:val="05A0746B"/>
    <w:rsid w:val="06331B04"/>
    <w:rsid w:val="06DF204A"/>
    <w:rsid w:val="07311FDA"/>
    <w:rsid w:val="079923C4"/>
    <w:rsid w:val="07FA40B0"/>
    <w:rsid w:val="0875481A"/>
    <w:rsid w:val="087813B8"/>
    <w:rsid w:val="08F90B8D"/>
    <w:rsid w:val="09505DD9"/>
    <w:rsid w:val="09546002"/>
    <w:rsid w:val="097923A2"/>
    <w:rsid w:val="09B96D64"/>
    <w:rsid w:val="09FC5631"/>
    <w:rsid w:val="0A9D041D"/>
    <w:rsid w:val="0AC27EC0"/>
    <w:rsid w:val="0AC52159"/>
    <w:rsid w:val="0B1B7535"/>
    <w:rsid w:val="0B6947A3"/>
    <w:rsid w:val="0BD275B3"/>
    <w:rsid w:val="0C8F1839"/>
    <w:rsid w:val="0CEC4139"/>
    <w:rsid w:val="0D72469C"/>
    <w:rsid w:val="0D9B0737"/>
    <w:rsid w:val="0DE11A56"/>
    <w:rsid w:val="0E103CB0"/>
    <w:rsid w:val="0E7262FB"/>
    <w:rsid w:val="0EA82780"/>
    <w:rsid w:val="0ED86C4D"/>
    <w:rsid w:val="0F137D29"/>
    <w:rsid w:val="0F21613C"/>
    <w:rsid w:val="0F942EE7"/>
    <w:rsid w:val="0F94489A"/>
    <w:rsid w:val="0FB758CE"/>
    <w:rsid w:val="0FC5251C"/>
    <w:rsid w:val="0FDF2A53"/>
    <w:rsid w:val="10285680"/>
    <w:rsid w:val="107F0451"/>
    <w:rsid w:val="10AE5E6E"/>
    <w:rsid w:val="10ED7A07"/>
    <w:rsid w:val="110235F3"/>
    <w:rsid w:val="11366CA5"/>
    <w:rsid w:val="11DC67F2"/>
    <w:rsid w:val="11E834D9"/>
    <w:rsid w:val="11EB0069"/>
    <w:rsid w:val="12160490"/>
    <w:rsid w:val="121A01BD"/>
    <w:rsid w:val="121A30A8"/>
    <w:rsid w:val="12D004D8"/>
    <w:rsid w:val="12E7518D"/>
    <w:rsid w:val="137022C1"/>
    <w:rsid w:val="13743CE5"/>
    <w:rsid w:val="141111CF"/>
    <w:rsid w:val="14E214A6"/>
    <w:rsid w:val="14EC748E"/>
    <w:rsid w:val="15B61DBE"/>
    <w:rsid w:val="16C93AC8"/>
    <w:rsid w:val="16F2155A"/>
    <w:rsid w:val="1778386B"/>
    <w:rsid w:val="177B6D4C"/>
    <w:rsid w:val="17843F81"/>
    <w:rsid w:val="17FB5D09"/>
    <w:rsid w:val="182058E9"/>
    <w:rsid w:val="183578DA"/>
    <w:rsid w:val="18916E32"/>
    <w:rsid w:val="18AC642C"/>
    <w:rsid w:val="18BB1432"/>
    <w:rsid w:val="18F51424"/>
    <w:rsid w:val="192577D6"/>
    <w:rsid w:val="19454C98"/>
    <w:rsid w:val="19652123"/>
    <w:rsid w:val="19DB3856"/>
    <w:rsid w:val="19DF6B20"/>
    <w:rsid w:val="1A0B0EF4"/>
    <w:rsid w:val="1A3A7062"/>
    <w:rsid w:val="1A6F7A54"/>
    <w:rsid w:val="1A833C60"/>
    <w:rsid w:val="1AC15A62"/>
    <w:rsid w:val="1AD07A33"/>
    <w:rsid w:val="1AE01026"/>
    <w:rsid w:val="1B185449"/>
    <w:rsid w:val="1B7C71F8"/>
    <w:rsid w:val="1B871442"/>
    <w:rsid w:val="1B9A43DE"/>
    <w:rsid w:val="1B9D05A6"/>
    <w:rsid w:val="1C043682"/>
    <w:rsid w:val="1CA4563B"/>
    <w:rsid w:val="1CB46CA3"/>
    <w:rsid w:val="1CEF581C"/>
    <w:rsid w:val="1D3F7112"/>
    <w:rsid w:val="1D47493B"/>
    <w:rsid w:val="1DA4247A"/>
    <w:rsid w:val="1DCA1A83"/>
    <w:rsid w:val="1DD1573E"/>
    <w:rsid w:val="1DD35103"/>
    <w:rsid w:val="1E2373FB"/>
    <w:rsid w:val="1E7E3C6A"/>
    <w:rsid w:val="1E860D9F"/>
    <w:rsid w:val="1E9D505C"/>
    <w:rsid w:val="1EA20BC4"/>
    <w:rsid w:val="1EBB6C6C"/>
    <w:rsid w:val="1EEC32CA"/>
    <w:rsid w:val="1F1B355A"/>
    <w:rsid w:val="1F2C1BFD"/>
    <w:rsid w:val="1FFB0AC9"/>
    <w:rsid w:val="202D76F6"/>
    <w:rsid w:val="20817DA0"/>
    <w:rsid w:val="20A80C98"/>
    <w:rsid w:val="20F30E22"/>
    <w:rsid w:val="21555B19"/>
    <w:rsid w:val="219818BA"/>
    <w:rsid w:val="22796BFD"/>
    <w:rsid w:val="22A769EC"/>
    <w:rsid w:val="23362D65"/>
    <w:rsid w:val="233B564C"/>
    <w:rsid w:val="2352650A"/>
    <w:rsid w:val="23BC5F31"/>
    <w:rsid w:val="23C14D25"/>
    <w:rsid w:val="23C53511"/>
    <w:rsid w:val="25293063"/>
    <w:rsid w:val="25E74D7D"/>
    <w:rsid w:val="25F413E1"/>
    <w:rsid w:val="26192BF6"/>
    <w:rsid w:val="261C27DB"/>
    <w:rsid w:val="2679171D"/>
    <w:rsid w:val="26995774"/>
    <w:rsid w:val="275F746C"/>
    <w:rsid w:val="28CE7583"/>
    <w:rsid w:val="28DB430E"/>
    <w:rsid w:val="28E45A35"/>
    <w:rsid w:val="28E54C61"/>
    <w:rsid w:val="29DF4157"/>
    <w:rsid w:val="29EA1A1B"/>
    <w:rsid w:val="29F56D7D"/>
    <w:rsid w:val="2A293195"/>
    <w:rsid w:val="2A500FBC"/>
    <w:rsid w:val="2A522B7B"/>
    <w:rsid w:val="2A592940"/>
    <w:rsid w:val="2ADE4D5C"/>
    <w:rsid w:val="2ADF6D09"/>
    <w:rsid w:val="2AFB3BD4"/>
    <w:rsid w:val="2B4A270E"/>
    <w:rsid w:val="2B720248"/>
    <w:rsid w:val="2B897FFB"/>
    <w:rsid w:val="2B8B7415"/>
    <w:rsid w:val="2B9920E3"/>
    <w:rsid w:val="2C203CD4"/>
    <w:rsid w:val="2C547D2A"/>
    <w:rsid w:val="2C694A8A"/>
    <w:rsid w:val="2C925505"/>
    <w:rsid w:val="2D136E35"/>
    <w:rsid w:val="2DBC057A"/>
    <w:rsid w:val="2DC7548F"/>
    <w:rsid w:val="2F032F00"/>
    <w:rsid w:val="2F4259AF"/>
    <w:rsid w:val="2F8D55A0"/>
    <w:rsid w:val="2FAA0D63"/>
    <w:rsid w:val="300B6706"/>
    <w:rsid w:val="30463DFD"/>
    <w:rsid w:val="30BF58FF"/>
    <w:rsid w:val="310B75DF"/>
    <w:rsid w:val="31162B39"/>
    <w:rsid w:val="31214DEB"/>
    <w:rsid w:val="31B62CE2"/>
    <w:rsid w:val="31CD49E7"/>
    <w:rsid w:val="31D66ED8"/>
    <w:rsid w:val="326D6BB5"/>
    <w:rsid w:val="32A5605C"/>
    <w:rsid w:val="3324097C"/>
    <w:rsid w:val="332478C9"/>
    <w:rsid w:val="3327360B"/>
    <w:rsid w:val="33B77665"/>
    <w:rsid w:val="33FE725E"/>
    <w:rsid w:val="34C825A4"/>
    <w:rsid w:val="353C0C04"/>
    <w:rsid w:val="353E1A6B"/>
    <w:rsid w:val="35545C35"/>
    <w:rsid w:val="355611D5"/>
    <w:rsid w:val="35D66304"/>
    <w:rsid w:val="361A0413"/>
    <w:rsid w:val="368B12D5"/>
    <w:rsid w:val="368C63CE"/>
    <w:rsid w:val="369E3C3F"/>
    <w:rsid w:val="370A20E7"/>
    <w:rsid w:val="37786936"/>
    <w:rsid w:val="3814157F"/>
    <w:rsid w:val="3882469C"/>
    <w:rsid w:val="38DA238F"/>
    <w:rsid w:val="38FC1BB3"/>
    <w:rsid w:val="39041A03"/>
    <w:rsid w:val="398131E5"/>
    <w:rsid w:val="399807B0"/>
    <w:rsid w:val="3A0948D8"/>
    <w:rsid w:val="3A2739C9"/>
    <w:rsid w:val="3A452773"/>
    <w:rsid w:val="3A52627F"/>
    <w:rsid w:val="3A727ACC"/>
    <w:rsid w:val="3AF928F0"/>
    <w:rsid w:val="3B5D08E5"/>
    <w:rsid w:val="3B656424"/>
    <w:rsid w:val="3B7051B6"/>
    <w:rsid w:val="3B864DE0"/>
    <w:rsid w:val="3B9623FB"/>
    <w:rsid w:val="3C0722D8"/>
    <w:rsid w:val="3C1E5AFE"/>
    <w:rsid w:val="3C57338C"/>
    <w:rsid w:val="3C8D68E8"/>
    <w:rsid w:val="3CD3634D"/>
    <w:rsid w:val="3CD51823"/>
    <w:rsid w:val="3D084D0F"/>
    <w:rsid w:val="3D9A6290"/>
    <w:rsid w:val="3DAB4FDE"/>
    <w:rsid w:val="3DBE14EA"/>
    <w:rsid w:val="3DE85332"/>
    <w:rsid w:val="3E4B556A"/>
    <w:rsid w:val="3E93234F"/>
    <w:rsid w:val="3EA6303D"/>
    <w:rsid w:val="3EF7710B"/>
    <w:rsid w:val="3F4D56A6"/>
    <w:rsid w:val="40046347"/>
    <w:rsid w:val="40895C4E"/>
    <w:rsid w:val="408D62A1"/>
    <w:rsid w:val="412E4E35"/>
    <w:rsid w:val="41781369"/>
    <w:rsid w:val="41B9635C"/>
    <w:rsid w:val="41CF417E"/>
    <w:rsid w:val="422D1FC9"/>
    <w:rsid w:val="428D3A06"/>
    <w:rsid w:val="43025CBC"/>
    <w:rsid w:val="4334230D"/>
    <w:rsid w:val="43354D8C"/>
    <w:rsid w:val="43FF00D6"/>
    <w:rsid w:val="4404045E"/>
    <w:rsid w:val="44381A89"/>
    <w:rsid w:val="447501C4"/>
    <w:rsid w:val="44912FA7"/>
    <w:rsid w:val="44E81017"/>
    <w:rsid w:val="44F029D1"/>
    <w:rsid w:val="44F40CBA"/>
    <w:rsid w:val="44FE3A61"/>
    <w:rsid w:val="45071A4E"/>
    <w:rsid w:val="45956B5E"/>
    <w:rsid w:val="45A51153"/>
    <w:rsid w:val="463769BF"/>
    <w:rsid w:val="46B66477"/>
    <w:rsid w:val="46DF1C58"/>
    <w:rsid w:val="474B4782"/>
    <w:rsid w:val="47DB5B06"/>
    <w:rsid w:val="485B46B5"/>
    <w:rsid w:val="48BF48B3"/>
    <w:rsid w:val="49BE170B"/>
    <w:rsid w:val="49CB3A7D"/>
    <w:rsid w:val="4A0866F4"/>
    <w:rsid w:val="4A447517"/>
    <w:rsid w:val="4AB1083D"/>
    <w:rsid w:val="4AD6659C"/>
    <w:rsid w:val="4AFD10CF"/>
    <w:rsid w:val="4B2117E7"/>
    <w:rsid w:val="4B3F3D79"/>
    <w:rsid w:val="4B6A76C6"/>
    <w:rsid w:val="4C26699F"/>
    <w:rsid w:val="4C875737"/>
    <w:rsid w:val="4C8C1685"/>
    <w:rsid w:val="4CCA75A3"/>
    <w:rsid w:val="4E2D421F"/>
    <w:rsid w:val="4E433CEC"/>
    <w:rsid w:val="4E982EAA"/>
    <w:rsid w:val="4EB15812"/>
    <w:rsid w:val="4EC46B58"/>
    <w:rsid w:val="4ED57144"/>
    <w:rsid w:val="4ED8228F"/>
    <w:rsid w:val="4EE053D9"/>
    <w:rsid w:val="4F0C722E"/>
    <w:rsid w:val="4F125FD2"/>
    <w:rsid w:val="4F5167AE"/>
    <w:rsid w:val="500D5F35"/>
    <w:rsid w:val="501613E3"/>
    <w:rsid w:val="50AB4931"/>
    <w:rsid w:val="50AE3BE8"/>
    <w:rsid w:val="50B84F2E"/>
    <w:rsid w:val="50FA3867"/>
    <w:rsid w:val="50FD1E93"/>
    <w:rsid w:val="510533E6"/>
    <w:rsid w:val="51B16810"/>
    <w:rsid w:val="51C90A99"/>
    <w:rsid w:val="521C5E2F"/>
    <w:rsid w:val="525449C3"/>
    <w:rsid w:val="52A122C0"/>
    <w:rsid w:val="52BE7665"/>
    <w:rsid w:val="532006E4"/>
    <w:rsid w:val="53410BB6"/>
    <w:rsid w:val="53D83690"/>
    <w:rsid w:val="53DC77A0"/>
    <w:rsid w:val="540C5299"/>
    <w:rsid w:val="54270AD4"/>
    <w:rsid w:val="5476084D"/>
    <w:rsid w:val="54E219D3"/>
    <w:rsid w:val="5538530A"/>
    <w:rsid w:val="55D607A0"/>
    <w:rsid w:val="56095241"/>
    <w:rsid w:val="565D0A91"/>
    <w:rsid w:val="565D57D6"/>
    <w:rsid w:val="567B1494"/>
    <w:rsid w:val="56F65547"/>
    <w:rsid w:val="57BA117B"/>
    <w:rsid w:val="57C427F9"/>
    <w:rsid w:val="58022858"/>
    <w:rsid w:val="58A80170"/>
    <w:rsid w:val="58AE4ED2"/>
    <w:rsid w:val="58F95A13"/>
    <w:rsid w:val="59056513"/>
    <w:rsid w:val="591A2206"/>
    <w:rsid w:val="59270BD0"/>
    <w:rsid w:val="592F008A"/>
    <w:rsid w:val="598002BB"/>
    <w:rsid w:val="59885F30"/>
    <w:rsid w:val="59FC4BAE"/>
    <w:rsid w:val="5A0332E8"/>
    <w:rsid w:val="5A0F476F"/>
    <w:rsid w:val="5A7804B1"/>
    <w:rsid w:val="5A7B2EFD"/>
    <w:rsid w:val="5A991E41"/>
    <w:rsid w:val="5B2C4BE8"/>
    <w:rsid w:val="5B8660CB"/>
    <w:rsid w:val="5BDF48AB"/>
    <w:rsid w:val="5BF45FB7"/>
    <w:rsid w:val="5CAE3B9E"/>
    <w:rsid w:val="5D107B49"/>
    <w:rsid w:val="5D1259D0"/>
    <w:rsid w:val="5D26343A"/>
    <w:rsid w:val="5D9A343C"/>
    <w:rsid w:val="5E884692"/>
    <w:rsid w:val="5FA808CF"/>
    <w:rsid w:val="5FDA0F17"/>
    <w:rsid w:val="60586A5F"/>
    <w:rsid w:val="609F0CD0"/>
    <w:rsid w:val="60E874EF"/>
    <w:rsid w:val="61C34B56"/>
    <w:rsid w:val="62872A91"/>
    <w:rsid w:val="63F40F8B"/>
    <w:rsid w:val="64252FBD"/>
    <w:rsid w:val="65360A6D"/>
    <w:rsid w:val="65457769"/>
    <w:rsid w:val="65567220"/>
    <w:rsid w:val="65AC17CB"/>
    <w:rsid w:val="65F3145D"/>
    <w:rsid w:val="66E47647"/>
    <w:rsid w:val="678278F4"/>
    <w:rsid w:val="67A6798B"/>
    <w:rsid w:val="67BB39B7"/>
    <w:rsid w:val="67C6126F"/>
    <w:rsid w:val="67FF2CF3"/>
    <w:rsid w:val="68190523"/>
    <w:rsid w:val="68A75F5D"/>
    <w:rsid w:val="6A9B2DC0"/>
    <w:rsid w:val="6AA15C08"/>
    <w:rsid w:val="6B146AB5"/>
    <w:rsid w:val="6B2111D2"/>
    <w:rsid w:val="6B3B3270"/>
    <w:rsid w:val="6B965C1C"/>
    <w:rsid w:val="6BF670AD"/>
    <w:rsid w:val="6C3927BD"/>
    <w:rsid w:val="6C7A7414"/>
    <w:rsid w:val="6C9F6CD6"/>
    <w:rsid w:val="6CB6267C"/>
    <w:rsid w:val="6CD35796"/>
    <w:rsid w:val="6D1807A7"/>
    <w:rsid w:val="6D19750C"/>
    <w:rsid w:val="6D1B3755"/>
    <w:rsid w:val="6D2B6338"/>
    <w:rsid w:val="6D2C5DA0"/>
    <w:rsid w:val="6D8C1B38"/>
    <w:rsid w:val="6D8D2B4F"/>
    <w:rsid w:val="6D9F55EE"/>
    <w:rsid w:val="6DB30807"/>
    <w:rsid w:val="6E361585"/>
    <w:rsid w:val="6E8B1BFD"/>
    <w:rsid w:val="6EE41555"/>
    <w:rsid w:val="6F0529EB"/>
    <w:rsid w:val="6F2117AA"/>
    <w:rsid w:val="6F35349E"/>
    <w:rsid w:val="6FA94FEE"/>
    <w:rsid w:val="6FAE1191"/>
    <w:rsid w:val="6FB10FA9"/>
    <w:rsid w:val="701078D1"/>
    <w:rsid w:val="7012146B"/>
    <w:rsid w:val="704532D1"/>
    <w:rsid w:val="70612227"/>
    <w:rsid w:val="707F70C6"/>
    <w:rsid w:val="70B70425"/>
    <w:rsid w:val="71067D66"/>
    <w:rsid w:val="712607ED"/>
    <w:rsid w:val="718864E0"/>
    <w:rsid w:val="72337927"/>
    <w:rsid w:val="725128B4"/>
    <w:rsid w:val="7293150A"/>
    <w:rsid w:val="72C37897"/>
    <w:rsid w:val="731B4759"/>
    <w:rsid w:val="734C3727"/>
    <w:rsid w:val="73683E42"/>
    <w:rsid w:val="737A27F6"/>
    <w:rsid w:val="738B2EBD"/>
    <w:rsid w:val="73BD7E7B"/>
    <w:rsid w:val="73BE1E84"/>
    <w:rsid w:val="74095699"/>
    <w:rsid w:val="74824F12"/>
    <w:rsid w:val="74DD2114"/>
    <w:rsid w:val="74F108C5"/>
    <w:rsid w:val="755F4C1E"/>
    <w:rsid w:val="75965811"/>
    <w:rsid w:val="763D2CF2"/>
    <w:rsid w:val="7661275A"/>
    <w:rsid w:val="76796AE1"/>
    <w:rsid w:val="769B0B51"/>
    <w:rsid w:val="774805F3"/>
    <w:rsid w:val="77C550E7"/>
    <w:rsid w:val="789D4886"/>
    <w:rsid w:val="79136A7D"/>
    <w:rsid w:val="797931C4"/>
    <w:rsid w:val="798C0D4C"/>
    <w:rsid w:val="7996460E"/>
    <w:rsid w:val="79B76B9D"/>
    <w:rsid w:val="79C83FBF"/>
    <w:rsid w:val="79D561FF"/>
    <w:rsid w:val="79DA154C"/>
    <w:rsid w:val="7AC9486D"/>
    <w:rsid w:val="7B0501C8"/>
    <w:rsid w:val="7B694488"/>
    <w:rsid w:val="7BC929DE"/>
    <w:rsid w:val="7BC96D6C"/>
    <w:rsid w:val="7C0D3335"/>
    <w:rsid w:val="7C342FC9"/>
    <w:rsid w:val="7C7E3334"/>
    <w:rsid w:val="7C8A42CD"/>
    <w:rsid w:val="7DB3561E"/>
    <w:rsid w:val="7DD3016E"/>
    <w:rsid w:val="7EB7216A"/>
    <w:rsid w:val="7EC7253A"/>
    <w:rsid w:val="7ED517DC"/>
    <w:rsid w:val="7EFD6CF6"/>
    <w:rsid w:val="7F374BF8"/>
    <w:rsid w:val="7F7654E2"/>
    <w:rsid w:val="7FD42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1624"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1723"/>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624"/>
    <w:pPr>
      <w:spacing w:line="360" w:lineRule="auto"/>
      <w:ind w:right="72"/>
    </w:pPr>
    <w:rPr>
      <w:sz w:val="24"/>
      <w:szCs w:val="24"/>
    </w:rPr>
  </w:style>
  <w:style w:type="paragraph" w:styleId="5">
    <w:name w:val="annotation text"/>
    <w:basedOn w:val="1"/>
    <w:qFormat/>
    <w:uiPriority w:val="0"/>
    <w:pPr>
      <w:jc w:val="left"/>
    </w:pPr>
  </w:style>
  <w:style w:type="paragraph" w:styleId="6">
    <w:name w:val="Body Text Indent"/>
    <w:basedOn w:val="1"/>
    <w:qFormat/>
    <w:uiPriority w:val="1624"/>
    <w:pPr>
      <w:ind w:firstLine="525"/>
      <w:jc w:val="left"/>
    </w:pPr>
    <w:rPr>
      <w:rFonts w:ascii="宋体"/>
      <w:sz w:val="28"/>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Date"/>
    <w:basedOn w:val="1"/>
    <w:next w:val="1"/>
    <w:qFormat/>
    <w:uiPriority w:val="0"/>
    <w:rPr>
      <w:sz w:val="28"/>
    </w:rPr>
  </w:style>
  <w:style w:type="paragraph" w:styleId="9">
    <w:name w:val="Body Text Indent 2"/>
    <w:basedOn w:val="1"/>
    <w:qFormat/>
    <w:uiPriority w:val="1624"/>
    <w:pPr>
      <w:spacing w:line="360" w:lineRule="auto"/>
      <w:ind w:left="500" w:leftChars="182" w:firstLine="23"/>
    </w:pPr>
    <w:rPr>
      <w:rFonts w:ascii="幼圆" w:eastAsia="幼圆"/>
      <w:sz w:val="24"/>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6"/>
    <w:qFormat/>
    <w:uiPriority w:val="0"/>
    <w:pPr>
      <w:tabs>
        <w:tab w:val="left" w:pos="-116"/>
        <w:tab w:val="left" w:pos="420"/>
      </w:tabs>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0"/>
    <w:rPr>
      <w:color w:val="000000"/>
      <w:u w:val="single"/>
    </w:rPr>
  </w:style>
  <w:style w:type="character" w:customStyle="1" w:styleId="22">
    <w:name w:val="批注框文本 Char"/>
    <w:basedOn w:val="19"/>
    <w:link w:val="10"/>
    <w:qFormat/>
    <w:uiPriority w:val="0"/>
    <w:rPr>
      <w:kern w:val="2"/>
      <w:sz w:val="18"/>
      <w:szCs w:val="18"/>
    </w:rPr>
  </w:style>
  <w:style w:type="character" w:customStyle="1" w:styleId="23">
    <w:name w:val="绿色动力 大标题"/>
    <w:basedOn w:val="19"/>
    <w:qFormat/>
    <w:uiPriority w:val="0"/>
    <w:rPr>
      <w:rFonts w:hint="default" w:ascii="Calibri" w:hAnsi="Calibri" w:eastAsia="仿宋_GB2312"/>
      <w:b/>
      <w:sz w:val="30"/>
    </w:rPr>
  </w:style>
  <w:style w:type="character" w:customStyle="1" w:styleId="24">
    <w:name w:val="绿色动力 二级标题"/>
    <w:basedOn w:val="19"/>
    <w:qFormat/>
    <w:uiPriority w:val="0"/>
    <w:rPr>
      <w:rFonts w:hint="default" w:ascii="Calibri" w:hAnsi="Calibri" w:eastAsia="仿宋_GB2312"/>
      <w:b/>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Chars="200"/>
    </w:pPr>
    <w:rPr>
      <w:rFonts w:ascii="Times New Roman" w:hAnsi="Times New Roman" w:eastAsia="宋体" w:cs="Times New Roman"/>
      <w:lang w:val="en-US" w:eastAsia="zh-CN" w:bidi="ar-SA"/>
    </w:rPr>
  </w:style>
  <w:style w:type="character" w:customStyle="1" w:styleId="27">
    <w:name w:val="font31"/>
    <w:basedOn w:val="19"/>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character" w:customStyle="1" w:styleId="29">
    <w:name w:val="font51"/>
    <w:basedOn w:val="19"/>
    <w:qFormat/>
    <w:uiPriority w:val="0"/>
    <w:rPr>
      <w:rFonts w:hint="eastAsia" w:ascii="宋体" w:hAnsi="宋体" w:eastAsia="宋体" w:cs="宋体"/>
      <w:color w:val="000000"/>
      <w:sz w:val="20"/>
      <w:szCs w:val="20"/>
      <w:u w:val="single"/>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cob</Company>
  <Pages>57</Pages>
  <Words>21473</Words>
  <Characters>22418</Characters>
  <Lines>22</Lines>
  <Paragraphs>6</Paragraphs>
  <TotalTime>15</TotalTime>
  <ScaleCrop>false</ScaleCrop>
  <LinksUpToDate>false</LinksUpToDate>
  <CharactersWithSpaces>22898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2003-08-19T13:21:00Z</dcterms:created>
  <dc:creator>梁春宁</dc:creator>
  <cp:lastModifiedBy>招采中心2</cp:lastModifiedBy>
  <cp:lastPrinted>2024-11-14T08:11:00Z</cp:lastPrinted>
  <dcterms:modified xsi:type="dcterms:W3CDTF">2025-08-05T01:15:15Z</dcterms:modified>
  <dc:title>甲供材料结算管理办法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E50F2370795F41C7BB5FA6CDF2C5090C_13</vt:lpwstr>
  </property>
  <property fmtid="{D5CDD505-2E9C-101B-9397-08002B2CF9AE}" pid="4" name="KSOTemplateDocerSaveRecord">
    <vt:lpwstr>eyJoZGlkIjoiZTZlZWQxYjNiOGQwOWQ3ZDcwYzI4ZTE0M2ZhZmIzYTgiLCJ1c2VySWQiOiIzMjYyOTIwOTcifQ==</vt:lpwstr>
  </property>
</Properties>
</file>