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B920">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1188720</wp:posOffset>
            </wp:positionH>
            <wp:positionV relativeFrom="paragraph">
              <wp:posOffset>-217805</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65ACA94F">
      <w:pPr>
        <w:jc w:val="both"/>
        <w:rPr>
          <w:rFonts w:hint="eastAsia" w:ascii="仿宋" w:hAnsi="仿宋" w:eastAsia="仿宋" w:cs="仿宋"/>
          <w:color w:val="auto"/>
          <w:highlight w:val="none"/>
          <w:shd w:val="clear" w:color="auto" w:fill="auto"/>
          <w:lang w:val="en-US" w:eastAsia="zh-CN"/>
        </w:rPr>
      </w:pPr>
    </w:p>
    <w:p w14:paraId="01570225">
      <w:pPr>
        <w:jc w:val="both"/>
        <w:rPr>
          <w:rFonts w:hint="eastAsia" w:ascii="仿宋" w:hAnsi="仿宋" w:eastAsia="仿宋" w:cs="仿宋"/>
          <w:color w:val="auto"/>
          <w:highlight w:val="none"/>
          <w:shd w:val="clear" w:color="auto" w:fill="auto"/>
          <w:lang w:val="en-US" w:eastAsia="zh-CN"/>
        </w:rPr>
      </w:pPr>
    </w:p>
    <w:p w14:paraId="7661DCD5">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0" w:name="_Toc18534"/>
      <w:bookmarkStart w:id="1" w:name="_Toc12144"/>
      <w:bookmarkStart w:id="2" w:name="_Toc26019"/>
      <w:bookmarkStart w:id="3" w:name="_Toc30654"/>
      <w:bookmarkStart w:id="4" w:name="_Toc7024"/>
      <w:bookmarkStart w:id="5" w:name="_Toc20270"/>
    </w:p>
    <w:p w14:paraId="7C6A64C1">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6" w:name="_Toc8142"/>
      <w:r>
        <w:rPr>
          <w:rFonts w:hint="eastAsia" w:ascii="仿宋" w:hAnsi="仿宋" w:eastAsia="仿宋" w:cs="仿宋"/>
          <w:b/>
          <w:color w:val="auto"/>
          <w:sz w:val="48"/>
          <w:szCs w:val="48"/>
          <w:highlight w:val="none"/>
          <w:shd w:val="clear" w:color="auto" w:fill="auto"/>
          <w:lang w:val="en-US" w:eastAsia="zh-CN"/>
        </w:rPr>
        <w:t>玉林(福绵)节能环保产业园南部工业供水厂建设项目(二期5万吨/天)</w:t>
      </w:r>
      <w:bookmarkEnd w:id="6"/>
    </w:p>
    <w:p w14:paraId="0D7E1875">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7" w:name="_Toc25784"/>
      <w:r>
        <w:rPr>
          <w:rFonts w:hint="eastAsia" w:ascii="仿宋" w:hAnsi="仿宋" w:eastAsia="仿宋" w:cs="仿宋"/>
          <w:b/>
          <w:color w:val="auto"/>
          <w:sz w:val="48"/>
          <w:szCs w:val="48"/>
          <w:highlight w:val="none"/>
          <w:shd w:val="clear" w:color="auto" w:fill="auto"/>
          <w:lang w:val="en-US" w:eastAsia="zh-CN"/>
        </w:rPr>
        <w:t>玉林(福绵)节能环保产业园南部污水处理厂及中水回用设施建设项目(一期二标段5万吨天)</w:t>
      </w:r>
      <w:bookmarkEnd w:id="7"/>
    </w:p>
    <w:p w14:paraId="45D7C65D">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8" w:name="_Toc24006"/>
      <w:r>
        <w:rPr>
          <w:rFonts w:hint="eastAsia" w:ascii="仿宋" w:hAnsi="仿宋" w:eastAsia="仿宋" w:cs="仿宋"/>
          <w:b/>
          <w:color w:val="auto"/>
          <w:sz w:val="48"/>
          <w:szCs w:val="48"/>
          <w:highlight w:val="none"/>
          <w:shd w:val="clear" w:color="auto" w:fill="auto"/>
          <w:lang w:val="en-US" w:eastAsia="zh-CN"/>
        </w:rPr>
        <w:t>防水工程</w:t>
      </w:r>
      <w:bookmarkEnd w:id="8"/>
    </w:p>
    <w:p w14:paraId="75F2F76A">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9" w:name="_Toc24615"/>
      <w:r>
        <w:rPr>
          <w:rFonts w:hint="eastAsia" w:ascii="仿宋" w:hAnsi="仿宋" w:eastAsia="仿宋" w:cs="仿宋"/>
          <w:b/>
          <w:color w:val="auto"/>
          <w:sz w:val="48"/>
          <w:szCs w:val="48"/>
          <w:highlight w:val="none"/>
          <w:shd w:val="clear" w:color="auto" w:fill="auto"/>
          <w:lang w:val="en-US" w:eastAsia="zh-CN"/>
        </w:rPr>
        <w:t>施</w:t>
      </w:r>
      <w:bookmarkEnd w:id="0"/>
      <w:bookmarkEnd w:id="1"/>
      <w:bookmarkEnd w:id="2"/>
      <w:bookmarkEnd w:id="9"/>
      <w:bookmarkStart w:id="10" w:name="_Toc14075"/>
      <w:bookmarkStart w:id="11" w:name="_Toc1376"/>
      <w:bookmarkStart w:id="12" w:name="_Toc32225"/>
    </w:p>
    <w:p w14:paraId="57250AB6">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13" w:name="_Toc405"/>
      <w:r>
        <w:rPr>
          <w:rFonts w:hint="eastAsia" w:ascii="仿宋" w:hAnsi="仿宋" w:eastAsia="仿宋" w:cs="仿宋"/>
          <w:b/>
          <w:color w:val="auto"/>
          <w:sz w:val="48"/>
          <w:szCs w:val="48"/>
          <w:highlight w:val="none"/>
          <w:shd w:val="clear" w:color="auto" w:fill="auto"/>
          <w:lang w:val="en-US" w:eastAsia="zh-CN"/>
        </w:rPr>
        <w:t>工</w:t>
      </w:r>
      <w:bookmarkEnd w:id="10"/>
      <w:bookmarkEnd w:id="11"/>
      <w:bookmarkEnd w:id="12"/>
      <w:bookmarkEnd w:id="13"/>
      <w:bookmarkStart w:id="14" w:name="_Toc16327"/>
      <w:bookmarkStart w:id="15" w:name="_Toc17899"/>
      <w:bookmarkStart w:id="16" w:name="_Toc32406"/>
    </w:p>
    <w:p w14:paraId="4ABC54EA">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b/>
          <w:color w:val="auto"/>
          <w:sz w:val="48"/>
          <w:szCs w:val="48"/>
          <w:highlight w:val="none"/>
          <w:shd w:val="clear" w:color="auto" w:fill="auto"/>
          <w:lang w:val="en-US" w:eastAsia="zh-CN"/>
        </w:rPr>
      </w:pPr>
      <w:bookmarkStart w:id="17" w:name="_Toc4106"/>
      <w:r>
        <w:rPr>
          <w:rFonts w:hint="eastAsia" w:ascii="仿宋" w:hAnsi="仿宋" w:eastAsia="仿宋" w:cs="仿宋"/>
          <w:b/>
          <w:color w:val="auto"/>
          <w:sz w:val="48"/>
          <w:szCs w:val="48"/>
          <w:highlight w:val="none"/>
          <w:shd w:val="clear" w:color="auto" w:fill="auto"/>
          <w:lang w:val="en-US" w:eastAsia="zh-CN"/>
        </w:rPr>
        <w:t>合</w:t>
      </w:r>
      <w:bookmarkEnd w:id="14"/>
      <w:bookmarkEnd w:id="15"/>
      <w:bookmarkEnd w:id="16"/>
      <w:bookmarkEnd w:id="17"/>
      <w:bookmarkStart w:id="18" w:name="_Toc24850"/>
      <w:bookmarkStart w:id="19" w:name="_Toc9107"/>
      <w:bookmarkStart w:id="20" w:name="_Toc1931"/>
    </w:p>
    <w:p w14:paraId="06C97AC4">
      <w:pPr>
        <w:keepNext w:val="0"/>
        <w:keepLines w:val="0"/>
        <w:pageBreakBefore w:val="0"/>
        <w:widowControl w:val="0"/>
        <w:kinsoku/>
        <w:wordWrap/>
        <w:overflowPunct/>
        <w:topLinePunct w:val="0"/>
        <w:autoSpaceDE/>
        <w:autoSpaceDN/>
        <w:bidi w:val="0"/>
        <w:adjustRightInd/>
        <w:snapToGrid/>
        <w:spacing w:line="720" w:lineRule="auto"/>
        <w:jc w:val="center"/>
        <w:textAlignment w:val="auto"/>
        <w:outlineLvl w:val="0"/>
        <w:rPr>
          <w:rFonts w:hint="eastAsia" w:ascii="仿宋" w:hAnsi="仿宋" w:eastAsia="仿宋" w:cs="仿宋"/>
          <w:color w:val="auto"/>
          <w:sz w:val="48"/>
          <w:szCs w:val="48"/>
          <w:highlight w:val="none"/>
          <w:shd w:val="clear" w:color="auto" w:fill="auto"/>
          <w:lang w:val="en-US" w:eastAsia="zh-CN"/>
        </w:rPr>
      </w:pPr>
      <w:bookmarkStart w:id="21" w:name="_Toc1822"/>
      <w:r>
        <w:rPr>
          <w:rFonts w:hint="eastAsia" w:ascii="仿宋" w:hAnsi="仿宋" w:eastAsia="仿宋" w:cs="仿宋"/>
          <w:b/>
          <w:color w:val="auto"/>
          <w:sz w:val="48"/>
          <w:szCs w:val="48"/>
          <w:highlight w:val="none"/>
          <w:shd w:val="clear" w:color="auto" w:fill="auto"/>
          <w:lang w:val="en-US" w:eastAsia="zh-CN"/>
        </w:rPr>
        <w:t>同</w:t>
      </w:r>
      <w:bookmarkEnd w:id="3"/>
      <w:bookmarkEnd w:id="4"/>
      <w:bookmarkEnd w:id="5"/>
      <w:bookmarkEnd w:id="18"/>
      <w:bookmarkEnd w:id="19"/>
      <w:bookmarkEnd w:id="20"/>
      <w:bookmarkEnd w:id="21"/>
    </w:p>
    <w:p w14:paraId="01F405D2">
      <w:pPr>
        <w:jc w:val="center"/>
        <w:rPr>
          <w:rFonts w:hint="eastAsia" w:ascii="仿宋" w:hAnsi="仿宋" w:eastAsia="仿宋" w:cs="仿宋"/>
          <w:b/>
          <w:bCs/>
          <w:color w:val="auto"/>
          <w:sz w:val="24"/>
          <w:szCs w:val="28"/>
          <w:highlight w:val="none"/>
          <w:shd w:val="clear" w:color="auto" w:fill="auto"/>
          <w:lang w:val="en-US" w:eastAsia="zh-CN"/>
        </w:rPr>
      </w:pPr>
    </w:p>
    <w:p w14:paraId="2AB2F78F">
      <w:pPr>
        <w:jc w:val="both"/>
        <w:rPr>
          <w:rFonts w:hint="eastAsia" w:ascii="仿宋" w:hAnsi="仿宋" w:eastAsia="仿宋" w:cs="仿宋"/>
          <w:color w:val="auto"/>
          <w:highlight w:val="none"/>
          <w:shd w:val="clear" w:color="auto" w:fill="auto"/>
          <w:lang w:val="en-US" w:eastAsia="zh-CN"/>
        </w:rPr>
      </w:pPr>
    </w:p>
    <w:p w14:paraId="3A82B140">
      <w:pPr>
        <w:jc w:val="both"/>
        <w:rPr>
          <w:rFonts w:hint="eastAsia" w:ascii="仿宋" w:hAnsi="仿宋" w:eastAsia="仿宋" w:cs="仿宋"/>
          <w:color w:val="auto"/>
          <w:highlight w:val="none"/>
          <w:shd w:val="clear" w:color="auto" w:fill="auto"/>
          <w:lang w:val="en-US" w:eastAsia="zh-CN"/>
        </w:rPr>
      </w:pPr>
    </w:p>
    <w:p w14:paraId="7BBB9A3F">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auto"/>
          <w:sz w:val="28"/>
          <w:szCs w:val="28"/>
          <w:highlight w:val="none"/>
          <w:lang w:val="en-US" w:eastAsia="zh-CN"/>
        </w:rPr>
        <w:t xml:space="preserve">  </w:t>
      </w:r>
    </w:p>
    <w:p w14:paraId="1F6A1894">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5596EEEA">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14:paraId="5F749670">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753C4D06">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2"/>
          <w:szCs w:val="24"/>
          <w:highlight w:val="none"/>
          <w:lang w:val="en-US" w:eastAsia="zh-CN" w:bidi="ar-SA"/>
        </w:rPr>
      </w:sdtEndPr>
      <w:sdtContent>
        <w:p w14:paraId="5C1BBEF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rFonts w:hint="eastAsia" w:ascii="仿宋" w:hAnsi="仿宋" w:eastAsia="仿宋" w:cs="仿宋"/>
              <w:color w:val="auto"/>
              <w:kern w:val="2"/>
              <w:sz w:val="21"/>
              <w:szCs w:val="24"/>
              <w:highlight w:val="none"/>
              <w:lang w:val="en-US" w:eastAsia="zh-CN" w:bidi="ar-SA"/>
            </w:rPr>
          </w:pPr>
          <w:bookmarkStart w:id="22" w:name="_Toc21482"/>
          <w:r>
            <w:rPr>
              <w:rFonts w:hint="eastAsia" w:ascii="仿宋" w:hAnsi="仿宋" w:eastAsia="仿宋" w:cs="仿宋"/>
              <w:b/>
              <w:bCs/>
              <w:color w:val="auto"/>
              <w:sz w:val="32"/>
              <w:szCs w:val="32"/>
              <w:highlight w:val="none"/>
            </w:rPr>
            <w:t>目录</w:t>
          </w:r>
          <w:r>
            <w:rPr>
              <w:rFonts w:hint="eastAsia" w:ascii="仿宋" w:hAnsi="仿宋" w:eastAsia="仿宋" w:cs="仿宋"/>
              <w:color w:val="auto"/>
              <w:sz w:val="22"/>
              <w:szCs w:val="24"/>
              <w:highlight w:val="none"/>
            </w:rPr>
            <w:fldChar w:fldCharType="begin"/>
          </w:r>
          <w:r>
            <w:rPr>
              <w:rFonts w:hint="eastAsia" w:ascii="仿宋" w:hAnsi="仿宋" w:eastAsia="仿宋" w:cs="仿宋"/>
              <w:color w:val="auto"/>
              <w:sz w:val="22"/>
              <w:szCs w:val="24"/>
              <w:highlight w:val="none"/>
            </w:rPr>
            <w:instrText xml:space="preserve">TOC \o "1-2" \h \u </w:instrText>
          </w:r>
          <w:r>
            <w:rPr>
              <w:rFonts w:hint="eastAsia" w:ascii="仿宋" w:hAnsi="仿宋" w:eastAsia="仿宋" w:cs="仿宋"/>
              <w:color w:val="auto"/>
              <w:sz w:val="22"/>
              <w:szCs w:val="24"/>
              <w:highlight w:val="none"/>
            </w:rPr>
            <w:fldChar w:fldCharType="separate"/>
          </w:r>
        </w:p>
        <w:p w14:paraId="14155653">
          <w:pPr>
            <w:pStyle w:val="10"/>
            <w:tabs>
              <w:tab w:val="right" w:leader="dot" w:pos="8820"/>
            </w:tabs>
          </w:pPr>
        </w:p>
        <w:p w14:paraId="32EEC0E8">
          <w:pPr>
            <w:pStyle w:val="10"/>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_Toc2681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kern w:val="0"/>
              <w:sz w:val="24"/>
              <w:szCs w:val="24"/>
              <w:shd w:val="clear" w:fill="auto"/>
              <w:lang w:val="en-US" w:eastAsia="zh-CN"/>
            </w:rPr>
            <w:t xml:space="preserve">第一部分 </w:t>
          </w:r>
          <w:r>
            <w:rPr>
              <w:rFonts w:hint="eastAsia" w:ascii="仿宋" w:hAnsi="仿宋" w:eastAsia="仿宋" w:cs="仿宋"/>
              <w:bCs/>
              <w:i w:val="0"/>
              <w:iCs w:val="0"/>
              <w:kern w:val="0"/>
              <w:sz w:val="24"/>
              <w:szCs w:val="24"/>
              <w:highlight w:val="none"/>
              <w:shd w:val="clear" w:color="auto" w:fill="auto"/>
              <w:lang w:val="en-US" w:eastAsia="zh-CN"/>
            </w:rPr>
            <w:t>合同专用条款</w:t>
          </w:r>
          <w:r>
            <w:rPr>
              <w:sz w:val="24"/>
              <w:szCs w:val="24"/>
            </w:rPr>
            <w:tab/>
          </w:r>
          <w:r>
            <w:rPr>
              <w:sz w:val="24"/>
              <w:szCs w:val="24"/>
            </w:rPr>
            <w:fldChar w:fldCharType="begin"/>
          </w:r>
          <w:r>
            <w:rPr>
              <w:sz w:val="24"/>
              <w:szCs w:val="24"/>
            </w:rPr>
            <w:instrText xml:space="preserve"> PAGEREF _Toc2681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4888192E">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_Toc5845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第一章</w:t>
          </w:r>
          <w:r>
            <w:rPr>
              <w:rFonts w:hint="eastAsia" w:ascii="仿宋" w:hAnsi="仿宋" w:eastAsia="仿宋" w:cs="仿宋"/>
              <w:bCs/>
              <w:i w:val="0"/>
              <w:iCs w:val="0"/>
              <w:sz w:val="24"/>
              <w:szCs w:val="24"/>
              <w:highlight w:val="none"/>
              <w:shd w:val="clear" w:color="auto" w:fill="auto"/>
            </w:rPr>
            <w:t>、项目概况</w:t>
          </w:r>
          <w:r>
            <w:rPr>
              <w:sz w:val="24"/>
              <w:szCs w:val="24"/>
            </w:rPr>
            <w:tab/>
          </w:r>
          <w:r>
            <w:rPr>
              <w:sz w:val="24"/>
              <w:szCs w:val="24"/>
            </w:rPr>
            <w:fldChar w:fldCharType="begin"/>
          </w:r>
          <w:r>
            <w:rPr>
              <w:sz w:val="24"/>
              <w:szCs w:val="24"/>
            </w:rPr>
            <w:instrText xml:space="preserve"> PAGEREF _Toc5845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6E29BF1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_Toc32234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第二章、承包方式</w:t>
          </w:r>
          <w:r>
            <w:rPr>
              <w:sz w:val="24"/>
              <w:szCs w:val="24"/>
            </w:rPr>
            <w:tab/>
          </w:r>
          <w:r>
            <w:rPr>
              <w:sz w:val="24"/>
              <w:szCs w:val="24"/>
            </w:rPr>
            <w:fldChar w:fldCharType="begin"/>
          </w:r>
          <w:r>
            <w:rPr>
              <w:sz w:val="24"/>
              <w:szCs w:val="24"/>
            </w:rPr>
            <w:instrText xml:space="preserve"> PAGEREF _Toc32234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09E16B40">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_Toc30176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第三章、承包范围及主要工程内容</w:t>
          </w:r>
          <w:r>
            <w:rPr>
              <w:sz w:val="24"/>
              <w:szCs w:val="24"/>
            </w:rPr>
            <w:tab/>
          </w:r>
          <w:r>
            <w:rPr>
              <w:sz w:val="24"/>
              <w:szCs w:val="24"/>
            </w:rPr>
            <w:fldChar w:fldCharType="begin"/>
          </w:r>
          <w:r>
            <w:rPr>
              <w:sz w:val="24"/>
              <w:szCs w:val="24"/>
            </w:rPr>
            <w:instrText xml:space="preserve"> PAGEREF _Toc30176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09D806D5">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_Toc20813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第四章、工期</w:t>
          </w:r>
          <w:r>
            <w:rPr>
              <w:sz w:val="24"/>
              <w:szCs w:val="24"/>
            </w:rPr>
            <w:tab/>
          </w:r>
          <w:r>
            <w:rPr>
              <w:sz w:val="24"/>
              <w:szCs w:val="24"/>
            </w:rPr>
            <w:fldChar w:fldCharType="begin"/>
          </w:r>
          <w:r>
            <w:rPr>
              <w:sz w:val="24"/>
              <w:szCs w:val="24"/>
            </w:rPr>
            <w:instrText xml:space="preserve"> PAGEREF _Toc20813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rPr>
            <w:fldChar w:fldCharType="end"/>
          </w:r>
        </w:p>
        <w:p w14:paraId="4C2713C6">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_Toc21579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第五章、工程质量标准</w:t>
          </w:r>
          <w:r>
            <w:rPr>
              <w:sz w:val="24"/>
              <w:szCs w:val="24"/>
            </w:rPr>
            <w:tab/>
          </w:r>
          <w:r>
            <w:rPr>
              <w:sz w:val="24"/>
              <w:szCs w:val="24"/>
            </w:rPr>
            <w:fldChar w:fldCharType="begin"/>
          </w:r>
          <w:r>
            <w:rPr>
              <w:sz w:val="24"/>
              <w:szCs w:val="24"/>
            </w:rPr>
            <w:instrText xml:space="preserve"> PAGEREF _Toc21579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rPr>
            <w:fldChar w:fldCharType="end"/>
          </w:r>
        </w:p>
        <w:p w14:paraId="49CBDB4F">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_Toc11761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第六章、合同价款</w:t>
          </w:r>
          <w:r>
            <w:rPr>
              <w:sz w:val="24"/>
              <w:szCs w:val="24"/>
            </w:rPr>
            <w:tab/>
          </w:r>
          <w:r>
            <w:rPr>
              <w:sz w:val="24"/>
              <w:szCs w:val="24"/>
            </w:rPr>
            <w:fldChar w:fldCharType="begin"/>
          </w:r>
          <w:r>
            <w:rPr>
              <w:sz w:val="24"/>
              <w:szCs w:val="24"/>
            </w:rPr>
            <w:instrText xml:space="preserve"> PAGEREF _Toc11761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highlight w:val="none"/>
            </w:rPr>
            <w:fldChar w:fldCharType="end"/>
          </w:r>
        </w:p>
        <w:p w14:paraId="55305CA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_Toc20947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第七章、计量计价方式及结算方式</w:t>
          </w:r>
          <w:r>
            <w:rPr>
              <w:sz w:val="24"/>
              <w:szCs w:val="24"/>
            </w:rPr>
            <w:tab/>
          </w:r>
          <w:r>
            <w:rPr>
              <w:sz w:val="24"/>
              <w:szCs w:val="24"/>
            </w:rPr>
            <w:fldChar w:fldCharType="begin"/>
          </w:r>
          <w:r>
            <w:rPr>
              <w:sz w:val="24"/>
              <w:szCs w:val="24"/>
            </w:rPr>
            <w:instrText xml:space="preserve"> PAGEREF _Toc20947 \h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highlight w:val="none"/>
            </w:rPr>
            <w:fldChar w:fldCharType="end"/>
          </w:r>
        </w:p>
        <w:p w14:paraId="58AA0459">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_Toc5652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第八章、付款方式（每个组团独立付款）</w:t>
          </w:r>
          <w:r>
            <w:rPr>
              <w:sz w:val="24"/>
              <w:szCs w:val="24"/>
            </w:rPr>
            <w:tab/>
          </w:r>
          <w:r>
            <w:rPr>
              <w:sz w:val="24"/>
              <w:szCs w:val="24"/>
            </w:rPr>
            <w:fldChar w:fldCharType="begin"/>
          </w:r>
          <w:r>
            <w:rPr>
              <w:sz w:val="24"/>
              <w:szCs w:val="24"/>
            </w:rPr>
            <w:instrText xml:space="preserve"> PAGEREF _Toc5652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highlight w:val="none"/>
            </w:rPr>
            <w:fldChar w:fldCharType="end"/>
          </w:r>
        </w:p>
        <w:p w14:paraId="2EDB0729">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_Toc32544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第九章、双方责任和权利</w:t>
          </w:r>
          <w:r>
            <w:rPr>
              <w:sz w:val="24"/>
              <w:szCs w:val="24"/>
            </w:rPr>
            <w:tab/>
          </w:r>
          <w:r>
            <w:rPr>
              <w:sz w:val="24"/>
              <w:szCs w:val="24"/>
            </w:rPr>
            <w:fldChar w:fldCharType="begin"/>
          </w:r>
          <w:r>
            <w:rPr>
              <w:sz w:val="24"/>
              <w:szCs w:val="24"/>
            </w:rPr>
            <w:instrText xml:space="preserve"> PAGEREF _Toc32544 \h </w:instrText>
          </w:r>
          <w:r>
            <w:rPr>
              <w:sz w:val="24"/>
              <w:szCs w:val="24"/>
            </w:rPr>
            <w:fldChar w:fldCharType="separate"/>
          </w:r>
          <w:r>
            <w:rPr>
              <w:sz w:val="24"/>
              <w:szCs w:val="24"/>
            </w:rPr>
            <w:t>10</w:t>
          </w:r>
          <w:r>
            <w:rPr>
              <w:sz w:val="24"/>
              <w:szCs w:val="24"/>
            </w:rPr>
            <w:fldChar w:fldCharType="end"/>
          </w:r>
          <w:r>
            <w:rPr>
              <w:rFonts w:hint="eastAsia" w:ascii="仿宋" w:hAnsi="仿宋" w:eastAsia="仿宋" w:cs="仿宋"/>
              <w:color w:val="auto"/>
              <w:sz w:val="24"/>
              <w:szCs w:val="24"/>
              <w:highlight w:val="none"/>
            </w:rPr>
            <w:fldChar w:fldCharType="end"/>
          </w:r>
        </w:p>
        <w:p w14:paraId="7216E0C3">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_Toc11332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第十章、甲供材料设备</w:t>
          </w:r>
          <w:r>
            <w:rPr>
              <w:sz w:val="24"/>
              <w:szCs w:val="24"/>
            </w:rPr>
            <w:tab/>
          </w:r>
          <w:r>
            <w:rPr>
              <w:sz w:val="24"/>
              <w:szCs w:val="24"/>
            </w:rPr>
            <w:fldChar w:fldCharType="begin"/>
          </w:r>
          <w:r>
            <w:rPr>
              <w:sz w:val="24"/>
              <w:szCs w:val="24"/>
            </w:rPr>
            <w:instrText xml:space="preserve"> PAGEREF _Toc11332 \h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highlight w:val="none"/>
            </w:rPr>
            <w:fldChar w:fldCharType="end"/>
          </w:r>
        </w:p>
        <w:p w14:paraId="57432484">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_Toc16835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第十一章、验收及保修</w:t>
          </w:r>
          <w:r>
            <w:rPr>
              <w:sz w:val="24"/>
              <w:szCs w:val="24"/>
            </w:rPr>
            <w:tab/>
          </w:r>
          <w:r>
            <w:rPr>
              <w:sz w:val="24"/>
              <w:szCs w:val="24"/>
            </w:rPr>
            <w:fldChar w:fldCharType="begin"/>
          </w:r>
          <w:r>
            <w:rPr>
              <w:sz w:val="24"/>
              <w:szCs w:val="24"/>
            </w:rPr>
            <w:instrText xml:space="preserve"> PAGEREF _Toc16835 \h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highlight w:val="none"/>
            </w:rPr>
            <w:fldChar w:fldCharType="end"/>
          </w:r>
        </w:p>
        <w:p w14:paraId="5E2D90B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_Toc17140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第十二章、其他</w:t>
          </w:r>
          <w:r>
            <w:rPr>
              <w:sz w:val="24"/>
              <w:szCs w:val="24"/>
            </w:rPr>
            <w:tab/>
          </w:r>
          <w:r>
            <w:rPr>
              <w:sz w:val="24"/>
              <w:szCs w:val="24"/>
            </w:rPr>
            <w:fldChar w:fldCharType="begin"/>
          </w:r>
          <w:r>
            <w:rPr>
              <w:sz w:val="24"/>
              <w:szCs w:val="24"/>
            </w:rPr>
            <w:instrText xml:space="preserve"> PAGEREF _Toc17140 \h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highlight w:val="none"/>
            </w:rPr>
            <w:fldChar w:fldCharType="end"/>
          </w:r>
        </w:p>
        <w:p w14:paraId="7A19A440">
          <w:pPr>
            <w:pStyle w:val="10"/>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_Toc28934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kern w:val="0"/>
              <w:sz w:val="24"/>
              <w:szCs w:val="24"/>
              <w:shd w:val="clear" w:fill="auto"/>
              <w:lang w:val="en-US" w:eastAsia="zh-CN"/>
            </w:rPr>
            <w:t xml:space="preserve">第二部分 </w:t>
          </w:r>
          <w:r>
            <w:rPr>
              <w:rFonts w:hint="eastAsia" w:ascii="仿宋" w:hAnsi="仿宋" w:eastAsia="仿宋" w:cs="仿宋"/>
              <w:bCs/>
              <w:i w:val="0"/>
              <w:iCs w:val="0"/>
              <w:kern w:val="0"/>
              <w:sz w:val="24"/>
              <w:szCs w:val="24"/>
              <w:highlight w:val="none"/>
              <w:shd w:val="clear" w:color="auto" w:fill="auto"/>
              <w:lang w:val="en-US" w:eastAsia="zh-CN"/>
            </w:rPr>
            <w:t>合同通用条款</w:t>
          </w:r>
          <w:r>
            <w:rPr>
              <w:sz w:val="24"/>
              <w:szCs w:val="24"/>
            </w:rPr>
            <w:tab/>
          </w:r>
          <w:r>
            <w:rPr>
              <w:sz w:val="24"/>
              <w:szCs w:val="24"/>
            </w:rPr>
            <w:fldChar w:fldCharType="begin"/>
          </w:r>
          <w:r>
            <w:rPr>
              <w:sz w:val="24"/>
              <w:szCs w:val="24"/>
            </w:rPr>
            <w:instrText xml:space="preserve"> PAGEREF _Toc28934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rPr>
            <w:fldChar w:fldCharType="end"/>
          </w:r>
        </w:p>
        <w:p w14:paraId="374AF4F0">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_Toc11725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第一章、承包方式</w:t>
          </w:r>
          <w:r>
            <w:rPr>
              <w:sz w:val="24"/>
              <w:szCs w:val="24"/>
            </w:rPr>
            <w:tab/>
          </w:r>
          <w:r>
            <w:rPr>
              <w:sz w:val="24"/>
              <w:szCs w:val="24"/>
            </w:rPr>
            <w:fldChar w:fldCharType="begin"/>
          </w:r>
          <w:r>
            <w:rPr>
              <w:sz w:val="24"/>
              <w:szCs w:val="24"/>
            </w:rPr>
            <w:instrText xml:space="preserve"> PAGEREF _Toc11725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rPr>
            <w:fldChar w:fldCharType="end"/>
          </w:r>
        </w:p>
        <w:p w14:paraId="229C9B85">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_Toc20145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第二章、承包范围及主要工程内容</w:t>
          </w:r>
          <w:r>
            <w:rPr>
              <w:sz w:val="24"/>
              <w:szCs w:val="24"/>
            </w:rPr>
            <w:tab/>
          </w:r>
          <w:r>
            <w:rPr>
              <w:sz w:val="24"/>
              <w:szCs w:val="24"/>
            </w:rPr>
            <w:fldChar w:fldCharType="begin"/>
          </w:r>
          <w:r>
            <w:rPr>
              <w:sz w:val="24"/>
              <w:szCs w:val="24"/>
            </w:rPr>
            <w:instrText xml:space="preserve"> PAGEREF _Toc20145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rPr>
            <w:fldChar w:fldCharType="end"/>
          </w:r>
        </w:p>
        <w:p w14:paraId="5748697F">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_Toc8654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第三章、工期</w:t>
          </w:r>
          <w:r>
            <w:rPr>
              <w:sz w:val="24"/>
              <w:szCs w:val="24"/>
            </w:rPr>
            <w:tab/>
          </w:r>
          <w:r>
            <w:rPr>
              <w:sz w:val="24"/>
              <w:szCs w:val="24"/>
            </w:rPr>
            <w:fldChar w:fldCharType="begin"/>
          </w:r>
          <w:r>
            <w:rPr>
              <w:sz w:val="24"/>
              <w:szCs w:val="24"/>
            </w:rPr>
            <w:instrText xml:space="preserve"> PAGEREF _Toc8654 \h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highlight w:val="none"/>
            </w:rPr>
            <w:fldChar w:fldCharType="end"/>
          </w:r>
        </w:p>
        <w:p w14:paraId="78FDC750">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_Toc5328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第四章、工程质量标准</w:t>
          </w:r>
          <w:r>
            <w:rPr>
              <w:sz w:val="24"/>
              <w:szCs w:val="24"/>
            </w:rPr>
            <w:tab/>
          </w:r>
          <w:r>
            <w:rPr>
              <w:sz w:val="24"/>
              <w:szCs w:val="24"/>
            </w:rPr>
            <w:fldChar w:fldCharType="begin"/>
          </w:r>
          <w:r>
            <w:rPr>
              <w:sz w:val="24"/>
              <w:szCs w:val="24"/>
            </w:rPr>
            <w:instrText xml:space="preserve"> PAGEREF _Toc5328 \h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highlight w:val="none"/>
            </w:rPr>
            <w:fldChar w:fldCharType="end"/>
          </w:r>
        </w:p>
        <w:p w14:paraId="683EBF68">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_Toc3502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第五章、合同价款</w:t>
          </w:r>
          <w:r>
            <w:rPr>
              <w:sz w:val="24"/>
              <w:szCs w:val="24"/>
            </w:rPr>
            <w:tab/>
          </w:r>
          <w:r>
            <w:rPr>
              <w:sz w:val="24"/>
              <w:szCs w:val="24"/>
            </w:rPr>
            <w:fldChar w:fldCharType="begin"/>
          </w:r>
          <w:r>
            <w:rPr>
              <w:sz w:val="24"/>
              <w:szCs w:val="24"/>
            </w:rPr>
            <w:instrText xml:space="preserve"> PAGEREF _Toc3502 \h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highlight w:val="none"/>
            </w:rPr>
            <w:fldChar w:fldCharType="end"/>
          </w:r>
        </w:p>
        <w:p w14:paraId="4795926C">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_Toc10388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第六章、计量计价方式及结算方式</w:t>
          </w:r>
          <w:r>
            <w:rPr>
              <w:sz w:val="24"/>
              <w:szCs w:val="24"/>
            </w:rPr>
            <w:tab/>
          </w:r>
          <w:r>
            <w:rPr>
              <w:sz w:val="24"/>
              <w:szCs w:val="24"/>
            </w:rPr>
            <w:fldChar w:fldCharType="begin"/>
          </w:r>
          <w:r>
            <w:rPr>
              <w:sz w:val="24"/>
              <w:szCs w:val="24"/>
            </w:rPr>
            <w:instrText xml:space="preserve"> PAGEREF _Toc10388 \h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highlight w:val="none"/>
            </w:rPr>
            <w:fldChar w:fldCharType="end"/>
          </w:r>
        </w:p>
        <w:p w14:paraId="42CB1015">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_Toc5584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第七章、付款方式</w:t>
          </w:r>
          <w:r>
            <w:rPr>
              <w:sz w:val="24"/>
              <w:szCs w:val="24"/>
            </w:rPr>
            <w:tab/>
          </w:r>
          <w:r>
            <w:rPr>
              <w:sz w:val="24"/>
              <w:szCs w:val="24"/>
            </w:rPr>
            <w:fldChar w:fldCharType="begin"/>
          </w:r>
          <w:r>
            <w:rPr>
              <w:sz w:val="24"/>
              <w:szCs w:val="24"/>
            </w:rPr>
            <w:instrText xml:space="preserve"> PAGEREF _Toc5584 \h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highlight w:val="none"/>
            </w:rPr>
            <w:fldChar w:fldCharType="end"/>
          </w:r>
        </w:p>
        <w:p w14:paraId="0A3ABCA1">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_Toc26884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第八章、双方责任和权利</w:t>
          </w:r>
          <w:r>
            <w:rPr>
              <w:sz w:val="24"/>
              <w:szCs w:val="24"/>
            </w:rPr>
            <w:tab/>
          </w:r>
          <w:r>
            <w:rPr>
              <w:sz w:val="24"/>
              <w:szCs w:val="24"/>
            </w:rPr>
            <w:fldChar w:fldCharType="begin"/>
          </w:r>
          <w:r>
            <w:rPr>
              <w:sz w:val="24"/>
              <w:szCs w:val="24"/>
            </w:rPr>
            <w:instrText xml:space="preserve"> PAGEREF _Toc26884 \h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highlight w:val="none"/>
            </w:rPr>
            <w:fldChar w:fldCharType="end"/>
          </w:r>
        </w:p>
        <w:p w14:paraId="68F35DCF">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_Toc24736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第九章、安全生产、文明施工要求</w:t>
          </w:r>
          <w:r>
            <w:rPr>
              <w:sz w:val="24"/>
              <w:szCs w:val="24"/>
            </w:rPr>
            <w:tab/>
          </w:r>
          <w:r>
            <w:rPr>
              <w:sz w:val="24"/>
              <w:szCs w:val="24"/>
            </w:rPr>
            <w:fldChar w:fldCharType="begin"/>
          </w:r>
          <w:r>
            <w:rPr>
              <w:sz w:val="24"/>
              <w:szCs w:val="24"/>
            </w:rPr>
            <w:instrText xml:space="preserve"> PAGEREF _Toc24736 \h </w:instrText>
          </w:r>
          <w:r>
            <w:rPr>
              <w:sz w:val="24"/>
              <w:szCs w:val="24"/>
            </w:rPr>
            <w:fldChar w:fldCharType="separate"/>
          </w:r>
          <w:r>
            <w:rPr>
              <w:sz w:val="24"/>
              <w:szCs w:val="24"/>
            </w:rPr>
            <w:t>33</w:t>
          </w:r>
          <w:r>
            <w:rPr>
              <w:sz w:val="24"/>
              <w:szCs w:val="24"/>
            </w:rPr>
            <w:fldChar w:fldCharType="end"/>
          </w:r>
          <w:r>
            <w:rPr>
              <w:rFonts w:hint="eastAsia" w:ascii="仿宋" w:hAnsi="仿宋" w:eastAsia="仿宋" w:cs="仿宋"/>
              <w:color w:val="auto"/>
              <w:sz w:val="24"/>
              <w:szCs w:val="24"/>
              <w:highlight w:val="none"/>
            </w:rPr>
            <w:fldChar w:fldCharType="end"/>
          </w:r>
        </w:p>
        <w:p w14:paraId="3B113EFF">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_Toc8275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第十章、甲供材料设备</w:t>
          </w:r>
          <w:r>
            <w:rPr>
              <w:sz w:val="24"/>
              <w:szCs w:val="24"/>
            </w:rPr>
            <w:tab/>
          </w:r>
          <w:r>
            <w:rPr>
              <w:sz w:val="24"/>
              <w:szCs w:val="24"/>
            </w:rPr>
            <w:fldChar w:fldCharType="begin"/>
          </w:r>
          <w:r>
            <w:rPr>
              <w:sz w:val="24"/>
              <w:szCs w:val="24"/>
            </w:rPr>
            <w:instrText xml:space="preserve"> PAGEREF _Toc8275 \h </w:instrText>
          </w:r>
          <w:r>
            <w:rPr>
              <w:sz w:val="24"/>
              <w:szCs w:val="24"/>
            </w:rPr>
            <w:fldChar w:fldCharType="separate"/>
          </w:r>
          <w:r>
            <w:rPr>
              <w:sz w:val="24"/>
              <w:szCs w:val="24"/>
            </w:rPr>
            <w:t>34</w:t>
          </w:r>
          <w:r>
            <w:rPr>
              <w:sz w:val="24"/>
              <w:szCs w:val="24"/>
            </w:rPr>
            <w:fldChar w:fldCharType="end"/>
          </w:r>
          <w:r>
            <w:rPr>
              <w:rFonts w:hint="eastAsia" w:ascii="仿宋" w:hAnsi="仿宋" w:eastAsia="仿宋" w:cs="仿宋"/>
              <w:color w:val="auto"/>
              <w:sz w:val="24"/>
              <w:szCs w:val="24"/>
              <w:highlight w:val="none"/>
            </w:rPr>
            <w:fldChar w:fldCharType="end"/>
          </w:r>
        </w:p>
        <w:p w14:paraId="59C6120C">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_Toc16151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第十一章、验收及保修</w:t>
          </w:r>
          <w:r>
            <w:rPr>
              <w:sz w:val="24"/>
              <w:szCs w:val="24"/>
            </w:rPr>
            <w:tab/>
          </w:r>
          <w:r>
            <w:rPr>
              <w:sz w:val="24"/>
              <w:szCs w:val="24"/>
            </w:rPr>
            <w:fldChar w:fldCharType="begin"/>
          </w:r>
          <w:r>
            <w:rPr>
              <w:sz w:val="24"/>
              <w:szCs w:val="24"/>
            </w:rPr>
            <w:instrText xml:space="preserve"> PAGEREF _Toc16151 \h </w:instrText>
          </w:r>
          <w:r>
            <w:rPr>
              <w:sz w:val="24"/>
              <w:szCs w:val="24"/>
            </w:rPr>
            <w:fldChar w:fldCharType="separate"/>
          </w:r>
          <w:r>
            <w:rPr>
              <w:sz w:val="24"/>
              <w:szCs w:val="24"/>
            </w:rPr>
            <w:t>36</w:t>
          </w:r>
          <w:r>
            <w:rPr>
              <w:sz w:val="24"/>
              <w:szCs w:val="24"/>
            </w:rPr>
            <w:fldChar w:fldCharType="end"/>
          </w:r>
          <w:r>
            <w:rPr>
              <w:rFonts w:hint="eastAsia" w:ascii="仿宋" w:hAnsi="仿宋" w:eastAsia="仿宋" w:cs="仿宋"/>
              <w:color w:val="auto"/>
              <w:sz w:val="24"/>
              <w:szCs w:val="24"/>
              <w:highlight w:val="none"/>
            </w:rPr>
            <w:fldChar w:fldCharType="end"/>
          </w:r>
        </w:p>
        <w:p w14:paraId="4D21AC3C">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_Toc5342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第十二章、保险</w:t>
          </w:r>
          <w:r>
            <w:rPr>
              <w:sz w:val="24"/>
              <w:szCs w:val="24"/>
            </w:rPr>
            <w:tab/>
          </w:r>
          <w:r>
            <w:rPr>
              <w:sz w:val="24"/>
              <w:szCs w:val="24"/>
            </w:rPr>
            <w:fldChar w:fldCharType="begin"/>
          </w:r>
          <w:r>
            <w:rPr>
              <w:sz w:val="24"/>
              <w:szCs w:val="24"/>
            </w:rPr>
            <w:instrText xml:space="preserve"> PAGEREF _Toc5342 \h </w:instrText>
          </w:r>
          <w:r>
            <w:rPr>
              <w:sz w:val="24"/>
              <w:szCs w:val="24"/>
            </w:rPr>
            <w:fldChar w:fldCharType="separate"/>
          </w:r>
          <w:r>
            <w:rPr>
              <w:sz w:val="24"/>
              <w:szCs w:val="24"/>
            </w:rPr>
            <w:t>36</w:t>
          </w:r>
          <w:r>
            <w:rPr>
              <w:sz w:val="24"/>
              <w:szCs w:val="24"/>
            </w:rPr>
            <w:fldChar w:fldCharType="end"/>
          </w:r>
          <w:r>
            <w:rPr>
              <w:rFonts w:hint="eastAsia" w:ascii="仿宋" w:hAnsi="仿宋" w:eastAsia="仿宋" w:cs="仿宋"/>
              <w:color w:val="auto"/>
              <w:sz w:val="24"/>
              <w:szCs w:val="24"/>
              <w:highlight w:val="none"/>
            </w:rPr>
            <w:fldChar w:fldCharType="end"/>
          </w:r>
        </w:p>
        <w:p w14:paraId="4951E9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_Toc23107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第十三章、奖罚条款</w:t>
          </w:r>
          <w:r>
            <w:rPr>
              <w:sz w:val="24"/>
              <w:szCs w:val="24"/>
            </w:rPr>
            <w:tab/>
          </w:r>
          <w:r>
            <w:rPr>
              <w:sz w:val="24"/>
              <w:szCs w:val="24"/>
            </w:rPr>
            <w:fldChar w:fldCharType="begin"/>
          </w:r>
          <w:r>
            <w:rPr>
              <w:sz w:val="24"/>
              <w:szCs w:val="24"/>
            </w:rPr>
            <w:instrText xml:space="preserve"> PAGEREF _Toc23107 \h </w:instrText>
          </w:r>
          <w:r>
            <w:rPr>
              <w:sz w:val="24"/>
              <w:szCs w:val="24"/>
            </w:rPr>
            <w:fldChar w:fldCharType="separate"/>
          </w:r>
          <w:r>
            <w:rPr>
              <w:sz w:val="24"/>
              <w:szCs w:val="24"/>
            </w:rPr>
            <w:t>37</w:t>
          </w:r>
          <w:r>
            <w:rPr>
              <w:sz w:val="24"/>
              <w:szCs w:val="24"/>
            </w:rPr>
            <w:fldChar w:fldCharType="end"/>
          </w:r>
          <w:r>
            <w:rPr>
              <w:rFonts w:hint="eastAsia" w:ascii="仿宋" w:hAnsi="仿宋" w:eastAsia="仿宋" w:cs="仿宋"/>
              <w:color w:val="auto"/>
              <w:sz w:val="24"/>
              <w:szCs w:val="24"/>
              <w:highlight w:val="none"/>
            </w:rPr>
            <w:fldChar w:fldCharType="end"/>
          </w:r>
        </w:p>
        <w:p w14:paraId="03E31A32">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_Toc24345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第十四章、违约条款</w:t>
          </w:r>
          <w:r>
            <w:rPr>
              <w:sz w:val="24"/>
              <w:szCs w:val="24"/>
            </w:rPr>
            <w:tab/>
          </w:r>
          <w:r>
            <w:rPr>
              <w:sz w:val="24"/>
              <w:szCs w:val="24"/>
            </w:rPr>
            <w:fldChar w:fldCharType="begin"/>
          </w:r>
          <w:r>
            <w:rPr>
              <w:sz w:val="24"/>
              <w:szCs w:val="24"/>
            </w:rPr>
            <w:instrText xml:space="preserve"> PAGEREF _Toc24345 \h </w:instrText>
          </w:r>
          <w:r>
            <w:rPr>
              <w:sz w:val="24"/>
              <w:szCs w:val="24"/>
            </w:rPr>
            <w:fldChar w:fldCharType="separate"/>
          </w:r>
          <w:r>
            <w:rPr>
              <w:sz w:val="24"/>
              <w:szCs w:val="24"/>
            </w:rPr>
            <w:t>39</w:t>
          </w:r>
          <w:r>
            <w:rPr>
              <w:sz w:val="24"/>
              <w:szCs w:val="24"/>
            </w:rPr>
            <w:fldChar w:fldCharType="end"/>
          </w:r>
          <w:r>
            <w:rPr>
              <w:rFonts w:hint="eastAsia" w:ascii="仿宋" w:hAnsi="仿宋" w:eastAsia="仿宋" w:cs="仿宋"/>
              <w:color w:val="auto"/>
              <w:sz w:val="24"/>
              <w:szCs w:val="24"/>
              <w:highlight w:val="none"/>
            </w:rPr>
            <w:fldChar w:fldCharType="end"/>
          </w:r>
        </w:p>
        <w:p w14:paraId="22A9501A">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_Toc5620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第十五章、廉洁条款</w:t>
          </w:r>
          <w:r>
            <w:rPr>
              <w:sz w:val="24"/>
              <w:szCs w:val="24"/>
            </w:rPr>
            <w:tab/>
          </w:r>
          <w:r>
            <w:rPr>
              <w:sz w:val="24"/>
              <w:szCs w:val="24"/>
            </w:rPr>
            <w:fldChar w:fldCharType="begin"/>
          </w:r>
          <w:r>
            <w:rPr>
              <w:sz w:val="24"/>
              <w:szCs w:val="24"/>
            </w:rPr>
            <w:instrText xml:space="preserve"> PAGEREF _Toc5620 \h </w:instrText>
          </w:r>
          <w:r>
            <w:rPr>
              <w:sz w:val="24"/>
              <w:szCs w:val="24"/>
            </w:rPr>
            <w:fldChar w:fldCharType="separate"/>
          </w:r>
          <w:r>
            <w:rPr>
              <w:sz w:val="24"/>
              <w:szCs w:val="24"/>
            </w:rPr>
            <w:t>42</w:t>
          </w:r>
          <w:r>
            <w:rPr>
              <w:sz w:val="24"/>
              <w:szCs w:val="24"/>
            </w:rPr>
            <w:fldChar w:fldCharType="end"/>
          </w:r>
          <w:r>
            <w:rPr>
              <w:rFonts w:hint="eastAsia" w:ascii="仿宋" w:hAnsi="仿宋" w:eastAsia="仿宋" w:cs="仿宋"/>
              <w:color w:val="auto"/>
              <w:sz w:val="24"/>
              <w:szCs w:val="24"/>
              <w:highlight w:val="none"/>
            </w:rPr>
            <w:fldChar w:fldCharType="end"/>
          </w:r>
        </w:p>
        <w:p w14:paraId="31210A81">
          <w:pPr>
            <w:pStyle w:val="11"/>
            <w:keepNext w:val="0"/>
            <w:keepLines w:val="0"/>
            <w:pageBreakBefore w:val="0"/>
            <w:widowControl w:val="0"/>
            <w:tabs>
              <w:tab w:val="right" w:leader="dot" w:pos="8820"/>
            </w:tabs>
            <w:kinsoku/>
            <w:wordWrap/>
            <w:overflowPunct/>
            <w:topLinePunct w:val="0"/>
            <w:autoSpaceDE/>
            <w:autoSpaceDN/>
            <w:bidi w:val="0"/>
            <w:adjustRightInd/>
            <w:snapToGrid/>
            <w:spacing w:line="400" w:lineRule="atLeast"/>
            <w:textAlignment w:val="auto"/>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_Toc5116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highlight w:val="none"/>
              <w:shd w:val="clear" w:color="auto" w:fill="auto"/>
              <w:lang w:val="en-US" w:eastAsia="zh-CN"/>
            </w:rPr>
            <w:t>第十六章、其他</w:t>
          </w:r>
          <w:r>
            <w:rPr>
              <w:sz w:val="24"/>
              <w:szCs w:val="24"/>
            </w:rPr>
            <w:tab/>
          </w:r>
          <w:r>
            <w:rPr>
              <w:sz w:val="24"/>
              <w:szCs w:val="24"/>
            </w:rPr>
            <w:fldChar w:fldCharType="begin"/>
          </w:r>
          <w:r>
            <w:rPr>
              <w:sz w:val="24"/>
              <w:szCs w:val="24"/>
            </w:rPr>
            <w:instrText xml:space="preserve"> PAGEREF _Toc5116 \h </w:instrText>
          </w:r>
          <w:r>
            <w:rPr>
              <w:sz w:val="24"/>
              <w:szCs w:val="24"/>
            </w:rPr>
            <w:fldChar w:fldCharType="separate"/>
          </w:r>
          <w:r>
            <w:rPr>
              <w:sz w:val="24"/>
              <w:szCs w:val="24"/>
            </w:rPr>
            <w:t>43</w:t>
          </w:r>
          <w:r>
            <w:rPr>
              <w:sz w:val="24"/>
              <w:szCs w:val="24"/>
            </w:rPr>
            <w:fldChar w:fldCharType="end"/>
          </w:r>
          <w:r>
            <w:rPr>
              <w:rFonts w:hint="eastAsia" w:ascii="仿宋" w:hAnsi="仿宋" w:eastAsia="仿宋" w:cs="仿宋"/>
              <w:color w:val="auto"/>
              <w:sz w:val="24"/>
              <w:szCs w:val="24"/>
              <w:highlight w:val="none"/>
            </w:rPr>
            <w:fldChar w:fldCharType="end"/>
          </w:r>
        </w:p>
        <w:p w14:paraId="70EA9F26">
          <w:pPr>
            <w:pStyle w:val="10"/>
            <w:tabs>
              <w:tab w:val="right" w:leader="dot" w:pos="8820"/>
            </w:tabs>
            <w:spacing w:line="360" w:lineRule="auto"/>
          </w:pPr>
        </w:p>
        <w:p w14:paraId="5D2FCE7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r>
            <w:rPr>
              <w:rFonts w:hint="eastAsia" w:ascii="仿宋" w:hAnsi="仿宋" w:eastAsia="仿宋" w:cs="仿宋"/>
              <w:color w:val="auto"/>
              <w:szCs w:val="24"/>
              <w:highlight w:val="none"/>
            </w:rPr>
            <w:fldChar w:fldCharType="end"/>
          </w:r>
        </w:p>
      </w:sdtContent>
    </w:sdt>
    <w:p w14:paraId="45FD5DCB">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23" w:name="_Toc2681"/>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22"/>
      <w:bookmarkEnd w:id="23"/>
    </w:p>
    <w:p w14:paraId="43091672">
      <w:pPr>
        <w:keepNext w:val="0"/>
        <w:keepLines w:val="0"/>
        <w:pageBreakBefore w:val="0"/>
        <w:widowControl w:val="0"/>
        <w:tabs>
          <w:tab w:val="left" w:pos="6272"/>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000000" w:themeColor="text1"/>
          <w:kern w:val="0"/>
          <w:sz w:val="28"/>
          <w:szCs w:val="28"/>
          <w:highlight w:val="none"/>
          <w:u w:val="single"/>
          <w:shd w:val="clear" w:color="auto" w:fill="auto"/>
          <w:lang w:eastAsia="zh-CN"/>
          <w14:textFill>
            <w14:solidFill>
              <w14:schemeClr w14:val="tx1"/>
            </w14:solidFill>
          </w14:textFill>
        </w:rPr>
        <w:t>玉林(福绵)节能环保产业园南部工业供水厂建设项目(二期5万吨/天)、玉林(福绵)节能环保产业园南部污水处理厂及中水回用设施建设项目（一期二标段5万吨/天）</w:t>
      </w:r>
      <w:r>
        <w:rPr>
          <w:rFonts w:hint="eastAsia" w:ascii="仿宋" w:hAnsi="仿宋" w:eastAsia="仿宋" w:cs="仿宋"/>
          <w:b/>
          <w:bCs/>
          <w:i w:val="0"/>
          <w:iCs w:val="0"/>
          <w:color w:val="auto"/>
          <w:sz w:val="28"/>
          <w:szCs w:val="28"/>
          <w:highlight w:val="none"/>
          <w:u w:val="single"/>
          <w:shd w:val="clear" w:color="auto" w:fill="auto"/>
          <w:lang w:val="en-US" w:eastAsia="zh-CN"/>
        </w:rPr>
        <w:t>防水工程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E5B6B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24" w:name="_Toc26146"/>
      <w:bookmarkStart w:id="25" w:name="_Toc5845"/>
      <w:bookmarkStart w:id="26" w:name="_Toc1208"/>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24"/>
      <w:bookmarkEnd w:id="25"/>
      <w:bookmarkEnd w:id="26"/>
    </w:p>
    <w:p w14:paraId="05E6E64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玉林(福绵)节能环保产业园项目</w:t>
      </w:r>
      <w:r>
        <w:rPr>
          <w:rFonts w:hint="eastAsia" w:ascii="仿宋" w:hAnsi="仿宋" w:eastAsia="仿宋" w:cs="仿宋"/>
          <w:i w:val="0"/>
          <w:iCs w:val="0"/>
          <w:color w:val="FF0000"/>
          <w:sz w:val="28"/>
          <w:szCs w:val="28"/>
          <w:highlight w:val="none"/>
          <w:u w:val="single"/>
          <w:shd w:val="clear" w:color="auto" w:fill="auto"/>
          <w:lang w:val="en-US" w:eastAsia="zh-CN"/>
        </w:rPr>
        <w:t>【定标后根据实际情况填写具体项目名称</w:t>
      </w:r>
      <w:r>
        <w:rPr>
          <w:rFonts w:hint="eastAsia" w:ascii="仿宋" w:hAnsi="仿宋" w:eastAsia="仿宋" w:cs="仿宋"/>
          <w:b/>
          <w:bCs/>
          <w:i w:val="0"/>
          <w:iCs w:val="0"/>
          <w:color w:val="FF0000"/>
          <w:sz w:val="28"/>
          <w:szCs w:val="28"/>
          <w:highlight w:val="none"/>
          <w:u w:val="single"/>
          <w:shd w:val="clear" w:color="auto" w:fill="auto"/>
          <w:lang w:eastAsia="zh-CN"/>
        </w:rPr>
        <w:t>】</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本合同简称“本项目”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21EF577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color w:val="000000" w:themeColor="text1"/>
          <w:sz w:val="28"/>
          <w:szCs w:val="28"/>
          <w:highlight w:val="none"/>
          <w:u w:val="single"/>
          <w:shd w:val="clear" w:color="auto" w:fill="auto"/>
          <w14:textFill>
            <w14:solidFill>
              <w14:schemeClr w14:val="tx1"/>
            </w14:solidFill>
          </w14:textFill>
        </w:rPr>
        <w:t>玉林市福绵区樟木镇节能环保产业园内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DCBAA8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详见附件《报价清单》。</w:t>
      </w:r>
    </w:p>
    <w:p w14:paraId="64C00448">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乙方施工期间可使用甲方现场已有设施，甲方不另提供其他设施。</w:t>
      </w:r>
      <w:r>
        <w:rPr>
          <w:rFonts w:hint="eastAsia" w:ascii="仿宋" w:hAnsi="仿宋" w:eastAsia="仿宋" w:cs="仿宋"/>
          <w:i w:val="0"/>
          <w:iCs w:val="0"/>
          <w:color w:val="auto"/>
          <w:sz w:val="28"/>
          <w:szCs w:val="28"/>
          <w:highlight w:val="none"/>
          <w:u w:val="single"/>
          <w:shd w:val="clear" w:color="auto" w:fill="auto"/>
          <w:lang w:val="en-US" w:eastAsia="zh-CN"/>
        </w:rPr>
        <w:t>室内高空作业的操作平台由乙方自行负责，所需费用已包含在合同单价中，甲方不另计费给乙方。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本工程施工的水费、电费由甲方承担（水电接线由乙方负责）</w:t>
      </w:r>
      <w:r>
        <w:rPr>
          <w:rFonts w:hint="eastAsia" w:ascii="仿宋" w:hAnsi="仿宋" w:eastAsia="仿宋" w:cs="仿宋"/>
          <w:i w:val="0"/>
          <w:iCs w:val="0"/>
          <w:color w:val="auto"/>
          <w:sz w:val="28"/>
          <w:szCs w:val="28"/>
          <w:highlight w:val="none"/>
          <w:u w:val="single"/>
          <w:shd w:val="clear" w:color="auto" w:fill="auto"/>
          <w:lang w:val="en-US" w:eastAsia="zh-CN"/>
        </w:rPr>
        <w:t>。甲方提供饭堂及宿舍，乙方人员的生活电费、餐费由乙方承担且已含于合同单价中，不另行单列计费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17C7C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7" w:name="_Toc32234"/>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27"/>
    </w:p>
    <w:p w14:paraId="55CF04E2">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p>
    <w:p w14:paraId="33DBDE30">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A94ED7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8" w:name="_Toc27213"/>
      <w:bookmarkStart w:id="29" w:name="_Toc30176"/>
      <w:bookmarkStart w:id="30" w:name="_Toc9670"/>
      <w:r>
        <w:rPr>
          <w:rFonts w:hint="eastAsia" w:ascii="仿宋" w:hAnsi="仿宋" w:eastAsia="仿宋" w:cs="仿宋"/>
          <w:b/>
          <w:bCs/>
          <w:i w:val="0"/>
          <w:iCs w:val="0"/>
          <w:color w:val="auto"/>
          <w:sz w:val="28"/>
          <w:szCs w:val="28"/>
          <w:highlight w:val="none"/>
          <w:shd w:val="clear" w:color="auto" w:fill="auto"/>
          <w:lang w:val="en-US" w:eastAsia="zh-CN"/>
        </w:rPr>
        <w:t>第三章、乙方承包范围及主要工程内容</w:t>
      </w:r>
      <w:bookmarkEnd w:id="28"/>
      <w:bookmarkEnd w:id="29"/>
      <w:bookmarkEnd w:id="30"/>
    </w:p>
    <w:p w14:paraId="7A42200C">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3.1本项目用地红线范围内、本工程图纸（即甲方确认的玉林(福绵)节能环保产业园南部工业供水厂建设项目(二期5万吨/天)：广州市创景市政工程设计有限公司二零二五年二月通过版施工图；玉林(福绵)节能环保产业园南部污水处理厂及中水回用设施建设项目（一期二标段5万吨/天）：广州中大环境治理工程有限公司二零二五年八月通过版施工图，详见附件的图纸目录清单）范围内、经甲方权限领导审批的本工程与本项目其他专业施工界限文件（如有）内的</w:t>
      </w:r>
      <w:r>
        <w:rPr>
          <w:rFonts w:hint="eastAsia" w:ascii="仿宋" w:hAnsi="仿宋" w:eastAsia="仿宋" w:cs="仿宋"/>
          <w:b w:val="0"/>
          <w:bCs w:val="0"/>
          <w:i w:val="0"/>
          <w:iCs w:val="0"/>
          <w:color w:val="auto"/>
          <w:sz w:val="28"/>
          <w:szCs w:val="28"/>
          <w:highlight w:val="none"/>
          <w:u w:val="single"/>
          <w:shd w:val="clear" w:color="auto" w:fill="auto"/>
          <w:lang w:val="en-US" w:eastAsia="zh-CN"/>
        </w:rPr>
        <w:t>全部防水</w:t>
      </w:r>
      <w:r>
        <w:rPr>
          <w:rFonts w:hint="eastAsia" w:ascii="仿宋" w:hAnsi="仿宋" w:eastAsia="仿宋" w:cs="仿宋"/>
          <w:b w:val="0"/>
          <w:bCs w:val="0"/>
          <w:i w:val="0"/>
          <w:iCs w:val="0"/>
          <w:color w:val="auto"/>
          <w:sz w:val="28"/>
          <w:szCs w:val="28"/>
          <w:highlight w:val="none"/>
          <w:shd w:val="clear" w:color="auto" w:fill="auto"/>
          <w:lang w:val="en-US" w:eastAsia="zh-CN"/>
        </w:rPr>
        <w:t>等相关工程均由乙方承包（本合同另有约定的除外）；乙方按本工程图纸、规范及甲方要求施工，过程中产生的全部人员报酬、材料（本合同约定的甲供材除外）、机具、施工管理等由乙方解决。本工程主要内容如下：</w:t>
      </w:r>
    </w:p>
    <w:p w14:paraId="35E33E74">
      <w:pPr>
        <w:pStyle w:val="3"/>
        <w:keepNext w:val="0"/>
        <w:keepLines w:val="0"/>
        <w:pageBreakBefore w:val="0"/>
        <w:widowControl w:val="0"/>
        <w:shd w:val="clear" w:fill="FFFFFF" w:themeFill="background1"/>
        <w:kinsoku/>
        <w:wordWrap/>
        <w:overflowPunct/>
        <w:topLinePunct w:val="0"/>
        <w:autoSpaceDE/>
        <w:autoSpaceDN/>
        <w:bidi w:val="0"/>
        <w:spacing w:line="520" w:lineRule="atLeast"/>
        <w:ind w:firstLine="562" w:firstLineChars="200"/>
        <w:textAlignment w:val="auto"/>
        <w:rPr>
          <w:rFonts w:hint="eastAsia" w:ascii="仿宋" w:hAnsi="仿宋" w:eastAsia="仿宋" w:cs="仿宋"/>
          <w:b w:val="0"/>
          <w:bCs w:val="0"/>
          <w:i w:val="0"/>
          <w:iCs w:val="0"/>
          <w:color w:val="FF0000"/>
          <w:sz w:val="28"/>
          <w:szCs w:val="28"/>
          <w:highlight w:val="none"/>
          <w:u w:val="none"/>
          <w:shd w:val="clear" w:color="auto" w:fill="auto"/>
          <w:lang w:val="en-US" w:eastAsia="zh-CN"/>
        </w:rPr>
      </w:pPr>
      <w:r>
        <w:rPr>
          <w:rFonts w:hint="eastAsia" w:ascii="仿宋" w:hAnsi="仿宋" w:eastAsia="仿宋" w:cs="仿宋"/>
          <w:b/>
          <w:bCs/>
          <w:color w:val="FF0000"/>
          <w:sz w:val="28"/>
          <w:szCs w:val="28"/>
          <w:highlight w:val="none"/>
        </w:rPr>
        <w:t>玉林(福绵)节能环保产业园南部污水处理厂及中水回用设施建设项目（一期二标段5万吨/天）</w:t>
      </w:r>
    </w:p>
    <w:p w14:paraId="6BACA808">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b w:val="0"/>
          <w:bCs w:val="0"/>
          <w:i w:val="0"/>
          <w:iCs w:val="0"/>
          <w:color w:val="auto"/>
          <w:sz w:val="28"/>
          <w:szCs w:val="28"/>
          <w:highlight w:val="none"/>
          <w:u w:val="none"/>
          <w:shd w:val="clear" w:color="auto" w:fill="auto"/>
          <w:lang w:val="en-US" w:eastAsia="zh-CN"/>
        </w:rPr>
        <w:t>3.1.1</w:t>
      </w:r>
      <w:r>
        <w:rPr>
          <w:rFonts w:hint="eastAsia" w:ascii="仿宋" w:hAnsi="仿宋" w:eastAsia="仿宋" w:cs="仿宋"/>
          <w:i w:val="0"/>
          <w:iCs w:val="0"/>
          <w:color w:val="auto"/>
          <w:kern w:val="2"/>
          <w:sz w:val="28"/>
          <w:szCs w:val="28"/>
          <w:highlight w:val="none"/>
          <w:lang w:val="en-US" w:eastAsia="zh-CN" w:bidi="ar-SA"/>
        </w:rPr>
        <w:t>污水厂生化沉淀、二级沉淀及臭氧组合池，不上人平屋面二级防水具体做法：</w:t>
      </w:r>
      <w:r>
        <w:rPr>
          <w:rFonts w:hint="eastAsia" w:ascii="仿宋" w:hAnsi="仿宋" w:eastAsia="仿宋" w:cs="仿宋"/>
          <w:i w:val="0"/>
          <w:iCs w:val="0"/>
          <w:color w:val="auto"/>
          <w:kern w:val="2"/>
          <w:sz w:val="28"/>
          <w:szCs w:val="28"/>
          <w:highlight w:val="none"/>
          <w:u w:val="single"/>
          <w:lang w:val="en-US" w:eastAsia="zh-CN" w:bidi="ar-SA"/>
        </w:rPr>
        <w:t>1.5厚自粘聚合物改性沥青防水卷材(N)无胎(遇墙上反至女儿墙压顶且≥屋面完成面300mm）两道</w:t>
      </w:r>
      <w:r>
        <w:rPr>
          <w:rFonts w:hint="eastAsia" w:ascii="仿宋" w:hAnsi="仿宋" w:eastAsia="仿宋" w:cs="仿宋"/>
          <w:i w:val="0"/>
          <w:iCs w:val="0"/>
          <w:color w:val="auto"/>
          <w:kern w:val="2"/>
          <w:sz w:val="28"/>
          <w:szCs w:val="28"/>
          <w:highlight w:val="none"/>
          <w:lang w:val="en-US" w:eastAsia="zh-CN" w:bidi="ar-SA"/>
        </w:rPr>
        <w:t>。</w:t>
      </w:r>
    </w:p>
    <w:p w14:paraId="19504971">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b w:val="0"/>
          <w:bCs w:val="0"/>
          <w:i w:val="0"/>
          <w:iCs w:val="0"/>
          <w:color w:val="auto"/>
          <w:sz w:val="28"/>
          <w:szCs w:val="28"/>
          <w:highlight w:val="none"/>
          <w:u w:val="none"/>
          <w:shd w:val="clear" w:color="auto" w:fill="auto"/>
          <w:lang w:val="en-US" w:eastAsia="zh-CN"/>
        </w:rPr>
        <w:t>3.1.2</w:t>
      </w:r>
      <w:r>
        <w:rPr>
          <w:rFonts w:hint="eastAsia" w:ascii="仿宋" w:hAnsi="仿宋" w:eastAsia="仿宋" w:cs="仿宋"/>
          <w:i w:val="0"/>
          <w:iCs w:val="0"/>
          <w:color w:val="auto"/>
          <w:kern w:val="2"/>
          <w:sz w:val="28"/>
          <w:szCs w:val="28"/>
          <w:highlight w:val="none"/>
          <w:lang w:val="en-US" w:eastAsia="zh-CN" w:bidi="ar-SA"/>
        </w:rPr>
        <w:t>综合设备间</w:t>
      </w:r>
    </w:p>
    <w:p w14:paraId="3A490F0A">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宋体" w:hAnsi="宋体" w:eastAsia="宋体" w:cs="宋体"/>
          <w:i w:val="0"/>
          <w:iCs w:val="0"/>
          <w:color w:val="auto"/>
          <w:kern w:val="2"/>
          <w:sz w:val="28"/>
          <w:szCs w:val="28"/>
          <w:highlight w:val="none"/>
          <w:lang w:val="en-US" w:eastAsia="zh-CN" w:bidi="ar-SA"/>
        </w:rPr>
        <w:t>①</w:t>
      </w:r>
      <w:r>
        <w:rPr>
          <w:rFonts w:hint="eastAsia" w:ascii="仿宋" w:hAnsi="仿宋" w:eastAsia="仿宋" w:cs="仿宋"/>
          <w:i w:val="0"/>
          <w:iCs w:val="0"/>
          <w:color w:val="auto"/>
          <w:kern w:val="2"/>
          <w:sz w:val="28"/>
          <w:szCs w:val="28"/>
          <w:highlight w:val="none"/>
          <w:lang w:val="en-US" w:eastAsia="zh-CN" w:bidi="ar-SA"/>
        </w:rPr>
        <w:t>不上人平屋面二级防水具体做法：</w:t>
      </w:r>
      <w:r>
        <w:rPr>
          <w:rFonts w:hint="eastAsia" w:ascii="仿宋" w:hAnsi="仿宋" w:eastAsia="仿宋" w:cs="仿宋"/>
          <w:i w:val="0"/>
          <w:iCs w:val="0"/>
          <w:color w:val="auto"/>
          <w:kern w:val="2"/>
          <w:sz w:val="28"/>
          <w:szCs w:val="28"/>
          <w:highlight w:val="none"/>
          <w:u w:val="single"/>
          <w:lang w:val="en-US" w:eastAsia="zh-CN" w:bidi="ar-SA"/>
        </w:rPr>
        <w:t>1.5厚自粘聚合物改性沥青防水卷材(N)无胎(遇墙上反至女儿墙压顶且&gt;屋面完成面300mm）两道</w:t>
      </w:r>
      <w:r>
        <w:rPr>
          <w:rFonts w:hint="eastAsia" w:ascii="仿宋" w:hAnsi="仿宋" w:eastAsia="仿宋" w:cs="仿宋"/>
          <w:i w:val="0"/>
          <w:iCs w:val="0"/>
          <w:color w:val="auto"/>
          <w:kern w:val="2"/>
          <w:sz w:val="28"/>
          <w:szCs w:val="28"/>
          <w:highlight w:val="none"/>
          <w:lang w:val="en-US" w:eastAsia="zh-CN" w:bidi="ar-SA"/>
        </w:rPr>
        <w:t>。</w:t>
      </w:r>
    </w:p>
    <w:p w14:paraId="373C926F">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i w:val="0"/>
          <w:iCs w:val="0"/>
          <w:color w:val="auto"/>
          <w:kern w:val="2"/>
          <w:sz w:val="28"/>
          <w:szCs w:val="28"/>
          <w:highlight w:val="none"/>
          <w:lang w:val="en-US" w:eastAsia="zh-CN" w:bidi="ar-SA"/>
        </w:rPr>
        <w:t>②卫生间内墙面防水做法：1.5厚聚合物水泥基防水涂料（Ⅱ型）四周沿楼面上2.0m。</w:t>
      </w:r>
    </w:p>
    <w:p w14:paraId="5BD2098E">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宋体" w:hAnsi="宋体" w:eastAsia="宋体" w:cs="宋体"/>
          <w:i w:val="0"/>
          <w:iCs w:val="0"/>
          <w:color w:val="auto"/>
          <w:kern w:val="2"/>
          <w:sz w:val="28"/>
          <w:szCs w:val="28"/>
          <w:highlight w:val="none"/>
          <w:lang w:val="en-US" w:eastAsia="zh-CN" w:bidi="ar-SA"/>
        </w:rPr>
        <w:t>③</w:t>
      </w:r>
      <w:r>
        <w:rPr>
          <w:rFonts w:hint="eastAsia" w:ascii="仿宋" w:hAnsi="仿宋" w:eastAsia="仿宋" w:cs="仿宋"/>
          <w:i w:val="0"/>
          <w:iCs w:val="0"/>
          <w:color w:val="auto"/>
          <w:kern w:val="2"/>
          <w:sz w:val="28"/>
          <w:szCs w:val="28"/>
          <w:highlight w:val="none"/>
          <w:lang w:val="en-US" w:eastAsia="zh-CN" w:bidi="ar-SA"/>
        </w:rPr>
        <w:t>卫生间地面防水做法：1.5厚聚合物水泥防水涂料（Ⅱ型）要求：防水搭接墙面≥200</w:t>
      </w:r>
      <w:r>
        <w:rPr>
          <w:rFonts w:hint="eastAsia" w:ascii="仿宋" w:hAnsi="仿宋" w:eastAsia="仿宋" w:cs="仿宋"/>
          <w:i w:val="0"/>
          <w:iCs w:val="0"/>
          <w:color w:val="FF0000"/>
          <w:kern w:val="2"/>
          <w:sz w:val="28"/>
          <w:szCs w:val="28"/>
          <w:highlight w:val="none"/>
          <w:lang w:val="en-US" w:eastAsia="zh-CN" w:bidi="ar-SA"/>
        </w:rPr>
        <w:t>mm</w:t>
      </w:r>
      <w:r>
        <w:rPr>
          <w:rFonts w:hint="eastAsia" w:ascii="仿宋" w:hAnsi="仿宋" w:eastAsia="仿宋" w:cs="仿宋"/>
          <w:i w:val="0"/>
          <w:iCs w:val="0"/>
          <w:color w:val="auto"/>
          <w:kern w:val="2"/>
          <w:sz w:val="28"/>
          <w:szCs w:val="28"/>
          <w:highlight w:val="none"/>
          <w:lang w:val="en-US" w:eastAsia="zh-CN" w:bidi="ar-SA"/>
        </w:rPr>
        <w:t>，且地面柔性防水层压过墙面防水层,高于完成面300mm；1.5厚聚合物水泥防水涂料（Ⅱ型）要求：防水搭接墙面≥200</w:t>
      </w:r>
      <w:r>
        <w:rPr>
          <w:rFonts w:hint="eastAsia" w:ascii="仿宋" w:hAnsi="仿宋" w:eastAsia="仿宋" w:cs="仿宋"/>
          <w:i w:val="0"/>
          <w:iCs w:val="0"/>
          <w:color w:val="FF0000"/>
          <w:kern w:val="2"/>
          <w:sz w:val="28"/>
          <w:szCs w:val="28"/>
          <w:highlight w:val="none"/>
          <w:lang w:val="en-US" w:eastAsia="zh-CN" w:bidi="ar-SA"/>
        </w:rPr>
        <w:t>mm</w:t>
      </w:r>
      <w:r>
        <w:rPr>
          <w:rFonts w:hint="eastAsia" w:ascii="仿宋" w:hAnsi="仿宋" w:eastAsia="仿宋" w:cs="仿宋"/>
          <w:i w:val="0"/>
          <w:iCs w:val="0"/>
          <w:color w:val="auto"/>
          <w:kern w:val="2"/>
          <w:sz w:val="28"/>
          <w:szCs w:val="28"/>
          <w:highlight w:val="none"/>
          <w:lang w:val="en-US" w:eastAsia="zh-CN" w:bidi="ar-SA"/>
        </w:rPr>
        <w:t>，且地面柔性防水层压过墙面防水层,高于完成面300mm（仅下沉部分）。</w:t>
      </w:r>
    </w:p>
    <w:p w14:paraId="66B0DC3F">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b w:val="0"/>
          <w:bCs w:val="0"/>
          <w:i w:val="0"/>
          <w:iCs w:val="0"/>
          <w:color w:val="auto"/>
          <w:sz w:val="28"/>
          <w:szCs w:val="28"/>
          <w:highlight w:val="none"/>
          <w:u w:val="none"/>
          <w:shd w:val="clear" w:color="auto" w:fill="auto"/>
          <w:lang w:val="en-US" w:eastAsia="zh-CN"/>
        </w:rPr>
        <w:t>3.1.3</w:t>
      </w:r>
      <w:r>
        <w:rPr>
          <w:rFonts w:hint="eastAsia" w:ascii="仿宋" w:hAnsi="仿宋" w:eastAsia="仿宋" w:cs="仿宋"/>
          <w:i w:val="0"/>
          <w:iCs w:val="0"/>
          <w:color w:val="auto"/>
          <w:kern w:val="2"/>
          <w:sz w:val="28"/>
          <w:szCs w:val="28"/>
          <w:highlight w:val="none"/>
          <w:lang w:val="en-US" w:eastAsia="zh-CN" w:bidi="ar-SA"/>
        </w:rPr>
        <w:t xml:space="preserve"> 污泥脱水间及事故应急池</w:t>
      </w:r>
    </w:p>
    <w:p w14:paraId="769A0B39">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宋体" w:hAnsi="宋体" w:eastAsia="宋体" w:cs="宋体"/>
          <w:i w:val="0"/>
          <w:iCs w:val="0"/>
          <w:color w:val="auto"/>
          <w:kern w:val="2"/>
          <w:sz w:val="28"/>
          <w:szCs w:val="28"/>
          <w:highlight w:val="none"/>
          <w:lang w:val="en-US" w:eastAsia="zh-CN" w:bidi="ar-SA"/>
        </w:rPr>
        <w:t>①</w:t>
      </w:r>
      <w:r>
        <w:rPr>
          <w:rFonts w:hint="eastAsia" w:ascii="仿宋" w:hAnsi="仿宋" w:eastAsia="仿宋" w:cs="仿宋"/>
          <w:i w:val="0"/>
          <w:iCs w:val="0"/>
          <w:color w:val="auto"/>
          <w:kern w:val="2"/>
          <w:sz w:val="28"/>
          <w:szCs w:val="28"/>
          <w:highlight w:val="none"/>
          <w:lang w:val="en-US" w:eastAsia="zh-CN" w:bidi="ar-SA"/>
        </w:rPr>
        <w:t>不上人平屋面二级防水具体做法：1.5厚自粘聚合物改性沥青防水卷材(N)无胎（遇墙上反至女儿墙压顶且≥屋面完成面300mm）两道。</w:t>
      </w:r>
    </w:p>
    <w:p w14:paraId="7B6326AC">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i w:val="0"/>
          <w:iCs w:val="0"/>
          <w:color w:val="auto"/>
          <w:kern w:val="2"/>
          <w:sz w:val="28"/>
          <w:szCs w:val="28"/>
          <w:highlight w:val="none"/>
          <w:lang w:val="en-US" w:eastAsia="zh-CN" w:bidi="ar-SA"/>
        </w:rPr>
        <w:t>②上人平屋面二级防水具体做法：1.5厚自粘聚合物改性沥青防水卷材(N)无胎（遇墙上反至女儿墙压顶且≥屋面完成面300mm）两道。</w:t>
      </w:r>
    </w:p>
    <w:p w14:paraId="3897BE7B">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宋体" w:hAnsi="宋体" w:eastAsia="宋体" w:cs="宋体"/>
          <w:i w:val="0"/>
          <w:iCs w:val="0"/>
          <w:color w:val="auto"/>
          <w:kern w:val="2"/>
          <w:sz w:val="28"/>
          <w:szCs w:val="28"/>
          <w:highlight w:val="none"/>
          <w:lang w:val="en-US" w:eastAsia="zh-CN" w:bidi="ar-SA"/>
        </w:rPr>
        <w:t>③</w:t>
      </w:r>
      <w:r>
        <w:rPr>
          <w:rFonts w:hint="eastAsia" w:ascii="仿宋" w:hAnsi="仿宋" w:eastAsia="仿宋" w:cs="仿宋"/>
          <w:i w:val="0"/>
          <w:iCs w:val="0"/>
          <w:color w:val="auto"/>
          <w:kern w:val="2"/>
          <w:sz w:val="28"/>
          <w:szCs w:val="28"/>
          <w:highlight w:val="none"/>
          <w:lang w:val="en-US" w:eastAsia="zh-CN" w:bidi="ar-SA"/>
        </w:rPr>
        <w:t>卫生间内墙面防水做法：1.5厚聚合物水泥基防水涂料（Ⅱ型）四周沿楼面上2.0m。</w:t>
      </w:r>
    </w:p>
    <w:p w14:paraId="74C4DDAB">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i w:val="0"/>
          <w:iCs w:val="0"/>
          <w:color w:val="auto"/>
          <w:kern w:val="2"/>
          <w:sz w:val="28"/>
          <w:szCs w:val="28"/>
          <w:highlight w:val="none"/>
          <w:lang w:val="en-US" w:eastAsia="zh-CN" w:bidi="ar-SA"/>
        </w:rPr>
        <w:t>④卫生间楼地面面防水做法：1.5厚聚合物水泥防水涂料（Ⅱ型）要求：防水搭接墙面≥200</w:t>
      </w:r>
      <w:r>
        <w:rPr>
          <w:rFonts w:hint="eastAsia" w:ascii="仿宋" w:hAnsi="仿宋" w:eastAsia="仿宋" w:cs="仿宋"/>
          <w:i w:val="0"/>
          <w:iCs w:val="0"/>
          <w:color w:val="FF0000"/>
          <w:kern w:val="2"/>
          <w:sz w:val="28"/>
          <w:szCs w:val="28"/>
          <w:highlight w:val="none"/>
          <w:lang w:val="en-US" w:eastAsia="zh-CN" w:bidi="ar-SA"/>
        </w:rPr>
        <w:t>mm</w:t>
      </w:r>
      <w:r>
        <w:rPr>
          <w:rFonts w:hint="eastAsia" w:ascii="仿宋" w:hAnsi="仿宋" w:eastAsia="仿宋" w:cs="仿宋"/>
          <w:i w:val="0"/>
          <w:iCs w:val="0"/>
          <w:color w:val="auto"/>
          <w:kern w:val="2"/>
          <w:sz w:val="28"/>
          <w:szCs w:val="28"/>
          <w:highlight w:val="none"/>
          <w:lang w:val="en-US" w:eastAsia="zh-CN" w:bidi="ar-SA"/>
        </w:rPr>
        <w:t>，且地面柔性防水层压过墙面防水层,高于完成面300mm；1.5厚聚合物水泥防水涂料（Ⅱ型）要求：防水搭接墙面≥200</w:t>
      </w:r>
      <w:r>
        <w:rPr>
          <w:rFonts w:hint="eastAsia" w:ascii="仿宋" w:hAnsi="仿宋" w:eastAsia="仿宋" w:cs="仿宋"/>
          <w:i w:val="0"/>
          <w:iCs w:val="0"/>
          <w:color w:val="FF0000"/>
          <w:kern w:val="2"/>
          <w:sz w:val="28"/>
          <w:szCs w:val="28"/>
          <w:highlight w:val="none"/>
          <w:lang w:val="en-US" w:eastAsia="zh-CN" w:bidi="ar-SA"/>
        </w:rPr>
        <w:t>mm</w:t>
      </w:r>
      <w:r>
        <w:rPr>
          <w:rFonts w:hint="eastAsia" w:ascii="仿宋" w:hAnsi="仿宋" w:eastAsia="仿宋" w:cs="仿宋"/>
          <w:i w:val="0"/>
          <w:iCs w:val="0"/>
          <w:color w:val="auto"/>
          <w:kern w:val="2"/>
          <w:sz w:val="28"/>
          <w:szCs w:val="28"/>
          <w:highlight w:val="none"/>
          <w:lang w:val="en-US" w:eastAsia="zh-CN" w:bidi="ar-SA"/>
        </w:rPr>
        <w:t>，且地面柔性防水层压过墙面防水层,高于完成面300mm（仅下沉部分）。</w:t>
      </w:r>
    </w:p>
    <w:p w14:paraId="379A04C1">
      <w:pPr>
        <w:pStyle w:val="3"/>
        <w:keepNext w:val="0"/>
        <w:keepLines w:val="0"/>
        <w:pageBreakBefore w:val="0"/>
        <w:widowControl w:val="0"/>
        <w:kinsoku/>
        <w:wordWrap/>
        <w:overflowPunct/>
        <w:topLinePunct w:val="0"/>
        <w:autoSpaceDE/>
        <w:autoSpaceDN/>
        <w:bidi w:val="0"/>
        <w:spacing w:line="520" w:lineRule="atLeast"/>
        <w:ind w:firstLine="560" w:firstLineChars="200"/>
        <w:textAlignment w:val="auto"/>
        <w:rPr>
          <w:rFonts w:hint="default" w:ascii="仿宋" w:hAnsi="仿宋" w:eastAsia="仿宋" w:cs="仿宋"/>
          <w:i w:val="0"/>
          <w:iCs w:val="0"/>
          <w:color w:val="auto"/>
          <w:kern w:val="2"/>
          <w:sz w:val="28"/>
          <w:szCs w:val="28"/>
          <w:highlight w:val="none"/>
          <w:lang w:val="en-US" w:eastAsia="zh-CN" w:bidi="ar-SA"/>
        </w:rPr>
      </w:pPr>
      <w:r>
        <w:rPr>
          <w:rFonts w:hint="eastAsia" w:ascii="华文仿宋" w:hAnsi="华文仿宋" w:eastAsia="华文仿宋" w:cs="华文仿宋"/>
          <w:i w:val="0"/>
          <w:iCs w:val="0"/>
          <w:color w:val="auto"/>
          <w:kern w:val="2"/>
          <w:sz w:val="28"/>
          <w:szCs w:val="28"/>
          <w:highlight w:val="none"/>
          <w:lang w:val="en-US" w:eastAsia="zh-CN" w:bidi="ar-SA"/>
        </w:rPr>
        <w:t>⑤</w:t>
      </w:r>
      <w:r>
        <w:rPr>
          <w:rFonts w:hint="eastAsia" w:ascii="仿宋" w:hAnsi="仿宋" w:eastAsia="仿宋" w:cs="仿宋"/>
          <w:i w:val="0"/>
          <w:iCs w:val="0"/>
          <w:color w:val="auto"/>
          <w:kern w:val="2"/>
          <w:sz w:val="28"/>
          <w:szCs w:val="28"/>
          <w:highlight w:val="none"/>
          <w:lang w:val="en-US" w:eastAsia="zh-CN" w:bidi="ar-SA"/>
        </w:rPr>
        <w:t>地下室底板防水做法：</w:t>
      </w:r>
      <w:r>
        <w:rPr>
          <w:rFonts w:hint="eastAsia" w:ascii="仿宋" w:hAnsi="仿宋" w:eastAsia="仿宋" w:cs="仿宋"/>
          <w:i w:val="0"/>
          <w:iCs w:val="0"/>
          <w:color w:val="auto"/>
          <w:kern w:val="2"/>
          <w:sz w:val="28"/>
          <w:szCs w:val="28"/>
          <w:highlight w:val="none"/>
          <w:u w:val="single"/>
          <w:lang w:val="en-US" w:eastAsia="zh-CN" w:bidi="ar-SA"/>
        </w:rPr>
        <w:t>4厚沥青聚酯胎预铺反粘防水卷材,搭接边采用热熔施工,接缝剥离强度&gt;25N/mm；3厚SBS改性沥青聚酯胎防水卷材</w:t>
      </w:r>
      <w:r>
        <w:rPr>
          <w:rFonts w:hint="eastAsia" w:ascii="仿宋" w:hAnsi="仿宋" w:eastAsia="仿宋" w:cs="仿宋"/>
          <w:i w:val="0"/>
          <w:iCs w:val="0"/>
          <w:color w:val="auto"/>
          <w:kern w:val="2"/>
          <w:sz w:val="28"/>
          <w:szCs w:val="28"/>
          <w:highlight w:val="none"/>
          <w:lang w:val="en-US" w:eastAsia="zh-CN" w:bidi="ar-SA"/>
        </w:rPr>
        <w:t>。</w:t>
      </w:r>
    </w:p>
    <w:p w14:paraId="63CFCBFD">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华文仿宋" w:hAnsi="华文仿宋" w:eastAsia="华文仿宋" w:cs="华文仿宋"/>
          <w:i w:val="0"/>
          <w:iCs w:val="0"/>
          <w:color w:val="auto"/>
          <w:kern w:val="2"/>
          <w:sz w:val="28"/>
          <w:szCs w:val="28"/>
          <w:highlight w:val="none"/>
          <w:lang w:val="en-US" w:eastAsia="zh-CN" w:bidi="ar-SA"/>
        </w:rPr>
        <w:t>⑥</w:t>
      </w:r>
      <w:r>
        <w:rPr>
          <w:rFonts w:hint="eastAsia" w:ascii="Calibri" w:hAnsi="Calibri" w:eastAsia="仿宋" w:cs="Calibri"/>
          <w:i w:val="0"/>
          <w:iCs w:val="0"/>
          <w:color w:val="auto"/>
          <w:kern w:val="2"/>
          <w:sz w:val="28"/>
          <w:szCs w:val="28"/>
          <w:highlight w:val="none"/>
          <w:lang w:val="en-US" w:eastAsia="zh-CN" w:bidi="ar-SA"/>
        </w:rPr>
        <w:t>地下室</w:t>
      </w:r>
      <w:r>
        <w:rPr>
          <w:rFonts w:hint="eastAsia" w:ascii="仿宋" w:hAnsi="仿宋" w:eastAsia="仿宋" w:cs="仿宋"/>
          <w:i w:val="0"/>
          <w:iCs w:val="0"/>
          <w:color w:val="auto"/>
          <w:kern w:val="2"/>
          <w:sz w:val="28"/>
          <w:szCs w:val="28"/>
          <w:highlight w:val="none"/>
          <w:lang w:val="en-US" w:eastAsia="zh-CN" w:bidi="ar-SA"/>
        </w:rPr>
        <w:t>侧壁防水做法：</w:t>
      </w:r>
      <w:r>
        <w:rPr>
          <w:rFonts w:hint="eastAsia" w:ascii="仿宋" w:hAnsi="仿宋" w:eastAsia="仿宋" w:cs="仿宋"/>
          <w:i w:val="0"/>
          <w:iCs w:val="0"/>
          <w:color w:val="auto"/>
          <w:kern w:val="2"/>
          <w:sz w:val="28"/>
          <w:szCs w:val="28"/>
          <w:highlight w:val="none"/>
          <w:u w:val="single"/>
          <w:lang w:val="en-US" w:eastAsia="zh-CN" w:bidi="ar-SA"/>
        </w:rPr>
        <w:t>1.5mmSAM921高强型自粘(双面粘)沥青防水卷材；1.5mm纤维增强型高分子膜基自粘沥青防水卷材。</w:t>
      </w:r>
      <w:r>
        <w:rPr>
          <w:rFonts w:hint="eastAsia" w:ascii="仿宋" w:hAnsi="仿宋" w:eastAsia="仿宋" w:cs="仿宋"/>
          <w:i w:val="0"/>
          <w:iCs w:val="0"/>
          <w:color w:val="auto"/>
          <w:kern w:val="2"/>
          <w:sz w:val="28"/>
          <w:szCs w:val="28"/>
          <w:highlight w:val="none"/>
          <w:lang w:val="en-US" w:eastAsia="zh-CN" w:bidi="ar-SA"/>
        </w:rPr>
        <w:t xml:space="preserve"> </w:t>
      </w:r>
    </w:p>
    <w:p w14:paraId="6D61E0A6">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ascii="仿宋" w:hAnsi="仿宋" w:eastAsia="仿宋" w:cs="仿宋"/>
          <w:i w:val="0"/>
          <w:iCs w:val="0"/>
          <w:color w:val="auto"/>
          <w:kern w:val="2"/>
          <w:sz w:val="28"/>
          <w:szCs w:val="28"/>
          <w:highlight w:val="none"/>
          <w:lang w:val="en-US" w:eastAsia="zh-CN" w:bidi="ar-SA"/>
        </w:rPr>
      </w:pPr>
      <w:r>
        <w:rPr>
          <w:rFonts w:hint="eastAsia" w:ascii="仿宋" w:hAnsi="仿宋" w:eastAsia="仿宋" w:cs="仿宋"/>
          <w:i w:val="0"/>
          <w:iCs w:val="0"/>
          <w:color w:val="auto"/>
          <w:kern w:val="2"/>
          <w:sz w:val="28"/>
          <w:szCs w:val="28"/>
          <w:highlight w:val="none"/>
          <w:lang w:val="en-US" w:eastAsia="zh-CN" w:bidi="ar-SA"/>
        </w:rPr>
        <w:t>3.1.4有组织排水雨棚防水作法：</w:t>
      </w:r>
      <w:r>
        <w:rPr>
          <w:rFonts w:hint="eastAsia" w:ascii="仿宋" w:hAnsi="仿宋" w:eastAsia="仿宋" w:cs="仿宋"/>
          <w:i w:val="0"/>
          <w:iCs w:val="0"/>
          <w:color w:val="auto"/>
          <w:kern w:val="2"/>
          <w:sz w:val="28"/>
          <w:szCs w:val="28"/>
          <w:highlight w:val="none"/>
          <w:u w:val="single"/>
          <w:lang w:val="en-US" w:eastAsia="zh-CN" w:bidi="ar-SA"/>
        </w:rPr>
        <w:t>1.5厚聚合场水泥纺水涂料(</w:t>
      </w:r>
      <w:r>
        <w:rPr>
          <w:rFonts w:hint="eastAsia" w:ascii="宋体" w:hAnsi="宋体" w:eastAsia="宋体" w:cs="宋体"/>
          <w:i w:val="0"/>
          <w:iCs w:val="0"/>
          <w:color w:val="auto"/>
          <w:kern w:val="2"/>
          <w:sz w:val="28"/>
          <w:szCs w:val="28"/>
          <w:highlight w:val="none"/>
          <w:u w:val="single"/>
          <w:lang w:val="en-US" w:eastAsia="zh-CN" w:bidi="ar-SA"/>
        </w:rPr>
        <w:t>Ⅰ</w:t>
      </w:r>
      <w:r>
        <w:rPr>
          <w:rFonts w:hint="eastAsia" w:ascii="仿宋" w:hAnsi="仿宋" w:eastAsia="仿宋" w:cs="仿宋"/>
          <w:i w:val="0"/>
          <w:iCs w:val="0"/>
          <w:color w:val="auto"/>
          <w:kern w:val="2"/>
          <w:sz w:val="28"/>
          <w:szCs w:val="28"/>
          <w:highlight w:val="none"/>
          <w:u w:val="single"/>
          <w:lang w:val="en-US" w:eastAsia="zh-CN" w:bidi="ar-SA"/>
        </w:rPr>
        <w:t>型)</w:t>
      </w:r>
      <w:r>
        <w:rPr>
          <w:rFonts w:hint="eastAsia" w:ascii="仿宋" w:hAnsi="仿宋" w:eastAsia="仿宋" w:cs="仿宋"/>
          <w:i w:val="0"/>
          <w:iCs w:val="0"/>
          <w:color w:val="auto"/>
          <w:kern w:val="2"/>
          <w:sz w:val="28"/>
          <w:szCs w:val="28"/>
          <w:highlight w:val="none"/>
          <w:lang w:val="en-US" w:eastAsia="zh-CN" w:bidi="ar-SA"/>
        </w:rPr>
        <w:t>。</w:t>
      </w:r>
    </w:p>
    <w:p w14:paraId="2D5B5A94">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right="0" w:rightChars="0" w:firstLine="562" w:firstLineChars="200"/>
        <w:textAlignment w:val="auto"/>
        <w:rPr>
          <w:rFonts w:hint="eastAsia" w:ascii="仿宋" w:hAnsi="仿宋" w:eastAsia="仿宋" w:cs="仿宋"/>
          <w:b w:val="0"/>
          <w:bCs w:val="0"/>
          <w:i w:val="0"/>
          <w:iCs w:val="0"/>
          <w:color w:val="FF0000"/>
          <w:sz w:val="28"/>
          <w:szCs w:val="28"/>
          <w:highlight w:val="none"/>
          <w:u w:val="none"/>
          <w:shd w:val="clear" w:color="auto" w:fill="auto"/>
          <w:lang w:val="en-US" w:eastAsia="zh-CN"/>
        </w:rPr>
      </w:pPr>
      <w:r>
        <w:rPr>
          <w:rFonts w:hint="eastAsia" w:ascii="仿宋" w:hAnsi="仿宋" w:eastAsia="仿宋" w:cs="仿宋"/>
          <w:b/>
          <w:bCs/>
          <w:color w:val="FF0000"/>
          <w:sz w:val="28"/>
          <w:szCs w:val="28"/>
          <w:highlight w:val="none"/>
        </w:rPr>
        <w:t>玉林(福绵)节能环保产业园南部工业供水厂建设项目(二期5万吨/天)</w:t>
      </w:r>
    </w:p>
    <w:p w14:paraId="2B4847E2">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b w:val="0"/>
          <w:bCs w:val="0"/>
          <w:i w:val="0"/>
          <w:iCs w:val="0"/>
          <w:color w:val="auto"/>
          <w:sz w:val="28"/>
          <w:szCs w:val="28"/>
          <w:highlight w:val="none"/>
          <w:u w:val="none"/>
          <w:shd w:val="clear" w:color="auto" w:fill="auto"/>
          <w:lang w:val="en-US" w:eastAsia="zh-CN"/>
        </w:rPr>
        <w:t>3.1.1</w:t>
      </w:r>
      <w:r>
        <w:rPr>
          <w:rFonts w:hint="eastAsia" w:ascii="仿宋" w:hAnsi="仿宋" w:eastAsia="仿宋" w:cs="仿宋"/>
          <w:i w:val="0"/>
          <w:iCs w:val="0"/>
          <w:color w:val="auto"/>
          <w:kern w:val="2"/>
          <w:sz w:val="28"/>
          <w:szCs w:val="28"/>
          <w:highlight w:val="none"/>
          <w:lang w:val="en-US" w:eastAsia="zh-CN" w:bidi="ar-SA"/>
        </w:rPr>
        <w:t>送水泵房</w:t>
      </w:r>
    </w:p>
    <w:p w14:paraId="73512DAA">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宋体" w:hAnsi="宋体" w:eastAsia="宋体" w:cs="宋体"/>
          <w:i w:val="0"/>
          <w:iCs w:val="0"/>
          <w:color w:val="auto"/>
          <w:kern w:val="2"/>
          <w:sz w:val="28"/>
          <w:szCs w:val="28"/>
          <w:highlight w:val="none"/>
          <w:lang w:val="en-US" w:eastAsia="zh-CN" w:bidi="ar-SA"/>
        </w:rPr>
        <w:t>①</w:t>
      </w:r>
      <w:r>
        <w:rPr>
          <w:rFonts w:hint="eastAsia" w:ascii="Calibri" w:hAnsi="Calibri" w:eastAsia="仿宋" w:cs="Calibri"/>
          <w:i w:val="0"/>
          <w:iCs w:val="0"/>
          <w:color w:val="auto"/>
          <w:kern w:val="2"/>
          <w:sz w:val="28"/>
          <w:szCs w:val="28"/>
          <w:highlight w:val="none"/>
          <w:lang w:val="en-US" w:eastAsia="zh-CN" w:bidi="ar-SA"/>
        </w:rPr>
        <w:t>不上人</w:t>
      </w:r>
      <w:r>
        <w:rPr>
          <w:rFonts w:hint="eastAsia" w:ascii="仿宋" w:hAnsi="仿宋" w:eastAsia="仿宋" w:cs="仿宋"/>
          <w:i w:val="0"/>
          <w:iCs w:val="0"/>
          <w:color w:val="auto"/>
          <w:kern w:val="2"/>
          <w:sz w:val="28"/>
          <w:szCs w:val="28"/>
          <w:highlight w:val="none"/>
          <w:lang w:val="en-US" w:eastAsia="zh-CN" w:bidi="ar-SA"/>
        </w:rPr>
        <w:t>屋面二级防水做法：</w:t>
      </w:r>
      <w:r>
        <w:rPr>
          <w:rFonts w:hint="eastAsia" w:ascii="仿宋" w:hAnsi="仿宋" w:eastAsia="仿宋" w:cs="仿宋"/>
          <w:i w:val="0"/>
          <w:iCs w:val="0"/>
          <w:color w:val="auto"/>
          <w:kern w:val="2"/>
          <w:sz w:val="28"/>
          <w:szCs w:val="28"/>
          <w:highlight w:val="none"/>
          <w:u w:val="single"/>
          <w:lang w:val="en-US" w:eastAsia="zh-CN" w:bidi="ar-SA"/>
        </w:rPr>
        <w:t>1.5厚自粘式高分子防水卷材；2厚聚合物水泥防水涂料(遇墙上反至女儿墙庄顶且&gt;屋面完成面300 mm)</w:t>
      </w:r>
      <w:r>
        <w:rPr>
          <w:rFonts w:hint="eastAsia" w:ascii="仿宋" w:hAnsi="仿宋" w:eastAsia="仿宋" w:cs="仿宋"/>
          <w:i w:val="0"/>
          <w:iCs w:val="0"/>
          <w:color w:val="auto"/>
          <w:kern w:val="2"/>
          <w:sz w:val="28"/>
          <w:szCs w:val="28"/>
          <w:highlight w:val="none"/>
          <w:lang w:val="en-US" w:eastAsia="zh-CN" w:bidi="ar-SA"/>
        </w:rPr>
        <w:t>；</w:t>
      </w:r>
    </w:p>
    <w:p w14:paraId="3080E904">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2"/>
          <w:sz w:val="28"/>
          <w:szCs w:val="28"/>
          <w:highlight w:val="none"/>
          <w:lang w:val="en-US" w:eastAsia="zh-CN" w:bidi="ar-SA"/>
        </w:rPr>
      </w:pPr>
      <w:r>
        <w:rPr>
          <w:rFonts w:hint="eastAsia" w:ascii="仿宋" w:hAnsi="仿宋" w:eastAsia="仿宋" w:cs="仿宋"/>
          <w:i w:val="0"/>
          <w:iCs w:val="0"/>
          <w:color w:val="auto"/>
          <w:kern w:val="2"/>
          <w:sz w:val="28"/>
          <w:szCs w:val="28"/>
          <w:highlight w:val="none"/>
          <w:lang w:val="en-US" w:eastAsia="zh-CN" w:bidi="ar-SA"/>
        </w:rPr>
        <w:t>②雨篷：</w:t>
      </w:r>
      <w:r>
        <w:rPr>
          <w:rFonts w:hint="eastAsia" w:ascii="仿宋" w:hAnsi="仿宋" w:eastAsia="仿宋" w:cs="仿宋"/>
          <w:i w:val="0"/>
          <w:iCs w:val="0"/>
          <w:color w:val="auto"/>
          <w:kern w:val="2"/>
          <w:sz w:val="28"/>
          <w:szCs w:val="28"/>
          <w:highlight w:val="none"/>
          <w:u w:val="single"/>
          <w:lang w:val="en-US" w:eastAsia="zh-CN" w:bidi="ar-SA"/>
        </w:rPr>
        <w:t>1.5厚聚合场水泥纺水涂料(Ⅱ型)</w:t>
      </w:r>
      <w:r>
        <w:rPr>
          <w:rFonts w:hint="eastAsia" w:ascii="仿宋" w:hAnsi="仿宋" w:eastAsia="仿宋" w:cs="仿宋"/>
          <w:i w:val="0"/>
          <w:iCs w:val="0"/>
          <w:color w:val="auto"/>
          <w:kern w:val="2"/>
          <w:sz w:val="28"/>
          <w:szCs w:val="28"/>
          <w:highlight w:val="none"/>
          <w:lang w:val="en-US" w:eastAsia="zh-CN" w:bidi="ar-SA"/>
        </w:rPr>
        <w:t>；</w:t>
      </w:r>
    </w:p>
    <w:p w14:paraId="7C78C015">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pPr>
      <w:r>
        <w:rPr>
          <w:rFonts w:hint="eastAsia" w:ascii="宋体" w:hAnsi="宋体" w:eastAsia="宋体" w:cs="宋体"/>
          <w:i w:val="0"/>
          <w:iCs w:val="0"/>
          <w:color w:val="auto"/>
          <w:kern w:val="2"/>
          <w:sz w:val="28"/>
          <w:szCs w:val="28"/>
          <w:highlight w:val="none"/>
          <w:lang w:val="en-US" w:eastAsia="zh-CN" w:bidi="ar-SA"/>
        </w:rPr>
        <w:t>③</w:t>
      </w:r>
      <w:r>
        <w:rPr>
          <w:rFonts w:hint="eastAsia" w:ascii="仿宋" w:hAnsi="仿宋" w:eastAsia="仿宋" w:cs="仿宋"/>
          <w:i w:val="0"/>
          <w:iCs w:val="0"/>
          <w:color w:val="auto"/>
          <w:kern w:val="2"/>
          <w:sz w:val="28"/>
          <w:szCs w:val="28"/>
          <w:highlight w:val="none"/>
          <w:lang w:val="en-US" w:eastAsia="zh-CN" w:bidi="ar-SA"/>
        </w:rPr>
        <w:t>集水井：</w:t>
      </w:r>
      <w:r>
        <w:rPr>
          <w:rFonts w:hint="eastAsia" w:ascii="仿宋" w:hAnsi="仿宋" w:eastAsia="仿宋" w:cs="仿宋"/>
          <w:i w:val="0"/>
          <w:iCs w:val="0"/>
          <w:color w:val="auto"/>
          <w:kern w:val="2"/>
          <w:sz w:val="28"/>
          <w:szCs w:val="28"/>
          <w:highlight w:val="none"/>
          <w:u w:val="single"/>
          <w:lang w:val="en-US" w:eastAsia="zh-CN" w:bidi="ar-SA"/>
        </w:rPr>
        <w:t>涂刷一道单组分聚氨酯防水涂料</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5173E2F1">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上述第3.1.1-3.1.4条（污水厂）/第3.1.1条（供水厂）内容仅为概述，具体</w:t>
      </w:r>
      <w:r>
        <w:rPr>
          <w:rFonts w:hint="eastAsia" w:ascii="仿宋" w:hAnsi="仿宋" w:eastAsia="仿宋" w:cs="仿宋"/>
          <w:b w:val="0"/>
          <w:bCs w:val="0"/>
          <w:i w:val="0"/>
          <w:iCs w:val="0"/>
          <w:color w:val="auto"/>
          <w:sz w:val="28"/>
          <w:szCs w:val="28"/>
          <w:highlight w:val="none"/>
          <w:lang w:val="en-US" w:eastAsia="zh-CN"/>
        </w:rPr>
        <w:t>施工范围、内容以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甲方提供的施工图纸、施工方案、图纸会审、工程量清单、交楼标准为准，互有矛盾的，以甲方最终确认为准。乙方不得因本工程施工范围、内容增减及工期未按预期执行而要求调增合同单价或增加额外费用。</w:t>
      </w:r>
    </w:p>
    <w:p w14:paraId="35C09ACD">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3.2乙方负责购买其在本项目工作的所有人员的社会保险、工伤保险、人身意外伤害保险，费用已包含在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合同总价中。</w:t>
      </w:r>
    </w:p>
    <w:p w14:paraId="42FEBD70">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3.3乙方施工范围、内容还包括：本工程图纸的漏项、错项内容，非重大工程量变更的施工图纸调整内容，本工程图纸、报价清单未列明但属于本工程合理施工范围或完成本工程所需进行的施工内容等。</w:t>
      </w:r>
    </w:p>
    <w:p w14:paraId="25D5C482">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3.4乙方负责本工程工作面上所用材料、机具、垃圾的清理，做到工完场清，并自行负责有机物垃圾的处置，隐蔽工程验收前把工作面有关材料、机具、垃圾清理到甲方指定位置，相关费用已含于</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合同总价中，甲方无需另行计费给乙方。</w:t>
      </w:r>
    </w:p>
    <w:p w14:paraId="728A0606">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3.5乙方自备的施工材料如下：</w:t>
      </w:r>
      <w:r>
        <w:rPr>
          <w:rFonts w:hint="eastAsia" w:ascii="仿宋" w:hAnsi="仿宋" w:eastAsia="仿宋" w:cs="仿宋"/>
          <w:b w:val="0"/>
          <w:bCs w:val="0"/>
          <w:i w:val="0"/>
          <w:iCs w:val="0"/>
          <w:color w:val="auto"/>
          <w:sz w:val="28"/>
          <w:szCs w:val="28"/>
          <w:highlight w:val="none"/>
          <w:u w:val="single"/>
          <w:shd w:val="clear" w:color="auto" w:fill="auto"/>
          <w:lang w:val="en-US" w:eastAsia="zh-CN"/>
        </w:rPr>
        <w:t>本工程整改、返工及完成本工程所涉材料，仅不含本合同约定的甲供材（如有）。</w:t>
      </w:r>
    </w:p>
    <w:p w14:paraId="4A6286B8">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3.6除本合同已明确的甲供机具（如有）外，本工程整改或返工所用机具以及完成本工程所涉的其他机具均由乙方自行提供。乙方自备机具的维修及养护由乙方自行负责。乙方自备/采购的材料、设备或小型机具必须符合使用规范及本项目施工总承包合同的要求。</w:t>
      </w:r>
    </w:p>
    <w:p w14:paraId="3C61A35E">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3.7本工程因乙方原因返工所需的全部材料、全部机具由乙方自备。本合同约定的甲供材和甲供机具仅供乙方第一次施工本工程时使用。</w:t>
      </w:r>
    </w:p>
    <w:p w14:paraId="3A59A29B">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3.8本工程须满足建设单位的交楼标准要求，须满足本项目所在地政府监管部门安全管理标准化施工要求。</w:t>
      </w:r>
    </w:p>
    <w:p w14:paraId="313B966A">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3.9乙方自行负责施工管理，自行组织本工程施工的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w:t>
      </w:r>
      <w:r>
        <w:rPr>
          <w:rFonts w:hint="eastAsia" w:ascii="仿宋" w:hAnsi="仿宋" w:eastAsia="仿宋" w:cs="仿宋"/>
          <w:b w:val="0"/>
          <w:bCs w:val="0"/>
          <w:i w:val="0"/>
          <w:iCs w:val="0"/>
          <w:color w:val="auto"/>
          <w:sz w:val="28"/>
          <w:szCs w:val="28"/>
          <w:highlight w:val="none"/>
          <w:u w:val="none"/>
          <w:shd w:val="clear" w:color="auto" w:fill="auto"/>
          <w:lang w:val="en-US" w:eastAsia="zh-CN"/>
        </w:rPr>
        <w:t>质量、安全、进度、成本等现场组织管理工作，施工方案以甲方书面确定的为准。</w:t>
      </w:r>
    </w:p>
    <w:p w14:paraId="4EFE5F13">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val="en-US" w:eastAsia="zh-CN"/>
        </w:rPr>
        <w:t>3.10</w:t>
      </w:r>
      <w:r>
        <w:rPr>
          <w:rFonts w:hint="eastAsia" w:ascii="仿宋" w:hAnsi="仿宋" w:eastAsia="仿宋" w:cs="仿宋"/>
          <w:i w:val="0"/>
          <w:iCs w:val="0"/>
          <w:color w:val="auto"/>
          <w:sz w:val="28"/>
          <w:szCs w:val="28"/>
          <w:highlight w:val="none"/>
          <w:shd w:val="clear" w:color="auto" w:fill="auto"/>
          <w:lang w:val="en-US" w:eastAsia="zh-CN"/>
        </w:rPr>
        <w:t>乙方负责完成下述工作及应对下述情况、风险：</w:t>
      </w:r>
    </w:p>
    <w:p w14:paraId="5503F50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3.10.1完成本项目</w:t>
      </w:r>
      <w:r>
        <w:rPr>
          <w:rFonts w:hint="eastAsia" w:ascii="仿宋" w:hAnsi="仿宋" w:eastAsia="仿宋" w:cs="仿宋"/>
          <w:i w:val="0"/>
          <w:iCs w:val="0"/>
          <w:color w:val="auto"/>
          <w:sz w:val="28"/>
          <w:szCs w:val="28"/>
          <w:highlight w:val="none"/>
          <w:shd w:val="clear" w:color="auto" w:fill="auto"/>
        </w:rPr>
        <w:t>图纸范围内的全部</w:t>
      </w:r>
      <w:r>
        <w:rPr>
          <w:rFonts w:hint="eastAsia" w:ascii="仿宋" w:hAnsi="仿宋" w:eastAsia="仿宋" w:cs="仿宋"/>
          <w:i w:val="0"/>
          <w:iCs w:val="0"/>
          <w:color w:val="auto"/>
          <w:sz w:val="28"/>
          <w:szCs w:val="28"/>
          <w:highlight w:val="none"/>
          <w:shd w:val="clear" w:color="auto" w:fill="auto"/>
          <w:lang w:val="en-US" w:eastAsia="zh-CN"/>
        </w:rPr>
        <w:t>防水相关工程，包括但不限于：清理基层、刷基层处理剂，防水薄弱处刷聚氨酯涂膜及卷材，附加层、加强层等细部处理，裂缝处理（如采用高压注浆等方式封堵等）贴卷材，卷材搭接处及收头嵌油膏，具体施工范围按图纸、规范及甲方要求。本工程使用的材料、机械设备，如因施工环境和场地限制，汽车不能直接运至现场（不能直接原车运到施工组织设计要求的范围内的堆放地点），乙方负责再次运输及所发生的二次装运卸。</w:t>
      </w:r>
    </w:p>
    <w:p w14:paraId="5D38F44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3.10.2对相关</w:t>
      </w:r>
      <w:r>
        <w:rPr>
          <w:rFonts w:hint="eastAsia" w:ascii="仿宋" w:hAnsi="仿宋" w:eastAsia="仿宋" w:cs="仿宋"/>
          <w:i w:val="0"/>
          <w:iCs w:val="0"/>
          <w:color w:val="auto"/>
          <w:sz w:val="28"/>
          <w:szCs w:val="28"/>
          <w:highlight w:val="none"/>
          <w:shd w:val="clear" w:color="auto" w:fill="auto"/>
        </w:rPr>
        <w:t>施工机械及</w:t>
      </w:r>
      <w:r>
        <w:rPr>
          <w:rFonts w:hint="eastAsia" w:ascii="仿宋" w:hAnsi="仿宋" w:eastAsia="仿宋" w:cs="仿宋"/>
          <w:i w:val="0"/>
          <w:iCs w:val="0"/>
          <w:color w:val="auto"/>
          <w:sz w:val="28"/>
          <w:szCs w:val="28"/>
          <w:highlight w:val="none"/>
          <w:shd w:val="clear" w:color="auto" w:fill="auto"/>
          <w:lang w:val="en-US" w:eastAsia="zh-CN"/>
        </w:rPr>
        <w:t>总分配电</w:t>
      </w:r>
      <w:r>
        <w:rPr>
          <w:rFonts w:hint="eastAsia" w:ascii="仿宋" w:hAnsi="仿宋" w:eastAsia="仿宋" w:cs="仿宋"/>
          <w:i w:val="0"/>
          <w:iCs w:val="0"/>
          <w:color w:val="auto"/>
          <w:sz w:val="28"/>
          <w:szCs w:val="28"/>
          <w:highlight w:val="none"/>
          <w:shd w:val="clear" w:color="auto" w:fill="auto"/>
        </w:rPr>
        <w:t>箱、电缆线</w:t>
      </w:r>
      <w:r>
        <w:rPr>
          <w:rFonts w:hint="eastAsia" w:ascii="仿宋" w:hAnsi="仿宋" w:eastAsia="仿宋" w:cs="仿宋"/>
          <w:i w:val="0"/>
          <w:iCs w:val="0"/>
          <w:color w:val="auto"/>
          <w:sz w:val="28"/>
          <w:szCs w:val="28"/>
          <w:highlight w:val="none"/>
          <w:shd w:val="clear" w:color="auto" w:fill="auto"/>
          <w:lang w:val="en-US" w:eastAsia="zh-CN"/>
        </w:rPr>
        <w:t>进</w:t>
      </w:r>
      <w:r>
        <w:rPr>
          <w:rFonts w:hint="eastAsia" w:ascii="仿宋" w:hAnsi="仿宋" w:eastAsia="仿宋" w:cs="仿宋"/>
          <w:i w:val="0"/>
          <w:iCs w:val="0"/>
          <w:color w:val="auto"/>
          <w:sz w:val="28"/>
          <w:szCs w:val="28"/>
          <w:highlight w:val="none"/>
          <w:shd w:val="clear" w:color="auto" w:fill="auto"/>
        </w:rPr>
        <w:t>行维护、保养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甲方只负责将配电箱接至施工区域附近，乙方自行接至工作面</w:t>
      </w:r>
      <w:r>
        <w:rPr>
          <w:rFonts w:hint="eastAsia" w:ascii="仿宋" w:hAnsi="仿宋" w:eastAsia="仿宋" w:cs="仿宋"/>
          <w:i w:val="0"/>
          <w:iCs w:val="0"/>
          <w:color w:val="auto"/>
          <w:sz w:val="28"/>
          <w:szCs w:val="28"/>
          <w:highlight w:val="none"/>
          <w:shd w:val="clear" w:color="auto" w:fill="auto"/>
          <w:lang w:val="en-US" w:eastAsia="zh-CN"/>
        </w:rPr>
        <w:t>开关箱，</w:t>
      </w:r>
      <w:r>
        <w:rPr>
          <w:rFonts w:hint="eastAsia" w:ascii="仿宋" w:hAnsi="仿宋" w:eastAsia="仿宋" w:cs="仿宋"/>
          <w:i w:val="0"/>
          <w:iCs w:val="0"/>
          <w:color w:val="auto"/>
          <w:sz w:val="28"/>
          <w:szCs w:val="28"/>
          <w:highlight w:val="none"/>
          <w:shd w:val="clear" w:color="auto" w:fill="auto"/>
        </w:rPr>
        <w:t>电线、电缆由乙方负责</w:t>
      </w:r>
      <w:r>
        <w:rPr>
          <w:rFonts w:hint="eastAsia" w:ascii="仿宋" w:hAnsi="仿宋" w:eastAsia="仿宋" w:cs="仿宋"/>
          <w:i w:val="0"/>
          <w:iCs w:val="0"/>
          <w:color w:val="auto"/>
          <w:sz w:val="28"/>
          <w:szCs w:val="28"/>
          <w:highlight w:val="none"/>
          <w:shd w:val="clear" w:color="auto" w:fill="auto"/>
          <w:lang w:eastAsia="zh-CN"/>
        </w:rPr>
        <w:t>。</w:t>
      </w:r>
    </w:p>
    <w:p w14:paraId="67EB0C1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w:t>
      </w:r>
      <w:bookmarkStart w:id="31" w:name="_Toc15468"/>
      <w:bookmarkStart w:id="32" w:name="_Toc15548"/>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color w:val="auto"/>
          <w:sz w:val="28"/>
          <w:szCs w:val="28"/>
          <w:highlight w:val="none"/>
          <w:u w:val="none"/>
          <w:shd w:val="clear" w:color="auto" w:fill="auto"/>
          <w:vertAlign w:val="baseline"/>
          <w:lang w:val="en-US" w:eastAsia="zh-CN"/>
        </w:rPr>
        <w:t>本合同</w:t>
      </w:r>
      <w:r>
        <w:rPr>
          <w:rFonts w:hint="eastAsia" w:ascii="仿宋" w:hAnsi="仿宋" w:eastAsia="仿宋" w:cs="仿宋"/>
          <w:color w:val="auto"/>
          <w:sz w:val="28"/>
          <w:szCs w:val="28"/>
          <w:highlight w:val="none"/>
          <w:shd w:val="clear" w:color="auto" w:fill="auto"/>
          <w:vertAlign w:val="baseline"/>
          <w:lang w:val="en-US" w:eastAsia="zh-CN"/>
        </w:rPr>
        <w:t>指定的防水材料</w:t>
      </w:r>
      <w:r>
        <w:rPr>
          <w:rFonts w:hint="eastAsia" w:ascii="仿宋" w:hAnsi="仿宋" w:eastAsia="仿宋" w:cs="仿宋"/>
          <w:color w:val="auto"/>
          <w:sz w:val="28"/>
          <w:szCs w:val="28"/>
          <w:highlight w:val="none"/>
          <w:u w:val="none"/>
          <w:shd w:val="clear" w:color="auto" w:fill="auto"/>
          <w:vertAlign w:val="baseline"/>
          <w:lang w:val="en-US" w:eastAsia="zh-CN"/>
        </w:rPr>
        <w:t>、</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防水涂料的品牌：详见附件的《报价清单》</w:t>
      </w:r>
      <w:bookmarkStart w:id="447" w:name="_GoBack"/>
      <w:r>
        <w:rPr>
          <w:rFonts w:hint="eastAsia" w:ascii="仿宋" w:hAnsi="仿宋" w:eastAsia="仿宋" w:cs="仿宋"/>
          <w:b/>
          <w:bCs/>
          <w:i w:val="0"/>
          <w:iCs w:val="0"/>
          <w:color w:val="auto"/>
          <w:sz w:val="28"/>
          <w:szCs w:val="28"/>
          <w:highlight w:val="none"/>
          <w:u w:val="single"/>
          <w:shd w:val="clear" w:color="auto" w:fill="auto"/>
          <w:lang w:val="en-US" w:eastAsia="zh-CN"/>
        </w:rPr>
        <w:t>，</w:t>
      </w:r>
      <w:bookmarkEnd w:id="447"/>
      <w:r>
        <w:rPr>
          <w:rFonts w:hint="eastAsia" w:ascii="仿宋" w:hAnsi="仿宋" w:eastAsia="仿宋" w:cs="仿宋"/>
          <w:b/>
          <w:bCs/>
          <w:color w:val="auto"/>
          <w:sz w:val="28"/>
          <w:szCs w:val="28"/>
          <w:highlight w:val="none"/>
          <w:u w:val="single"/>
          <w:shd w:val="clear" w:color="auto" w:fill="auto"/>
          <w:vertAlign w:val="baseline"/>
          <w:lang w:val="en-US" w:eastAsia="zh-CN"/>
        </w:rPr>
        <w:t>乙方须自指定的品牌中选取质量优良的材料品牌进行施工</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7D88A8D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3.12乙方完成前述内容涉及的费用均包含在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合同总价内，不属于增加工程，除非双方额外签证，否则甲方不另行计费给乙方。</w:t>
      </w:r>
    </w:p>
    <w:p w14:paraId="28D5CC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3" w:name="_Toc20813"/>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31"/>
      <w:bookmarkEnd w:id="32"/>
      <w:bookmarkEnd w:id="33"/>
    </w:p>
    <w:p w14:paraId="1D03B91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p>
    <w:tbl>
      <w:tblPr>
        <w:tblStyle w:val="15"/>
        <w:tblpPr w:leftFromText="180" w:rightFromText="180" w:vertAnchor="text" w:horzAnchor="page" w:tblpX="1533" w:tblpY="205"/>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
        <w:gridCol w:w="3045"/>
        <w:gridCol w:w="1245"/>
        <w:gridCol w:w="1920"/>
        <w:gridCol w:w="1875"/>
        <w:gridCol w:w="660"/>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54"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652"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675"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1041"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1017"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358"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469" w:type="dxa"/>
            <w:tcBorders>
              <w:tl2br w:val="nil"/>
              <w:tr2bl w:val="nil"/>
            </w:tcBorders>
            <w:noWrap/>
            <w:tcMar>
              <w:top w:w="15" w:type="dxa"/>
              <w:left w:w="15" w:type="dxa"/>
              <w:right w:w="15" w:type="dxa"/>
            </w:tcMar>
            <w:vAlign w:val="center"/>
          </w:tcPr>
          <w:p w14:paraId="405DC8B2">
            <w:pPr>
              <w:keepNext w:val="0"/>
              <w:keepLines w:val="0"/>
              <w:pageBreakBefore w:val="0"/>
              <w:widowControl w:val="0"/>
              <w:tabs>
                <w:tab w:val="right" w:pos="8306"/>
              </w:tabs>
              <w:kinsoku/>
              <w:wordWrap/>
              <w:overflowPunct/>
              <w:topLinePunct w:val="0"/>
              <w:autoSpaceDE/>
              <w:autoSpaceDN/>
              <w:bidi w:val="0"/>
              <w:adjustRightInd w:val="0"/>
              <w:snapToGrid w:val="0"/>
              <w:spacing w:line="520" w:lineRule="exact"/>
              <w:ind w:left="-197" w:leftChars="-94" w:right="0" w:rightChars="0" w:firstLine="0" w:firstLine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仿宋" w:hAnsi="仿宋" w:eastAsia="仿宋" w:cs="仿宋"/>
                <w:b w:val="0"/>
                <w:bCs w:val="0"/>
                <w:i w:val="0"/>
                <w:iCs w:val="0"/>
                <w:color w:val="000000" w:themeColor="text1"/>
                <w:sz w:val="24"/>
                <w:szCs w:val="24"/>
                <w:highlight w:val="none"/>
                <w:shd w:val="clear" w:color="auto" w:fill="auto"/>
                <w:lang w:val="en-US" w:eastAsia="zh-CN"/>
                <w14:textFill>
                  <w14:solidFill>
                    <w14:schemeClr w14:val="tx1"/>
                  </w14:solidFill>
                </w14:textFill>
              </w:rPr>
              <w:t>1</w:t>
            </w:r>
          </w:p>
        </w:tc>
        <w:tc>
          <w:tcPr>
            <w:tcW w:w="3045" w:type="dxa"/>
            <w:tcBorders>
              <w:tl2br w:val="nil"/>
              <w:tr2bl w:val="nil"/>
            </w:tcBorders>
            <w:noWrap/>
            <w:tcMar>
              <w:top w:w="15" w:type="dxa"/>
              <w:left w:w="15" w:type="dxa"/>
              <w:right w:w="15" w:type="dxa"/>
            </w:tcMar>
            <w:vAlign w:val="center"/>
          </w:tcPr>
          <w:p w14:paraId="5A906C8A">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13" w:leftChars="-6" w:right="0" w:rightChars="0" w:firstLine="0" w:firstLineChars="0"/>
              <w:jc w:val="center"/>
              <w:textAlignment w:val="auto"/>
              <w:rPr>
                <w:rFonts w:hint="default" w:ascii="宋体" w:hAnsi="宋体" w:eastAsia="宋体" w:cs="宋体"/>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lang w:val="en-US" w:eastAsia="zh-CN"/>
              </w:rPr>
              <w:t>玉林(福绵)节能环保产业园南部工业供水厂建设项目(二期5万吨/天)及其配套附属工程</w:t>
            </w:r>
          </w:p>
        </w:tc>
        <w:tc>
          <w:tcPr>
            <w:tcW w:w="1245" w:type="dxa"/>
            <w:tcBorders>
              <w:tl2br w:val="nil"/>
              <w:tr2bl w:val="nil"/>
            </w:tcBorders>
            <w:noWrap/>
            <w:tcMar>
              <w:top w:w="15" w:type="dxa"/>
              <w:left w:w="15" w:type="dxa"/>
              <w:right w:w="15" w:type="dxa"/>
            </w:tcMar>
            <w:vAlign w:val="center"/>
          </w:tcPr>
          <w:p w14:paraId="04C7D9E1">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97" w:leftChars="-94" w:right="0" w:rightChars="0" w:firstLine="0" w:firstLineChars="0"/>
              <w:jc w:val="center"/>
              <w:textAlignment w:val="auto"/>
              <w:rPr>
                <w:rFonts w:hint="default" w:ascii="宋体" w:hAnsi="宋体" w:eastAsia="宋体" w:cs="宋体"/>
                <w:b/>
                <w:bCs/>
                <w:color w:val="FF0000"/>
                <w:highlight w:val="none"/>
                <w:lang w:val="en-US" w:eastAsia="zh-CN"/>
              </w:rPr>
            </w:pPr>
            <w:r>
              <w:rPr>
                <w:rFonts w:hint="eastAsia" w:ascii="宋体" w:hAnsi="宋体" w:cs="宋体"/>
                <w:b/>
                <w:bCs/>
                <w:color w:val="FF0000"/>
                <w:sz w:val="21"/>
                <w:szCs w:val="21"/>
                <w:highlight w:val="none"/>
                <w:lang w:val="en-US" w:eastAsia="zh-CN"/>
              </w:rPr>
              <w:t>30天</w:t>
            </w:r>
          </w:p>
        </w:tc>
        <w:tc>
          <w:tcPr>
            <w:tcW w:w="1920" w:type="dxa"/>
            <w:tcBorders>
              <w:tl2br w:val="nil"/>
              <w:tr2bl w:val="nil"/>
            </w:tcBorders>
            <w:noWrap/>
            <w:tcMar>
              <w:top w:w="15" w:type="dxa"/>
              <w:left w:w="15" w:type="dxa"/>
              <w:right w:w="15" w:type="dxa"/>
            </w:tcMar>
            <w:vAlign w:val="center"/>
          </w:tcPr>
          <w:p w14:paraId="7870E8D4">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3" w:leftChars="-6" w:right="0" w:rightChars="0" w:firstLine="0" w:firstLineChars="0"/>
              <w:jc w:val="center"/>
              <w:textAlignment w:val="auto"/>
              <w:rPr>
                <w:rFonts w:hint="eastAsia" w:ascii="宋体" w:hAnsi="宋体" w:eastAsia="宋体" w:cs="宋体"/>
                <w:b/>
                <w:bCs/>
                <w:i w:val="0"/>
                <w:iCs w:val="0"/>
                <w:color w:val="FF0000"/>
                <w:sz w:val="24"/>
                <w:szCs w:val="24"/>
                <w:highlight w:val="none"/>
                <w:shd w:val="clear" w:color="auto" w:fill="auto"/>
                <w:lang w:val="en-US" w:eastAsia="zh-CN"/>
              </w:rPr>
            </w:pPr>
            <w:r>
              <w:rPr>
                <w:rFonts w:hint="eastAsia" w:ascii="宋体" w:hAnsi="宋体" w:cs="宋体"/>
                <w:b/>
                <w:bCs/>
                <w:i w:val="0"/>
                <w:iCs w:val="0"/>
                <w:color w:val="FF0000"/>
                <w:sz w:val="21"/>
                <w:szCs w:val="21"/>
                <w:highlight w:val="none"/>
                <w:shd w:val="clear" w:color="auto" w:fill="auto"/>
                <w:lang w:val="en-US" w:eastAsia="zh-CN"/>
              </w:rPr>
              <w:t>2025年12月11日</w:t>
            </w:r>
          </w:p>
        </w:tc>
        <w:tc>
          <w:tcPr>
            <w:tcW w:w="1875" w:type="dxa"/>
            <w:tcBorders>
              <w:tl2br w:val="nil"/>
              <w:tr2bl w:val="nil"/>
            </w:tcBorders>
            <w:noWrap/>
            <w:tcMar>
              <w:top w:w="15" w:type="dxa"/>
              <w:left w:w="15" w:type="dxa"/>
              <w:right w:w="15" w:type="dxa"/>
            </w:tcMar>
            <w:vAlign w:val="center"/>
          </w:tcPr>
          <w:p w14:paraId="7FC97252">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3" w:leftChars="-6" w:right="0" w:rightChars="0" w:firstLine="0" w:firstLineChars="0"/>
              <w:jc w:val="center"/>
              <w:textAlignment w:val="auto"/>
              <w:rPr>
                <w:rFonts w:hint="eastAsia" w:ascii="宋体" w:hAnsi="宋体" w:eastAsia="宋体" w:cs="宋体"/>
                <w:b/>
                <w:bCs/>
                <w:i w:val="0"/>
                <w:iCs w:val="0"/>
                <w:color w:val="FF0000"/>
                <w:sz w:val="24"/>
                <w:szCs w:val="24"/>
                <w:highlight w:val="none"/>
                <w:shd w:val="clear" w:color="auto" w:fill="auto"/>
                <w:lang w:val="en-US" w:eastAsia="zh-CN"/>
              </w:rPr>
            </w:pPr>
            <w:r>
              <w:rPr>
                <w:rFonts w:hint="eastAsia" w:ascii="宋体" w:hAnsi="宋体" w:cs="宋体"/>
                <w:b/>
                <w:bCs/>
                <w:i w:val="0"/>
                <w:iCs w:val="0"/>
                <w:color w:val="FF0000"/>
                <w:sz w:val="21"/>
                <w:szCs w:val="21"/>
                <w:highlight w:val="none"/>
                <w:shd w:val="clear" w:color="auto" w:fill="auto"/>
                <w:lang w:val="en-US" w:eastAsia="zh-CN"/>
              </w:rPr>
              <w:t>2026年1月9日</w:t>
            </w:r>
          </w:p>
        </w:tc>
        <w:tc>
          <w:tcPr>
            <w:tcW w:w="660" w:type="dxa"/>
            <w:tcBorders>
              <w:tl2br w:val="nil"/>
              <w:tr2bl w:val="nil"/>
            </w:tcBorders>
            <w:noWrap/>
            <w:tcMar>
              <w:top w:w="15" w:type="dxa"/>
              <w:left w:w="15" w:type="dxa"/>
              <w:right w:w="15" w:type="dxa"/>
            </w:tcMar>
            <w:vAlign w:val="center"/>
          </w:tcPr>
          <w:p w14:paraId="610F6E84">
            <w:pPr>
              <w:keepNext w:val="0"/>
              <w:keepLines w:val="0"/>
              <w:pageBreakBefore w:val="0"/>
              <w:widowControl w:val="0"/>
              <w:tabs>
                <w:tab w:val="right" w:pos="8306"/>
              </w:tabs>
              <w:kinsoku/>
              <w:wordWrap/>
              <w:overflowPunct/>
              <w:topLinePunct w:val="0"/>
              <w:autoSpaceDE/>
              <w:autoSpaceDN/>
              <w:bidi w:val="0"/>
              <w:adjustRightInd w:val="0"/>
              <w:snapToGrid w:val="0"/>
              <w:spacing w:line="520" w:lineRule="exact"/>
              <w:ind w:left="-197" w:leftChars="-94" w:right="0" w:rightChars="0" w:firstLine="0" w:firstLineChars="0"/>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r w14:paraId="01537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469" w:type="dxa"/>
            <w:tcBorders>
              <w:tl2br w:val="nil"/>
              <w:tr2bl w:val="nil"/>
            </w:tcBorders>
            <w:noWrap/>
            <w:tcMar>
              <w:top w:w="15" w:type="dxa"/>
              <w:left w:w="15" w:type="dxa"/>
              <w:right w:w="15" w:type="dxa"/>
            </w:tcMar>
            <w:vAlign w:val="center"/>
          </w:tcPr>
          <w:p w14:paraId="7ED3DD18">
            <w:pPr>
              <w:keepNext w:val="0"/>
              <w:keepLines w:val="0"/>
              <w:pageBreakBefore w:val="0"/>
              <w:widowControl w:val="0"/>
              <w:tabs>
                <w:tab w:val="right" w:pos="8306"/>
              </w:tabs>
              <w:kinsoku/>
              <w:wordWrap/>
              <w:overflowPunct/>
              <w:topLinePunct w:val="0"/>
              <w:autoSpaceDE/>
              <w:autoSpaceDN/>
              <w:bidi w:val="0"/>
              <w:adjustRightInd w:val="0"/>
              <w:snapToGrid w:val="0"/>
              <w:spacing w:line="520" w:lineRule="exact"/>
              <w:ind w:left="-197" w:leftChars="-94" w:right="0" w:rightChars="0" w:firstLine="0" w:firstLineChars="0"/>
              <w:jc w:val="center"/>
              <w:textAlignment w:val="auto"/>
              <w:rPr>
                <w:rFonts w:hint="eastAsia" w:ascii="仿宋" w:hAnsi="仿宋" w:eastAsia="仿宋" w:cs="仿宋"/>
                <w:b w:val="0"/>
                <w:bCs w:val="0"/>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4"/>
                <w:szCs w:val="24"/>
                <w:highlight w:val="none"/>
                <w:shd w:val="clear" w:color="auto" w:fill="auto"/>
                <w:lang w:val="en-US" w:eastAsia="zh-CN"/>
                <w14:textFill>
                  <w14:solidFill>
                    <w14:schemeClr w14:val="tx1"/>
                  </w14:solidFill>
                </w14:textFill>
              </w:rPr>
              <w:t>2</w:t>
            </w:r>
          </w:p>
        </w:tc>
        <w:tc>
          <w:tcPr>
            <w:tcW w:w="3045" w:type="dxa"/>
            <w:tcBorders>
              <w:tl2br w:val="nil"/>
              <w:tr2bl w:val="nil"/>
            </w:tcBorders>
            <w:noWrap/>
            <w:tcMar>
              <w:top w:w="15" w:type="dxa"/>
              <w:left w:w="15" w:type="dxa"/>
              <w:right w:w="15" w:type="dxa"/>
            </w:tcMar>
            <w:vAlign w:val="center"/>
          </w:tcPr>
          <w:p w14:paraId="50D1A5C9">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13" w:leftChars="-6"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玉林(福绵)节能环保产业园南部污水处理厂及中水回用设施建设项目(一期二标段5万吨天)及其配套附属工程</w:t>
            </w:r>
          </w:p>
        </w:tc>
        <w:tc>
          <w:tcPr>
            <w:tcW w:w="1245" w:type="dxa"/>
            <w:tcBorders>
              <w:tl2br w:val="nil"/>
              <w:tr2bl w:val="nil"/>
            </w:tcBorders>
            <w:noWrap/>
            <w:tcMar>
              <w:top w:w="15" w:type="dxa"/>
              <w:left w:w="15" w:type="dxa"/>
              <w:right w:w="15" w:type="dxa"/>
            </w:tcMar>
            <w:vAlign w:val="center"/>
          </w:tcPr>
          <w:p w14:paraId="3F39C1F3">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97" w:leftChars="-94" w:right="0" w:rightChars="0" w:firstLine="0" w:firstLineChars="0"/>
              <w:jc w:val="center"/>
              <w:textAlignment w:val="auto"/>
              <w:rPr>
                <w:rFonts w:hint="eastAsia" w:ascii="宋体" w:hAnsi="宋体"/>
                <w:b/>
                <w:bCs/>
                <w:color w:val="FF0000"/>
                <w:sz w:val="24"/>
                <w:szCs w:val="24"/>
                <w:highlight w:val="none"/>
                <w:lang w:val="zh-CN"/>
              </w:rPr>
            </w:pPr>
            <w:r>
              <w:rPr>
                <w:rFonts w:hint="eastAsia" w:ascii="宋体" w:hAnsi="宋体"/>
                <w:b/>
                <w:bCs/>
                <w:color w:val="FF0000"/>
                <w:sz w:val="21"/>
                <w:szCs w:val="21"/>
                <w:highlight w:val="none"/>
                <w:lang w:val="en-US" w:eastAsia="zh-CN"/>
              </w:rPr>
              <w:t>385天</w:t>
            </w:r>
          </w:p>
        </w:tc>
        <w:tc>
          <w:tcPr>
            <w:tcW w:w="1920" w:type="dxa"/>
            <w:tcBorders>
              <w:tl2br w:val="nil"/>
              <w:tr2bl w:val="nil"/>
            </w:tcBorders>
            <w:noWrap/>
            <w:tcMar>
              <w:top w:w="15" w:type="dxa"/>
              <w:left w:w="15" w:type="dxa"/>
              <w:right w:w="15" w:type="dxa"/>
            </w:tcMar>
            <w:vAlign w:val="center"/>
          </w:tcPr>
          <w:p w14:paraId="22EAC62E">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3" w:leftChars="-6" w:right="0" w:rightChars="0" w:firstLine="0" w:firstLineChars="0"/>
              <w:jc w:val="center"/>
              <w:textAlignment w:val="auto"/>
              <w:rPr>
                <w:rFonts w:hint="eastAsia" w:ascii="宋体" w:hAnsi="宋体"/>
                <w:b/>
                <w:bCs/>
                <w:color w:val="FF0000"/>
                <w:sz w:val="24"/>
                <w:szCs w:val="24"/>
                <w:highlight w:val="none"/>
                <w:lang w:val="zh-CN"/>
              </w:rPr>
            </w:pPr>
            <w:r>
              <w:rPr>
                <w:rFonts w:hint="eastAsia" w:ascii="宋体" w:hAnsi="宋体"/>
                <w:b/>
                <w:bCs/>
                <w:color w:val="FF0000"/>
                <w:sz w:val="21"/>
                <w:szCs w:val="21"/>
                <w:highlight w:val="none"/>
                <w:lang w:val="en-US" w:eastAsia="zh-CN"/>
              </w:rPr>
              <w:t>2025年12月1日</w:t>
            </w:r>
          </w:p>
        </w:tc>
        <w:tc>
          <w:tcPr>
            <w:tcW w:w="1875" w:type="dxa"/>
            <w:tcBorders>
              <w:tl2br w:val="nil"/>
              <w:tr2bl w:val="nil"/>
            </w:tcBorders>
            <w:noWrap/>
            <w:tcMar>
              <w:top w:w="15" w:type="dxa"/>
              <w:left w:w="15" w:type="dxa"/>
              <w:right w:w="15" w:type="dxa"/>
            </w:tcMar>
            <w:vAlign w:val="center"/>
          </w:tcPr>
          <w:p w14:paraId="12E35E5D">
            <w:pPr>
              <w:keepNext w:val="0"/>
              <w:keepLines w:val="0"/>
              <w:pageBreakBefore w:val="0"/>
              <w:widowControl w:val="0"/>
              <w:kinsoku/>
              <w:wordWrap/>
              <w:overflowPunct/>
              <w:topLinePunct w:val="0"/>
              <w:autoSpaceDE/>
              <w:autoSpaceDN/>
              <w:bidi w:val="0"/>
              <w:adjustRightInd w:val="0"/>
              <w:snapToGrid w:val="0"/>
              <w:spacing w:beforeLines="0" w:afterLines="0" w:line="360" w:lineRule="auto"/>
              <w:ind w:left="-13" w:leftChars="-6" w:right="0" w:rightChars="0" w:firstLine="0" w:firstLineChars="0"/>
              <w:jc w:val="center"/>
              <w:textAlignment w:val="auto"/>
              <w:rPr>
                <w:rFonts w:hint="eastAsia" w:ascii="宋体" w:hAnsi="宋体"/>
                <w:b/>
                <w:bCs/>
                <w:color w:val="FF0000"/>
                <w:sz w:val="24"/>
                <w:szCs w:val="24"/>
                <w:highlight w:val="none"/>
                <w:lang w:val="zh-CN"/>
              </w:rPr>
            </w:pPr>
            <w:r>
              <w:rPr>
                <w:rFonts w:hint="eastAsia" w:ascii="宋体" w:hAnsi="宋体"/>
                <w:b/>
                <w:bCs/>
                <w:color w:val="FF0000"/>
                <w:sz w:val="21"/>
                <w:szCs w:val="21"/>
                <w:highlight w:val="none"/>
                <w:lang w:val="en-US" w:eastAsia="zh-CN"/>
              </w:rPr>
              <w:t>2026年12月20日</w:t>
            </w:r>
          </w:p>
        </w:tc>
        <w:tc>
          <w:tcPr>
            <w:tcW w:w="660" w:type="dxa"/>
            <w:tcBorders>
              <w:tl2br w:val="nil"/>
              <w:tr2bl w:val="nil"/>
            </w:tcBorders>
            <w:noWrap/>
            <w:tcMar>
              <w:top w:w="15" w:type="dxa"/>
              <w:left w:w="15" w:type="dxa"/>
              <w:right w:w="15" w:type="dxa"/>
            </w:tcMar>
            <w:vAlign w:val="center"/>
          </w:tcPr>
          <w:p w14:paraId="3A0960CC">
            <w:pPr>
              <w:keepNext w:val="0"/>
              <w:keepLines w:val="0"/>
              <w:pageBreakBefore w:val="0"/>
              <w:widowControl w:val="0"/>
              <w:tabs>
                <w:tab w:val="right" w:pos="8306"/>
              </w:tabs>
              <w:kinsoku/>
              <w:wordWrap/>
              <w:overflowPunct/>
              <w:topLinePunct w:val="0"/>
              <w:autoSpaceDE/>
              <w:autoSpaceDN/>
              <w:bidi w:val="0"/>
              <w:adjustRightInd w:val="0"/>
              <w:snapToGrid w:val="0"/>
              <w:spacing w:line="520" w:lineRule="exact"/>
              <w:ind w:left="-197" w:leftChars="-94" w:right="0" w:rightChars="0" w:firstLine="0" w:firstLineChars="0"/>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645799C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70AD3E2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w:t>
      </w:r>
      <w:r>
        <w:rPr>
          <w:rFonts w:hint="eastAsia" w:ascii="仿宋" w:hAnsi="仿宋" w:eastAsia="仿宋" w:cs="仿宋"/>
          <w:i w:val="0"/>
          <w:iCs w:val="0"/>
          <w:color w:val="FF0000"/>
          <w:sz w:val="28"/>
          <w:szCs w:val="28"/>
          <w:highlight w:val="none"/>
          <w:lang w:val="en-US" w:eastAsia="zh-CN"/>
        </w:rPr>
        <w:t>不少于</w:t>
      </w:r>
      <w:r>
        <w:rPr>
          <w:rFonts w:hint="eastAsia" w:ascii="仿宋" w:hAnsi="仿宋" w:eastAsia="仿宋" w:cs="仿宋"/>
          <w:i w:val="0"/>
          <w:iCs w:val="0"/>
          <w:color w:val="FF0000"/>
          <w:sz w:val="28"/>
          <w:szCs w:val="28"/>
          <w:highlight w:val="none"/>
          <w:u w:val="single"/>
          <w:lang w:val="en-US" w:eastAsia="zh-CN"/>
        </w:rPr>
        <w:t xml:space="preserve"> 10 </w:t>
      </w:r>
      <w:r>
        <w:rPr>
          <w:rFonts w:hint="eastAsia" w:ascii="仿宋" w:hAnsi="仿宋" w:eastAsia="仿宋" w:cs="仿宋"/>
          <w:i w:val="0"/>
          <w:iCs w:val="0"/>
          <w:color w:val="FF0000"/>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p>
    <w:p w14:paraId="169DBF9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4" w:name="_Toc3824"/>
      <w:bookmarkStart w:id="35" w:name="_Toc21579"/>
      <w:bookmarkStart w:id="36" w:name="_Toc22079"/>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4"/>
      <w:bookmarkEnd w:id="35"/>
      <w:bookmarkEnd w:id="36"/>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EB8A91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标准，本合同另有约定的须同时符合该约定。</w:t>
      </w:r>
    </w:p>
    <w:p w14:paraId="16367E3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7" w:name="_Toc2060"/>
      <w:bookmarkStart w:id="38" w:name="_Toc19252"/>
    </w:p>
    <w:p w14:paraId="00B987C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5.2.1乙供材料必须符合设计要求，有材料出厂合格证、质量检验报告和现场抽样复验报告。</w:t>
      </w:r>
    </w:p>
    <w:p w14:paraId="535D8C4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5.2.2 各施工部位细部做法必须符合设计和规范要求。</w:t>
      </w:r>
    </w:p>
    <w:p w14:paraId="6751EF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防水层在天沟、檐沟、泛水、变形缝和水落口等处细部做法必须符合设计和规范要求。</w:t>
      </w:r>
    </w:p>
    <w:p w14:paraId="3DF3337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5.2.4 防水层的搭接缝应粘结牢固、密封严密，不得有皱折、翘边和鼓泡。</w:t>
      </w:r>
    </w:p>
    <w:p w14:paraId="6A631D3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5.2.5 防水层的收头应与基层粘结并固定牢固、缝口封严，不得翘边。</w:t>
      </w:r>
    </w:p>
    <w:p w14:paraId="136E126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5.2.6 防水层的铺设方向正确，搭接长度符合要求。</w:t>
      </w:r>
    </w:p>
    <w:p w14:paraId="12474AA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9" w:name="_Toc11761"/>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7"/>
      <w:bookmarkEnd w:id="38"/>
      <w:bookmarkEnd w:id="39"/>
    </w:p>
    <w:p w14:paraId="37177A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719ADC0D">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合同单价（详见附件的《报价清单》）为全费用固定综合单价（仅不含增值税），除合同另有约定外，不做任何调整（尤其不因乙方实际施工面积的变化而增加）。</w:t>
      </w:r>
      <w:r>
        <w:rPr>
          <w:rFonts w:hint="eastAsia" w:ascii="仿宋" w:hAnsi="仿宋" w:eastAsia="仿宋" w:cs="仿宋"/>
          <w:b/>
          <w:bCs/>
          <w:i w:val="0"/>
          <w:iCs w:val="0"/>
          <w:color w:val="auto"/>
          <w:sz w:val="28"/>
          <w:szCs w:val="28"/>
          <w:highlight w:val="none"/>
          <w:lang w:val="en-US" w:eastAsia="zh-CN"/>
        </w:rPr>
        <w:t>合同单价包含乙方完成合同文件所述内容的全部费用。</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%的增值税专用发票，税率按国家政策执行，如税率调整，税金随之调整。</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 xml:space="preserve">，此价仅供参考，不作结算用途。 </w:t>
      </w:r>
    </w:p>
    <w:p w14:paraId="37D783E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w:t>
      </w:r>
      <w:r>
        <w:rPr>
          <w:rFonts w:hint="eastAsia" w:ascii="仿宋" w:hAnsi="仿宋" w:eastAsia="仿宋" w:cs="仿宋"/>
          <w:b/>
          <w:bCs/>
          <w:i w:val="0"/>
          <w:iCs w:val="0"/>
          <w:color w:val="auto"/>
          <w:sz w:val="28"/>
          <w:szCs w:val="28"/>
          <w:highlight w:val="none"/>
          <w:lang w:val="en-US" w:eastAsia="zh-CN"/>
        </w:rPr>
        <w:t>其中不含税总价为人民币</w:t>
      </w:r>
      <w:r>
        <w:rPr>
          <w:rFonts w:hint="eastAsia" w:ascii="仿宋" w:hAnsi="仿宋" w:eastAsia="仿宋" w:cs="仿宋"/>
          <w:b/>
          <w:bCs/>
          <w:i w:val="0"/>
          <w:iCs w:val="0"/>
          <w:color w:val="auto"/>
          <w:sz w:val="28"/>
          <w:szCs w:val="28"/>
          <w:highlight w:val="none"/>
          <w:u w:val="single"/>
          <w:lang w:val="en-US" w:eastAsia="zh-CN"/>
        </w:rPr>
        <w:t xml:space="preserve">： /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合同总价对应的报价清单和图纸及相关文件详见附件。合同总价包含乙方完成合同附件所述内容的费用，除合同另有约定外，不作调整。</w:t>
      </w:r>
    </w:p>
    <w:p w14:paraId="55EE6A5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0" w:name="_Toc9761"/>
      <w:bookmarkStart w:id="41"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合同总价适用于本项目用地红线范围内的本工程全部工作内容，已有价格的子目双方无需另行确定单价，均按已确定价格执行。</w:t>
      </w:r>
    </w:p>
    <w:p w14:paraId="4055E14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投标过程中，乙方对报价清单、图纸、施工方案、技术要求等招采文件内容未经甲方同意而擅自更改、删除的，无论是否在本合同正文、附件中有所体现、表述，均属乙方欺瞒甲方的不诚信行为，该条款属无效条款，乙方须按甲方的招采要求（以甲方解释为准）执行。甲方不因此承担任何损失和费用，因此产生的损失、后果则由乙方承担，给甲方造成的损失由乙方全额赔偿甲方，同时甲方有权单方解除合同且不付款。</w:t>
      </w:r>
    </w:p>
    <w:p w14:paraId="2F93A73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20947"/>
      <w:bookmarkStart w:id="43"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42"/>
      <w:bookmarkEnd w:id="43"/>
    </w:p>
    <w:p w14:paraId="39916699">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4" w:name="_Toc24245"/>
      <w:bookmarkStart w:id="45" w:name="_Toc28489"/>
      <w:bookmarkStart w:id="46" w:name="_Toc13749"/>
      <w:bookmarkStart w:id="47" w:name="_Toc2463"/>
      <w:r>
        <w:rPr>
          <w:rFonts w:hint="eastAsia" w:ascii="仿宋" w:hAnsi="仿宋" w:eastAsia="仿宋" w:cs="仿宋"/>
          <w:b w:val="0"/>
          <w:bCs w:val="0"/>
          <w:color w:val="auto"/>
          <w:sz w:val="28"/>
          <w:szCs w:val="28"/>
          <w:highlight w:val="none"/>
          <w:lang w:val="en-US" w:eastAsia="zh-CN"/>
        </w:rPr>
        <w:t>7.1工程量计算原则</w:t>
      </w:r>
      <w:bookmarkEnd w:id="44"/>
      <w:bookmarkEnd w:id="45"/>
      <w:bookmarkEnd w:id="46"/>
      <w:bookmarkEnd w:id="47"/>
    </w:p>
    <w:bookmarkEnd w:id="40"/>
    <w:bookmarkEnd w:id="41"/>
    <w:p w14:paraId="77069599">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8" w:name="_Toc16700"/>
      <w:bookmarkStart w:id="49" w:name="_Toc26012"/>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2A440EB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固定单价合同：合同范围内的按合同约定的计算原则执行，合同无约定或合同范围外的签证、变更工程计量方式按下述</w:t>
      </w:r>
      <w:r>
        <w:rPr>
          <w:rFonts w:hint="eastAsia" w:ascii="仿宋" w:hAnsi="仿宋" w:eastAsia="仿宋" w:cs="仿宋"/>
          <w:b w:val="0"/>
          <w:bCs w:val="0"/>
          <w:i w:val="0"/>
          <w:iCs w:val="0"/>
          <w:color w:val="FF0000"/>
          <w:sz w:val="28"/>
          <w:szCs w:val="28"/>
          <w:highlight w:val="none"/>
          <w:shd w:val="clear" w:color="auto" w:fill="auto"/>
          <w:lang w:val="en-US" w:eastAsia="zh-CN"/>
        </w:rPr>
        <w:t>7.2条</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74520DE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auto"/>
          <w:sz w:val="28"/>
          <w:szCs w:val="28"/>
          <w:highlight w:val="none"/>
          <w:lang w:val="en-US" w:eastAsia="zh-CN"/>
        </w:rPr>
        <w:t>工程量计量规则：</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D2CE28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2DFC00B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66D5B53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2795A12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43C18D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515FB4A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7.3.2.3合同中没有适用或类似于变更工程的价格，按以下第7.3.3条计价规则执行。</w:t>
      </w:r>
    </w:p>
    <w:p w14:paraId="5FB8FD3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5D2F0DDB">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7.3.3.1本工程执行《建设工程工程量清单计价标准》（GB/T 50500-2024）、《房屋建筑与装饰工程工程量计算标准》（GB/T 50854-2024）、《通用安装工程工程量计算标准》（GB/T 50856-2024）、《市政工程工程量计算标准》（GB/T 50857-2024）、《园林绿化工程工程量计算标准》（GB/T 50858-2024）、《构筑物工程工程量计算标准》（GB/T 50860-2024）；同时执行《广东省建设工程计价依据（2018）》：《广东省房屋建筑与装饰工程综合定额(2018年)》、《广东省通用安装工程综合定额(2018年)》、《广东省市政工程综合定额(2018年)》、《广东省园林绿化工程综合定额(2018年)》、《广东省建设工程施工机具台班费用编制规则（2018）》、《工程量清单项目计量标准(2024-广东)》等以及国家行政主管部门颁布的相关规定文件，采用清单计价。</w:t>
      </w:r>
    </w:p>
    <w:p w14:paraId="1E14357B">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7.3.3.2执行粤标定函[2025]22号文，关于调整《广东省建设工程计价依据2018》计价规则的通知。</w:t>
      </w:r>
    </w:p>
    <w:p w14:paraId="3D1B0BC6">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rPr>
        <w:t>7.3.3.3执行粤标定函[2025]22号文，采用定额编制概算、预算、最高投标限价的计价程序表。</w:t>
      </w:r>
    </w:p>
    <w:p w14:paraId="34178D2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7.3.3.4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7.3.3.5计价中除仅计取人工费、材料费、机具费作为直接工程费外，其余按系数计取的各类取费均不计取，其他所有措施费均不单独计取费用，</w:t>
      </w:r>
      <w:r>
        <w:rPr>
          <w:rFonts w:hint="eastAsia" w:ascii="仿宋" w:hAnsi="仿宋" w:eastAsia="仿宋" w:cs="仿宋"/>
          <w:b w:val="0"/>
          <w:bCs w:val="0"/>
          <w:i w:val="0"/>
          <w:iCs w:val="0"/>
          <w:color w:val="auto"/>
          <w:sz w:val="28"/>
          <w:szCs w:val="28"/>
          <w:highlight w:val="none"/>
          <w:lang w:val="en-US" w:eastAsia="zh-CN"/>
        </w:rPr>
        <w:t>定额生成的水费、电费不计取</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14:paraId="1F88B3B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outlineLvl w:val="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7.3.3.6税率：按国家建设行政主管部门及国家税务部门的最新规定执行。</w:t>
      </w:r>
    </w:p>
    <w:p w14:paraId="53EF950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7.3.3.7按上述计费方式得出的不含税金额</w:t>
      </w:r>
      <w:r>
        <w:rPr>
          <w:rFonts w:hint="eastAsia" w:ascii="仿宋" w:hAnsi="仿宋" w:eastAsia="仿宋" w:cs="仿宋"/>
          <w:color w:val="auto"/>
          <w:sz w:val="28"/>
          <w:szCs w:val="28"/>
          <w:highlight w:val="none"/>
          <w:lang w:val="en-US" w:eastAsia="zh-CN"/>
        </w:rPr>
        <w:t>下浮（下浮率见下表。甲方直接确认的综合单价不参与上下浮）后计取税金作为最终价格</w:t>
      </w:r>
      <w:r>
        <w:rPr>
          <w:rFonts w:hint="eastAsia" w:ascii="仿宋" w:hAnsi="仿宋" w:eastAsia="仿宋" w:cs="仿宋"/>
          <w:b w:val="0"/>
          <w:bCs w:val="0"/>
          <w:color w:val="auto"/>
          <w:sz w:val="28"/>
          <w:szCs w:val="28"/>
          <w:highlight w:val="none"/>
          <w:lang w:val="en-US" w:eastAsia="zh-CN"/>
        </w:rPr>
        <w:t>。</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8"/>
        <w:gridCol w:w="4583"/>
        <w:gridCol w:w="1477"/>
        <w:gridCol w:w="1580"/>
      </w:tblGrid>
      <w:tr w14:paraId="6052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098" w:type="dxa"/>
            <w:vAlign w:val="center"/>
          </w:tcPr>
          <w:p w14:paraId="610DBCB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序号</w:t>
            </w:r>
          </w:p>
        </w:tc>
        <w:tc>
          <w:tcPr>
            <w:tcW w:w="4583" w:type="dxa"/>
            <w:vAlign w:val="center"/>
          </w:tcPr>
          <w:p w14:paraId="3D3EBFA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承包方式</w:t>
            </w:r>
          </w:p>
        </w:tc>
        <w:tc>
          <w:tcPr>
            <w:tcW w:w="1477" w:type="dxa"/>
            <w:vAlign w:val="center"/>
          </w:tcPr>
          <w:p w14:paraId="7864E82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下浮率</w:t>
            </w:r>
          </w:p>
        </w:tc>
        <w:tc>
          <w:tcPr>
            <w:tcW w:w="1580" w:type="dxa"/>
            <w:vAlign w:val="center"/>
          </w:tcPr>
          <w:p w14:paraId="28A5D77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备注</w:t>
            </w:r>
          </w:p>
        </w:tc>
      </w:tr>
      <w:tr w14:paraId="56334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098" w:type="dxa"/>
            <w:vAlign w:val="center"/>
          </w:tcPr>
          <w:p w14:paraId="791F12B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1</w:t>
            </w:r>
          </w:p>
        </w:tc>
        <w:tc>
          <w:tcPr>
            <w:tcW w:w="4583" w:type="dxa"/>
            <w:vAlign w:val="center"/>
          </w:tcPr>
          <w:p w14:paraId="24946B4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包工包料</w:t>
            </w:r>
          </w:p>
        </w:tc>
        <w:tc>
          <w:tcPr>
            <w:tcW w:w="1477" w:type="dxa"/>
            <w:vAlign w:val="center"/>
          </w:tcPr>
          <w:p w14:paraId="6FEECE3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FF0000"/>
                <w:sz w:val="28"/>
                <w:szCs w:val="28"/>
                <w:highlight w:val="none"/>
                <w:vertAlign w:val="baseline"/>
                <w:lang w:val="en-US" w:eastAsia="zh-CN"/>
              </w:rPr>
            </w:pPr>
            <w:r>
              <w:rPr>
                <w:rFonts w:hint="eastAsia" w:ascii="仿宋" w:hAnsi="仿宋" w:eastAsia="仿宋" w:cs="仿宋"/>
                <w:b w:val="0"/>
                <w:bCs w:val="0"/>
                <w:color w:val="FF0000"/>
                <w:sz w:val="28"/>
                <w:szCs w:val="28"/>
                <w:highlight w:val="none"/>
                <w:vertAlign w:val="baseline"/>
                <w:lang w:val="en-US" w:eastAsia="zh-CN"/>
              </w:rPr>
              <w:t>35%</w:t>
            </w:r>
          </w:p>
        </w:tc>
        <w:tc>
          <w:tcPr>
            <w:tcW w:w="1580" w:type="dxa"/>
            <w:vAlign w:val="center"/>
          </w:tcPr>
          <w:p w14:paraId="51BE0F1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auto"/>
                <w:sz w:val="28"/>
                <w:szCs w:val="28"/>
                <w:highlight w:val="none"/>
                <w:vertAlign w:val="baseline"/>
                <w:lang w:val="en-US" w:eastAsia="zh-CN"/>
              </w:rPr>
            </w:pPr>
          </w:p>
        </w:tc>
      </w:tr>
      <w:tr w14:paraId="5702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098" w:type="dxa"/>
            <w:vAlign w:val="center"/>
          </w:tcPr>
          <w:p w14:paraId="6E4904F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2</w:t>
            </w:r>
          </w:p>
        </w:tc>
        <w:tc>
          <w:tcPr>
            <w:tcW w:w="4583" w:type="dxa"/>
            <w:vAlign w:val="center"/>
          </w:tcPr>
          <w:p w14:paraId="69879B7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包工包部分材料（仅不含甲供材）</w:t>
            </w:r>
          </w:p>
        </w:tc>
        <w:tc>
          <w:tcPr>
            <w:tcW w:w="1477" w:type="dxa"/>
            <w:vAlign w:val="center"/>
          </w:tcPr>
          <w:p w14:paraId="7211B981">
            <w:pPr>
              <w:bidi w:val="0"/>
              <w:jc w:val="center"/>
              <w:outlineLvl w:val="9"/>
              <w:rPr>
                <w:rFonts w:hint="eastAsia" w:ascii="仿宋" w:hAnsi="仿宋" w:eastAsia="仿宋" w:cs="仿宋"/>
                <w:b w:val="0"/>
                <w:bCs w:val="0"/>
                <w:color w:val="FF0000"/>
                <w:sz w:val="28"/>
                <w:szCs w:val="28"/>
                <w:highlight w:val="none"/>
                <w:vertAlign w:val="baseline"/>
                <w:lang w:val="en-US" w:eastAsia="zh-CN"/>
              </w:rPr>
            </w:pPr>
            <w:r>
              <w:rPr>
                <w:rFonts w:hint="eastAsia" w:ascii="仿宋" w:hAnsi="仿宋" w:eastAsia="仿宋" w:cs="仿宋"/>
                <w:b w:val="0"/>
                <w:bCs w:val="0"/>
                <w:color w:val="FF0000"/>
                <w:sz w:val="28"/>
                <w:szCs w:val="28"/>
                <w:highlight w:val="none"/>
                <w:vertAlign w:val="baseline"/>
                <w:lang w:val="en-US" w:eastAsia="zh-CN"/>
              </w:rPr>
              <w:t>20%</w:t>
            </w:r>
          </w:p>
        </w:tc>
        <w:tc>
          <w:tcPr>
            <w:tcW w:w="1580" w:type="dxa"/>
            <w:vAlign w:val="center"/>
          </w:tcPr>
          <w:p w14:paraId="68EFC53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auto"/>
                <w:sz w:val="28"/>
                <w:szCs w:val="28"/>
                <w:highlight w:val="none"/>
                <w:vertAlign w:val="baseline"/>
                <w:lang w:val="en-US" w:eastAsia="zh-CN"/>
              </w:rPr>
            </w:pPr>
          </w:p>
        </w:tc>
      </w:tr>
      <w:tr w14:paraId="4F18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98" w:type="dxa"/>
            <w:vAlign w:val="center"/>
          </w:tcPr>
          <w:p w14:paraId="3E304F0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3</w:t>
            </w:r>
          </w:p>
        </w:tc>
        <w:tc>
          <w:tcPr>
            <w:tcW w:w="4583" w:type="dxa"/>
            <w:vAlign w:val="center"/>
          </w:tcPr>
          <w:p w14:paraId="1469418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包工</w:t>
            </w:r>
          </w:p>
        </w:tc>
        <w:tc>
          <w:tcPr>
            <w:tcW w:w="1477" w:type="dxa"/>
            <w:vAlign w:val="center"/>
          </w:tcPr>
          <w:p w14:paraId="6A9167F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FF0000"/>
                <w:sz w:val="28"/>
                <w:szCs w:val="28"/>
                <w:highlight w:val="none"/>
                <w:vertAlign w:val="baseline"/>
                <w:lang w:val="en-US" w:eastAsia="zh-CN"/>
              </w:rPr>
            </w:pPr>
            <w:r>
              <w:rPr>
                <w:rFonts w:hint="eastAsia" w:ascii="仿宋" w:hAnsi="仿宋" w:eastAsia="仿宋" w:cs="仿宋"/>
                <w:b w:val="0"/>
                <w:bCs w:val="0"/>
                <w:color w:val="FF0000"/>
                <w:sz w:val="28"/>
                <w:szCs w:val="28"/>
                <w:highlight w:val="none"/>
                <w:vertAlign w:val="baseline"/>
                <w:lang w:val="en-US" w:eastAsia="zh-CN"/>
              </w:rPr>
              <w:t>15%</w:t>
            </w:r>
          </w:p>
        </w:tc>
        <w:tc>
          <w:tcPr>
            <w:tcW w:w="1580" w:type="dxa"/>
            <w:vAlign w:val="center"/>
          </w:tcPr>
          <w:p w14:paraId="24D2298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auto"/>
                <w:sz w:val="28"/>
                <w:szCs w:val="28"/>
                <w:highlight w:val="none"/>
                <w:vertAlign w:val="baseline"/>
                <w:lang w:val="en-US" w:eastAsia="zh-CN"/>
              </w:rPr>
            </w:pPr>
          </w:p>
        </w:tc>
      </w:tr>
      <w:tr w14:paraId="3E97E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098" w:type="dxa"/>
            <w:vAlign w:val="center"/>
          </w:tcPr>
          <w:p w14:paraId="402DB0A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4</w:t>
            </w:r>
          </w:p>
        </w:tc>
        <w:tc>
          <w:tcPr>
            <w:tcW w:w="4583" w:type="dxa"/>
            <w:vAlign w:val="center"/>
          </w:tcPr>
          <w:p w14:paraId="6836AB9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default"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包工包机械</w:t>
            </w:r>
          </w:p>
        </w:tc>
        <w:tc>
          <w:tcPr>
            <w:tcW w:w="1477" w:type="dxa"/>
            <w:vAlign w:val="center"/>
          </w:tcPr>
          <w:p w14:paraId="3AC6F35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color w:val="FF0000"/>
                <w:highlight w:val="none"/>
              </w:rPr>
            </w:pPr>
            <w:r>
              <w:rPr>
                <w:rFonts w:hint="eastAsia" w:ascii="仿宋" w:hAnsi="仿宋" w:eastAsia="仿宋" w:cs="仿宋"/>
                <w:b w:val="0"/>
                <w:bCs w:val="0"/>
                <w:color w:val="FF0000"/>
                <w:sz w:val="28"/>
                <w:szCs w:val="28"/>
                <w:highlight w:val="none"/>
                <w:vertAlign w:val="baseline"/>
                <w:lang w:val="en-US" w:eastAsia="zh-CN"/>
              </w:rPr>
              <w:t>28%</w:t>
            </w:r>
          </w:p>
        </w:tc>
        <w:tc>
          <w:tcPr>
            <w:tcW w:w="1580" w:type="dxa"/>
            <w:vAlign w:val="center"/>
          </w:tcPr>
          <w:p w14:paraId="3722F29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baseline"/>
              <w:outlineLvl w:val="9"/>
              <w:rPr>
                <w:rFonts w:hint="eastAsia" w:ascii="仿宋" w:hAnsi="仿宋" w:eastAsia="仿宋" w:cs="仿宋"/>
                <w:b w:val="0"/>
                <w:bCs w:val="0"/>
                <w:color w:val="auto"/>
                <w:sz w:val="28"/>
                <w:szCs w:val="28"/>
                <w:highlight w:val="none"/>
                <w:vertAlign w:val="baseline"/>
                <w:lang w:val="en-US" w:eastAsia="zh-CN"/>
              </w:rPr>
            </w:pPr>
          </w:p>
        </w:tc>
      </w:tr>
    </w:tbl>
    <w:p w14:paraId="556AFC31">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0" w:name="_Toc5652"/>
      <w:r>
        <w:rPr>
          <w:rFonts w:hint="eastAsia" w:ascii="仿宋" w:hAnsi="仿宋" w:eastAsia="仿宋" w:cs="仿宋"/>
          <w:b/>
          <w:bCs/>
          <w:i w:val="0"/>
          <w:iCs w:val="0"/>
          <w:color w:val="auto"/>
          <w:sz w:val="28"/>
          <w:szCs w:val="28"/>
          <w:highlight w:val="none"/>
          <w:shd w:val="clear" w:color="auto" w:fill="auto"/>
          <w:lang w:val="en-US" w:eastAsia="zh-CN"/>
        </w:rPr>
        <w:t>第八章、付款方式</w:t>
      </w:r>
      <w:bookmarkEnd w:id="48"/>
      <w:bookmarkEnd w:id="49"/>
      <w:bookmarkEnd w:id="50"/>
    </w:p>
    <w:p w14:paraId="45972B8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1C841D5A">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2" w:firstLineChars="200"/>
        <w:textAlignment w:val="auto"/>
        <w:rPr>
          <w:rFonts w:hint="default" w:ascii="仿宋" w:hAnsi="仿宋" w:eastAsia="仿宋" w:cs="仿宋"/>
          <w:b/>
          <w:bCs/>
          <w:i w:val="0"/>
          <w:iCs w:val="0"/>
          <w:caps w:val="0"/>
          <w:color w:val="FF0000"/>
          <w:spacing w:val="0"/>
          <w:sz w:val="28"/>
          <w:szCs w:val="28"/>
          <w:highlight w:val="yellow"/>
          <w:u w:val="none"/>
          <w:lang w:val="en-US" w:eastAsia="zh-CN"/>
        </w:rPr>
      </w:pPr>
      <w:r>
        <w:rPr>
          <w:rFonts w:hint="eastAsia" w:ascii="仿宋" w:hAnsi="仿宋" w:eastAsia="仿宋" w:cs="仿宋"/>
          <w:b/>
          <w:bCs/>
          <w:i w:val="0"/>
          <w:iCs w:val="0"/>
          <w:caps w:val="0"/>
          <w:color w:val="FF0000"/>
          <w:spacing w:val="0"/>
          <w:sz w:val="28"/>
          <w:szCs w:val="28"/>
          <w:highlight w:val="yellow"/>
          <w:u w:val="none"/>
          <w:lang w:val="en-US" w:eastAsia="zh-CN"/>
        </w:rPr>
        <w:t>污水厂工程付款方式：</w:t>
      </w:r>
    </w:p>
    <w:p w14:paraId="75661FA2">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bCs/>
          <w:i w:val="0"/>
          <w:iCs w:val="0"/>
          <w:caps w:val="0"/>
          <w:color w:val="auto"/>
          <w:spacing w:val="0"/>
          <w:sz w:val="28"/>
          <w:szCs w:val="28"/>
          <w:highlight w:val="yellow"/>
          <w:lang w:val="en-US" w:eastAsia="zh-CN"/>
        </w:rPr>
      </w:pPr>
      <w:r>
        <w:rPr>
          <w:rFonts w:hint="eastAsia" w:ascii="仿宋" w:hAnsi="仿宋" w:eastAsia="仿宋" w:cs="仿宋"/>
          <w:i w:val="0"/>
          <w:iCs w:val="0"/>
          <w:caps w:val="0"/>
          <w:color w:val="auto"/>
          <w:spacing w:val="0"/>
          <w:sz w:val="28"/>
          <w:szCs w:val="28"/>
          <w:highlight w:val="none"/>
          <w:lang w:val="en-US" w:eastAsia="zh-CN"/>
        </w:rPr>
        <w:t>8.1.1</w:t>
      </w:r>
      <w:r>
        <w:rPr>
          <w:rFonts w:hint="eastAsia" w:ascii="仿宋" w:hAnsi="仿宋" w:eastAsia="仿宋" w:cs="仿宋"/>
          <w:i w:val="0"/>
          <w:iCs w:val="0"/>
          <w:caps w:val="0"/>
          <w:color w:val="FF0000"/>
          <w:spacing w:val="0"/>
          <w:sz w:val="28"/>
          <w:szCs w:val="28"/>
          <w:highlight w:val="none"/>
          <w:lang w:val="en-US" w:eastAsia="zh-CN"/>
        </w:rPr>
        <w:t>本工程的地下水池防水施工完成</w:t>
      </w:r>
      <w:r>
        <w:rPr>
          <w:rFonts w:hint="eastAsia" w:ascii="仿宋" w:hAnsi="仿宋" w:eastAsia="仿宋" w:cs="仿宋"/>
          <w:i w:val="0"/>
          <w:iCs w:val="0"/>
          <w:caps w:val="0"/>
          <w:color w:val="auto"/>
          <w:spacing w:val="0"/>
          <w:sz w:val="28"/>
          <w:szCs w:val="28"/>
          <w:highlight w:val="none"/>
          <w:lang w:val="en-US" w:eastAsia="zh-CN"/>
        </w:rPr>
        <w:t>，乙方方可申请进度款。乙方须于次月10日前提供本月及次月实名制报备登记和打卡的《建筑工人工资表》等相关进度款审批文件给甲方，甲方审核无误后支付至本工程已完合格工程量造价的60%（含甲方工人工资专用账户支付给乙方工人工资款额）。</w:t>
      </w:r>
    </w:p>
    <w:p w14:paraId="6ABC23CD">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8.1.2本项目乙方承包范围内全部工作内容施工</w:t>
      </w:r>
      <w:r>
        <w:rPr>
          <w:rFonts w:hint="eastAsia" w:ascii="仿宋" w:hAnsi="仿宋" w:eastAsia="仿宋" w:cs="仿宋"/>
          <w:b w:val="0"/>
          <w:bCs w:val="0"/>
          <w:i w:val="0"/>
          <w:iCs w:val="0"/>
          <w:color w:val="auto"/>
          <w:sz w:val="28"/>
          <w:szCs w:val="28"/>
          <w:highlight w:val="yellow"/>
          <w:u w:val="none"/>
          <w:shd w:val="clear" w:color="auto" w:fill="auto"/>
          <w:lang w:val="en-US" w:eastAsia="zh-CN"/>
        </w:rPr>
        <w:t>（不含保修内容）</w:t>
      </w:r>
      <w:r>
        <w:rPr>
          <w:rFonts w:hint="eastAsia" w:ascii="仿宋" w:hAnsi="仿宋" w:eastAsia="仿宋" w:cs="仿宋"/>
          <w:i w:val="0"/>
          <w:iCs w:val="0"/>
          <w:caps w:val="0"/>
          <w:color w:val="auto"/>
          <w:spacing w:val="0"/>
          <w:sz w:val="28"/>
          <w:szCs w:val="28"/>
          <w:highlight w:val="none"/>
          <w:lang w:val="en-US" w:eastAsia="zh-CN"/>
        </w:rPr>
        <w:t>完成，并经政府主管部门竣工综合验收（如有）通过，乙方将验收通过的政府主管部门文件、报告原件、所有工程资料、报告等（须详列完整资料清单目录）移交甲方签收后，甲方支付至乙方已完成合格工程量对应造价的</w:t>
      </w:r>
      <w:r>
        <w:rPr>
          <w:rFonts w:hint="eastAsia" w:ascii="仿宋" w:hAnsi="仿宋" w:eastAsia="仿宋" w:cs="仿宋"/>
          <w:i w:val="0"/>
          <w:iCs w:val="0"/>
          <w:caps w:val="0"/>
          <w:color w:val="auto"/>
          <w:spacing w:val="0"/>
          <w:sz w:val="28"/>
          <w:szCs w:val="28"/>
          <w:highlight w:val="none"/>
          <w:u w:val="single"/>
          <w:lang w:val="en-US" w:eastAsia="zh-CN"/>
        </w:rPr>
        <w:t>80</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，甲方至此累计支付的合同款不超过本合同暂定总价的</w:t>
      </w:r>
      <w:r>
        <w:rPr>
          <w:rFonts w:hint="eastAsia" w:ascii="仿宋" w:hAnsi="仿宋" w:eastAsia="仿宋" w:cs="仿宋"/>
          <w:b w:val="0"/>
          <w:bCs w:val="0"/>
          <w:i w:val="0"/>
          <w:iCs w:val="0"/>
          <w:color w:val="auto"/>
          <w:sz w:val="28"/>
          <w:szCs w:val="28"/>
          <w:highlight w:val="none"/>
          <w:u w:val="single"/>
          <w:shd w:val="clear" w:color="auto" w:fill="auto"/>
          <w:lang w:val="en-US" w:eastAsia="zh-CN"/>
        </w:rPr>
        <w:t>80%</w:t>
      </w:r>
      <w:r>
        <w:rPr>
          <w:rFonts w:hint="eastAsia" w:ascii="仿宋" w:hAnsi="仿宋" w:eastAsia="仿宋" w:cs="仿宋"/>
          <w:i w:val="0"/>
          <w:iCs w:val="0"/>
          <w:caps w:val="0"/>
          <w:color w:val="auto"/>
          <w:spacing w:val="0"/>
          <w:sz w:val="28"/>
          <w:szCs w:val="28"/>
          <w:highlight w:val="none"/>
          <w:lang w:val="en-US" w:eastAsia="zh-CN"/>
        </w:rPr>
        <w:t>（含甲方工人工资专用账户支付给乙方工人工资款额）</w:t>
      </w:r>
      <w:r>
        <w:rPr>
          <w:rFonts w:hint="eastAsia" w:ascii="仿宋" w:hAnsi="仿宋" w:eastAsia="仿宋" w:cs="仿宋"/>
          <w:i w:val="0"/>
          <w:iCs w:val="0"/>
          <w:caps w:val="0"/>
          <w:color w:val="auto"/>
          <w:spacing w:val="0"/>
          <w:sz w:val="28"/>
          <w:szCs w:val="28"/>
          <w:highlight w:val="none"/>
          <w:lang w:eastAsia="zh-CN"/>
        </w:rPr>
        <w:t>。</w:t>
      </w:r>
    </w:p>
    <w:p w14:paraId="13EE2E31">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aps w:val="0"/>
          <w:color w:val="auto"/>
          <w:spacing w:val="0"/>
          <w:sz w:val="28"/>
          <w:szCs w:val="28"/>
          <w:highlight w:val="none"/>
          <w:lang w:val="en-US" w:eastAsia="zh-CN"/>
        </w:rPr>
        <w:t>8.1.3本项目经建设单位、监理单位、甲方等单位竣工验收合格并移交建设单位，</w:t>
      </w:r>
      <w:r>
        <w:rPr>
          <w:rFonts w:hint="eastAsia" w:ascii="仿宋" w:hAnsi="仿宋" w:eastAsia="仿宋" w:cs="仿宋"/>
          <w:b w:val="0"/>
          <w:bCs w:val="0"/>
          <w:i w:val="0"/>
          <w:iCs w:val="0"/>
          <w:color w:val="auto"/>
          <w:sz w:val="28"/>
          <w:szCs w:val="28"/>
          <w:highlight w:val="none"/>
          <w:lang w:val="en-US" w:eastAsia="zh-CN"/>
        </w:rPr>
        <w:t>乙方将本工程所有资料原件、复印件（须列清单、目录）移交甲方，乙方向甲方申请本工程结算后，甲乙双方办理本工程结算，双方就结算金额达成书面一致且乙方开具金额等于结算总价100%的发票给甲方后，甲方付至结算总价的97%(含甲方工人工资专用账户支付给乙方的工人工资)。</w:t>
      </w:r>
    </w:p>
    <w:p w14:paraId="2D09E93F">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8.1.4本工程结算总价的3%作为保修金，保修期满且乙方如实履行保修义务、责任后无息结清。本合同项下存在两个或两个以上保修期限的，以最长保修期限为准</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甲方付清保修金后，乙方仍须如实履行合同约定的保修义务及责任。</w:t>
      </w:r>
    </w:p>
    <w:p w14:paraId="5D172A51">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2" w:firstLineChars="200"/>
        <w:textAlignment w:val="auto"/>
        <w:rPr>
          <w:rFonts w:hint="eastAsia" w:ascii="仿宋" w:hAnsi="仿宋" w:eastAsia="仿宋" w:cs="仿宋"/>
          <w:b/>
          <w:bCs/>
          <w:i w:val="0"/>
          <w:iCs w:val="0"/>
          <w:caps w:val="0"/>
          <w:color w:val="FF0000"/>
          <w:spacing w:val="0"/>
          <w:sz w:val="28"/>
          <w:szCs w:val="28"/>
          <w:highlight w:val="yellow"/>
          <w:u w:val="none"/>
          <w:lang w:val="en-US" w:eastAsia="zh-CN"/>
        </w:rPr>
      </w:pPr>
      <w:r>
        <w:rPr>
          <w:rFonts w:hint="eastAsia" w:ascii="仿宋" w:hAnsi="仿宋" w:eastAsia="仿宋" w:cs="仿宋"/>
          <w:b/>
          <w:bCs/>
          <w:i w:val="0"/>
          <w:iCs w:val="0"/>
          <w:caps w:val="0"/>
          <w:color w:val="FF0000"/>
          <w:spacing w:val="0"/>
          <w:sz w:val="28"/>
          <w:szCs w:val="28"/>
          <w:highlight w:val="yellow"/>
          <w:u w:val="none"/>
          <w:lang w:val="en-US" w:eastAsia="zh-CN"/>
        </w:rPr>
        <w:t>供水厂工程付款方式：</w:t>
      </w:r>
    </w:p>
    <w:p w14:paraId="152D9F7E">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8.1.1本项目乙方承包范围内全部工作内容施工</w:t>
      </w:r>
      <w:r>
        <w:rPr>
          <w:rFonts w:hint="eastAsia" w:ascii="仿宋" w:hAnsi="仿宋" w:eastAsia="仿宋" w:cs="仿宋"/>
          <w:b w:val="0"/>
          <w:bCs w:val="0"/>
          <w:i w:val="0"/>
          <w:iCs w:val="0"/>
          <w:color w:val="auto"/>
          <w:sz w:val="28"/>
          <w:szCs w:val="28"/>
          <w:highlight w:val="yellow"/>
          <w:u w:val="none"/>
          <w:shd w:val="clear" w:color="auto" w:fill="auto"/>
          <w:lang w:val="en-US" w:eastAsia="zh-CN"/>
        </w:rPr>
        <w:t>（不含保修内容）</w:t>
      </w:r>
      <w:r>
        <w:rPr>
          <w:rFonts w:hint="eastAsia" w:ascii="仿宋" w:hAnsi="仿宋" w:eastAsia="仿宋" w:cs="仿宋"/>
          <w:i w:val="0"/>
          <w:iCs w:val="0"/>
          <w:caps w:val="0"/>
          <w:color w:val="auto"/>
          <w:spacing w:val="0"/>
          <w:sz w:val="28"/>
          <w:szCs w:val="28"/>
          <w:highlight w:val="none"/>
          <w:lang w:val="en-US" w:eastAsia="zh-CN"/>
        </w:rPr>
        <w:t>完成，并经政府主管部门竣工综合验收（如有）通过，乙方将验收通过的政府主管部门文件、报告原件、所有工程资料、报告等（须详列完整资料清单目录）移交甲方签收后，甲方支付至乙方已完成合格工程量对应造价的</w:t>
      </w:r>
      <w:r>
        <w:rPr>
          <w:rFonts w:hint="eastAsia" w:ascii="仿宋" w:hAnsi="仿宋" w:eastAsia="仿宋" w:cs="仿宋"/>
          <w:i w:val="0"/>
          <w:iCs w:val="0"/>
          <w:caps w:val="0"/>
          <w:color w:val="auto"/>
          <w:spacing w:val="0"/>
          <w:sz w:val="28"/>
          <w:szCs w:val="28"/>
          <w:highlight w:val="none"/>
          <w:u w:val="single"/>
          <w:lang w:val="en-US" w:eastAsia="zh-CN"/>
        </w:rPr>
        <w:t>80</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，甲方至此累计支付的合同款不超过本合同暂定总价的</w:t>
      </w:r>
      <w:r>
        <w:rPr>
          <w:rFonts w:hint="eastAsia" w:ascii="仿宋" w:hAnsi="仿宋" w:eastAsia="仿宋" w:cs="仿宋"/>
          <w:b w:val="0"/>
          <w:bCs w:val="0"/>
          <w:i w:val="0"/>
          <w:iCs w:val="0"/>
          <w:color w:val="auto"/>
          <w:sz w:val="28"/>
          <w:szCs w:val="28"/>
          <w:highlight w:val="none"/>
          <w:u w:val="single"/>
          <w:shd w:val="clear" w:color="auto" w:fill="auto"/>
          <w:lang w:val="en-US" w:eastAsia="zh-CN"/>
        </w:rPr>
        <w:t>80%</w:t>
      </w:r>
      <w:r>
        <w:rPr>
          <w:rFonts w:hint="eastAsia" w:ascii="仿宋" w:hAnsi="仿宋" w:eastAsia="仿宋" w:cs="仿宋"/>
          <w:i w:val="0"/>
          <w:iCs w:val="0"/>
          <w:caps w:val="0"/>
          <w:color w:val="auto"/>
          <w:spacing w:val="0"/>
          <w:sz w:val="28"/>
          <w:szCs w:val="28"/>
          <w:highlight w:val="none"/>
          <w:lang w:val="en-US" w:eastAsia="zh-CN"/>
        </w:rPr>
        <w:t>（含甲方工人工资专用账户支付给乙方工人工资款额）</w:t>
      </w:r>
      <w:r>
        <w:rPr>
          <w:rFonts w:hint="eastAsia" w:ascii="仿宋" w:hAnsi="仿宋" w:eastAsia="仿宋" w:cs="仿宋"/>
          <w:i w:val="0"/>
          <w:iCs w:val="0"/>
          <w:caps w:val="0"/>
          <w:color w:val="auto"/>
          <w:spacing w:val="0"/>
          <w:sz w:val="28"/>
          <w:szCs w:val="28"/>
          <w:highlight w:val="none"/>
          <w:lang w:eastAsia="zh-CN"/>
        </w:rPr>
        <w:t>。</w:t>
      </w:r>
    </w:p>
    <w:p w14:paraId="4E2F32C2">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aps w:val="0"/>
          <w:color w:val="auto"/>
          <w:spacing w:val="0"/>
          <w:sz w:val="28"/>
          <w:szCs w:val="28"/>
          <w:highlight w:val="none"/>
          <w:lang w:val="en-US" w:eastAsia="zh-CN"/>
        </w:rPr>
        <w:t>8.1.2本项目经建设单位、监理单位、甲方等单位竣工验收合格并移交建设单位，</w:t>
      </w:r>
      <w:r>
        <w:rPr>
          <w:rFonts w:hint="eastAsia" w:ascii="仿宋" w:hAnsi="仿宋" w:eastAsia="仿宋" w:cs="仿宋"/>
          <w:b w:val="0"/>
          <w:bCs w:val="0"/>
          <w:i w:val="0"/>
          <w:iCs w:val="0"/>
          <w:color w:val="auto"/>
          <w:sz w:val="28"/>
          <w:szCs w:val="28"/>
          <w:highlight w:val="none"/>
          <w:lang w:val="en-US" w:eastAsia="zh-CN"/>
        </w:rPr>
        <w:t>乙方将本工程所有资料原件、复印件（须列清单、目录）移交甲方，乙方向甲方申请本工程结算后，甲乙双方办理本工程结算，双方就结算金额达成书面一致且乙方开具金额等于结算总价100%的发票给甲方后，甲方付至结算总价的97%(含甲方工人工资专用账户支付给乙方的工人工资)。</w:t>
      </w:r>
    </w:p>
    <w:p w14:paraId="198F9F1E">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8.1.3本工程结算总价的3%作为保修金，保修期满且乙方如实履行保修义务、责任后无息结清。本合同项下存在两个或两个以上保修期限的，以最长保修期限为准</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甲方付清保修金后，乙方仍须如实履行合同约定的保修义务及责任。</w:t>
      </w:r>
    </w:p>
    <w:p w14:paraId="1E3C16F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D6082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p>
    <w:p w14:paraId="39744C7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szCs w:val="28"/>
          <w:highlight w:val="none"/>
          <w:u w:val="none"/>
          <w:lang w:val="en-US" w:eastAsia="zh-CN"/>
        </w:rPr>
      </w:pPr>
      <w:bookmarkStart w:id="51" w:name="_Toc19197"/>
      <w:bookmarkStart w:id="52" w:name="_Toc14998"/>
      <w:bookmarkStart w:id="53" w:name="_Toc24215"/>
      <w:bookmarkStart w:id="54" w:name="_Toc5830"/>
      <w:r>
        <w:rPr>
          <w:rFonts w:hint="eastAsia" w:ascii="仿宋" w:hAnsi="仿宋" w:eastAsia="仿宋" w:cs="仿宋"/>
          <w:b w:val="0"/>
          <w:bCs w:val="0"/>
          <w:i w:val="0"/>
          <w:iCs w:val="0"/>
          <w:color w:val="auto"/>
          <w:sz w:val="28"/>
          <w:szCs w:val="28"/>
          <w:highlight w:val="none"/>
          <w:shd w:val="clear" w:color="auto" w:fill="auto"/>
          <w:lang w:val="en-US" w:eastAsia="zh-CN"/>
        </w:rPr>
        <w:t>8.2</w:t>
      </w:r>
      <w:r>
        <w:rPr>
          <w:rFonts w:hint="eastAsia" w:ascii="仿宋" w:hAnsi="仿宋" w:eastAsia="仿宋" w:cs="仿宋"/>
          <w:color w:val="auto"/>
          <w:sz w:val="28"/>
          <w:szCs w:val="28"/>
          <w:highlight w:val="none"/>
          <w:u w:val="none"/>
          <w:lang w:val="en-US" w:eastAsia="zh-CN"/>
        </w:rPr>
        <w:t>合同履约保证金及违约责任</w:t>
      </w:r>
    </w:p>
    <w:p w14:paraId="6BE9007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color w:val="auto"/>
          <w:sz w:val="28"/>
          <w:szCs w:val="28"/>
          <w:highlight w:val="none"/>
          <w:u w:val="none"/>
          <w:lang w:val="en-US" w:eastAsia="zh-CN"/>
        </w:rPr>
        <w:t>8.2.1本合同履约保证为人民币</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b/>
          <w:bCs/>
          <w:color w:val="auto"/>
          <w:sz w:val="28"/>
          <w:highlight w:val="none"/>
          <w:u w:val="single"/>
          <w:lang w:val="en-US" w:eastAsia="zh-CN"/>
        </w:rPr>
        <w:t>/</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元整（由乙方的投标保证金无息转成），此履约保证金与甲乙双方签订的《</w:t>
      </w:r>
      <w:r>
        <w:rPr>
          <w:rFonts w:hint="eastAsia" w:ascii="仿宋" w:hAnsi="仿宋" w:eastAsia="仿宋" w:cs="仿宋"/>
          <w:b/>
          <w:bCs/>
          <w:color w:val="auto"/>
          <w:sz w:val="28"/>
          <w:highlight w:val="none"/>
          <w:u w:val="single"/>
          <w:lang w:val="en-US" w:eastAsia="zh-CN"/>
        </w:rPr>
        <w:t>玉林(福绵)节能环保产业园南部工业供水厂建设项目(二期5万吨/天)防水工程</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b/>
          <w:bCs/>
          <w:color w:val="auto"/>
          <w:sz w:val="28"/>
          <w:highlight w:val="none"/>
          <w:u w:val="single"/>
          <w:lang w:val="en-US" w:eastAsia="zh-CN"/>
        </w:rPr>
        <w:t>玉林(福绵)节能环保产业园南部污水处理厂及中水回用设施建设项目（一期二标段5万吨/天）防水工程》</w:t>
      </w:r>
      <w:r>
        <w:rPr>
          <w:rFonts w:hint="eastAsia" w:ascii="仿宋" w:hAnsi="仿宋" w:eastAsia="仿宋" w:cs="仿宋"/>
          <w:color w:val="auto"/>
          <w:sz w:val="28"/>
          <w:szCs w:val="28"/>
          <w:highlight w:val="none"/>
          <w:u w:val="none"/>
          <w:lang w:val="en-US" w:eastAsia="zh-CN"/>
        </w:rPr>
        <w:t>施工</w:t>
      </w:r>
      <w:r>
        <w:rPr>
          <w:rFonts w:hint="eastAsia" w:ascii="仿宋" w:hAnsi="仿宋" w:eastAsia="仿宋" w:cs="仿宋"/>
          <w:b w:val="0"/>
          <w:bCs w:val="0"/>
          <w:color w:val="auto"/>
          <w:kern w:val="2"/>
          <w:sz w:val="28"/>
          <w:szCs w:val="28"/>
          <w:highlight w:val="none"/>
          <w:u w:val="none"/>
          <w:shd w:val="clear" w:color="auto" w:fill="auto"/>
          <w:lang w:val="en-US" w:eastAsia="zh-CN" w:bidi="ar-SA"/>
        </w:rPr>
        <w:t>合同共用。</w:t>
      </w:r>
    </w:p>
    <w:p w14:paraId="4B004BB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0" w:firstLineChars="0"/>
        <w:textAlignment w:val="auto"/>
        <w:outlineLvl w:val="1"/>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 xml:space="preserve">    8.2.2乙方履行上述任一合同出现违约情形时，甲方有权在本合同履约保证金内提取相应款项作为违约金（若履约保证金不足，乙方须自甲方要求之日起十天内向甲方补足）。如乙方原因致使上述任一合同无法履行，本合同履约保证金全额不予返还，且甲方有权立即单方解除上述合同，乙方须承担因此产生的一切法律后果及赔偿甲方所有的经济损失。如乙方在合同履行期间无违约行为，则上述最晚进行首次交货的合同完成首批产品收货、验收合格后，甲方无息原路退回剩余的履约保证金。</w:t>
      </w:r>
    </w:p>
    <w:p w14:paraId="73B6A25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both"/>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u w:val="none"/>
          <w:lang w:val="en-US" w:eastAsia="zh-CN"/>
        </w:rPr>
        <w:t>8.2.3乙方履行上述任一合同出现违约情形时，甲方可从本</w:t>
      </w:r>
      <w:r>
        <w:rPr>
          <w:rFonts w:hint="eastAsia" w:ascii="仿宋" w:hAnsi="仿宋" w:eastAsia="仿宋" w:cs="仿宋"/>
          <w:color w:val="auto"/>
          <w:sz w:val="28"/>
          <w:szCs w:val="28"/>
          <w:highlight w:val="none"/>
          <w:u w:val="none"/>
        </w:rPr>
        <w:t>合同的合同款中扣</w:t>
      </w:r>
      <w:r>
        <w:rPr>
          <w:rFonts w:hint="eastAsia" w:ascii="仿宋" w:hAnsi="仿宋" w:eastAsia="仿宋" w:cs="仿宋"/>
          <w:color w:val="auto"/>
          <w:sz w:val="28"/>
          <w:szCs w:val="28"/>
          <w:highlight w:val="none"/>
          <w:u w:val="none"/>
          <w:lang w:val="en-US" w:eastAsia="zh-CN"/>
        </w:rPr>
        <w:t>款作为被违约合同的</w:t>
      </w:r>
      <w:r>
        <w:rPr>
          <w:rFonts w:hint="eastAsia" w:ascii="仿宋" w:hAnsi="仿宋" w:eastAsia="仿宋" w:cs="仿宋"/>
          <w:color w:val="auto"/>
          <w:sz w:val="28"/>
          <w:szCs w:val="28"/>
          <w:highlight w:val="none"/>
          <w:u w:val="none"/>
        </w:rPr>
        <w:t>违约金</w:t>
      </w:r>
      <w:r>
        <w:rPr>
          <w:rFonts w:hint="eastAsia" w:ascii="仿宋" w:hAnsi="仿宋" w:eastAsia="仿宋" w:cs="仿宋"/>
          <w:color w:val="auto"/>
          <w:sz w:val="28"/>
          <w:szCs w:val="28"/>
          <w:highlight w:val="none"/>
          <w:u w:val="none"/>
          <w:lang w:val="en-US" w:eastAsia="zh-CN"/>
        </w:rPr>
        <w:t>给甲方。当</w:t>
      </w:r>
      <w:r>
        <w:rPr>
          <w:rFonts w:hint="eastAsia" w:ascii="仿宋" w:hAnsi="仿宋" w:eastAsia="仿宋" w:cs="仿宋"/>
          <w:color w:val="auto"/>
          <w:sz w:val="28"/>
          <w:szCs w:val="28"/>
          <w:highlight w:val="none"/>
          <w:u w:val="none"/>
        </w:rPr>
        <w:t>甲方单方</w:t>
      </w:r>
      <w:r>
        <w:rPr>
          <w:rFonts w:hint="eastAsia" w:ascii="仿宋" w:hAnsi="仿宋" w:eastAsia="仿宋" w:cs="仿宋"/>
          <w:color w:val="auto"/>
          <w:sz w:val="28"/>
          <w:szCs w:val="28"/>
          <w:highlight w:val="none"/>
          <w:u w:val="none"/>
          <w:lang w:val="en-US" w:eastAsia="zh-CN"/>
        </w:rPr>
        <w:t>终止上述任一</w:t>
      </w:r>
      <w:r>
        <w:rPr>
          <w:rFonts w:hint="eastAsia" w:ascii="仿宋" w:hAnsi="仿宋" w:eastAsia="仿宋" w:cs="仿宋"/>
          <w:color w:val="auto"/>
          <w:sz w:val="28"/>
          <w:szCs w:val="28"/>
          <w:highlight w:val="none"/>
          <w:u w:val="none"/>
        </w:rPr>
        <w:t>合同</w:t>
      </w:r>
      <w:r>
        <w:rPr>
          <w:rFonts w:hint="eastAsia" w:ascii="仿宋" w:hAnsi="仿宋" w:eastAsia="仿宋" w:cs="仿宋"/>
          <w:color w:val="auto"/>
          <w:sz w:val="28"/>
          <w:szCs w:val="28"/>
          <w:highlight w:val="none"/>
          <w:u w:val="none"/>
          <w:lang w:val="en-US" w:eastAsia="zh-CN"/>
        </w:rPr>
        <w:t>时</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none"/>
          <w:lang w:val="en-US" w:eastAsia="zh-CN"/>
        </w:rPr>
        <w:t>甲方有权同时单方终止本合同，</w:t>
      </w:r>
      <w:r>
        <w:rPr>
          <w:rFonts w:hint="eastAsia" w:ascii="仿宋" w:hAnsi="仿宋" w:eastAsia="仿宋" w:cs="仿宋"/>
          <w:color w:val="auto"/>
          <w:sz w:val="28"/>
          <w:szCs w:val="28"/>
          <w:highlight w:val="none"/>
          <w:u w:val="none"/>
        </w:rPr>
        <w:t>由此产生的所有损失和后果由乙方承担</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51"/>
      <w:bookmarkEnd w:id="52"/>
    </w:p>
    <w:p w14:paraId="3E9261F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5" w:name="_Toc32544"/>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53"/>
      <w:bookmarkEnd w:id="54"/>
      <w:bookmarkEnd w:id="55"/>
    </w:p>
    <w:p w14:paraId="17A3403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56" w:name="_Toc29715"/>
      <w:bookmarkStart w:id="57" w:name="_Toc26064"/>
      <w:bookmarkStart w:id="58" w:name="_Toc15487"/>
      <w:bookmarkStart w:id="59" w:name="_Toc11799"/>
      <w:bookmarkStart w:id="60" w:name="_Toc51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56"/>
      <w:bookmarkEnd w:id="57"/>
      <w:bookmarkEnd w:id="58"/>
      <w:bookmarkEnd w:id="59"/>
      <w:bookmarkEnd w:id="60"/>
    </w:p>
    <w:p w14:paraId="4AD6CC8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9.1.1向乙方提供签章电子版的施工图纸（含图纸变更通知、图纸会审记录等）。</w:t>
      </w:r>
    </w:p>
    <w:p w14:paraId="58CA9AC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79221A1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9.2.1 乙方须严格遵守国家及地方关于安全生产与文明施工的法律法规、规章及强制性标准，严格执行住建主管部门的相关规定。乙方须在施工现场配备至少1名专职安全员。乙方负责承包范围内的全部安全文明施工管理工作，因乙方原因（包括但不限于其自身过错、违规作业、安全管理不善或措施不力等）导致的任何生产安全事故，由此产生的全部责任及所有经济损失（包括对第三方的人身伤害和财产损失赔偿、政府罚款、事故处理费用等）均由乙方全额承担。此外，若发生此类事故并造成损失，除承担上述全部赔偿和损失外，乙方还须向甲方支付违约金，其金额为事故造成的所有赔偿总额及所有直接、间接经济损失总金额的30%。此违约金是甲方因乙方违约行为所遭受的管理成本增加、声誉损失等的补偿，并不免除乙方继续承担事故本身责任和妥善处理善后事宜的义务，给甲方造成的所有损失和乙方违约金，甲方可以在乙方的任一款项中一次性扣回，不足的由乙方按照甲方要求时间内支付给甲方。</w:t>
      </w:r>
    </w:p>
    <w:p w14:paraId="302E1BD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i w:val="0"/>
          <w:iCs w:val="0"/>
          <w:color w:val="auto"/>
          <w:sz w:val="28"/>
          <w:szCs w:val="28"/>
          <w:highlight w:val="none"/>
          <w:shd w:val="clear" w:color="auto" w:fill="auto"/>
          <w:lang w:val="en-US" w:eastAsia="zh-CN"/>
        </w:rPr>
      </w:pPr>
      <w:bookmarkStart w:id="61" w:name="_Toc26423"/>
      <w:bookmarkStart w:id="62" w:name="_Toc31665"/>
      <w:bookmarkStart w:id="63" w:name="_Toc11332"/>
      <w:bookmarkStart w:id="64" w:name="_Toc24173"/>
      <w:bookmarkStart w:id="65" w:name="_Toc31919"/>
      <w:r>
        <w:rPr>
          <w:rFonts w:hint="eastAsia" w:ascii="仿宋" w:hAnsi="仿宋" w:eastAsia="仿宋" w:cs="仿宋"/>
          <w:b/>
          <w:bCs/>
          <w:i w:val="0"/>
          <w:iCs w:val="0"/>
          <w:color w:val="auto"/>
          <w:sz w:val="28"/>
          <w:szCs w:val="28"/>
          <w:highlight w:val="none"/>
          <w:shd w:val="clear" w:color="auto" w:fill="auto"/>
          <w:lang w:val="en-US" w:eastAsia="zh-CN"/>
        </w:rPr>
        <w:t>第十章、</w:t>
      </w:r>
      <w:bookmarkEnd w:id="61"/>
      <w:bookmarkEnd w:id="6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63"/>
    </w:p>
    <w:p w14:paraId="03731A4F">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10.1乙方使用的甲供材料以甲方出入库单为准，乙方参加验收和签收与出库，甲供材损耗率</w:t>
      </w:r>
      <w:r>
        <w:rPr>
          <w:rFonts w:hint="eastAsia" w:ascii="仿宋" w:hAnsi="仿宋" w:eastAsia="仿宋" w:cs="仿宋"/>
          <w:i w:val="0"/>
          <w:iCs w:val="0"/>
          <w:color w:val="FF0000"/>
          <w:sz w:val="28"/>
          <w:szCs w:val="28"/>
          <w:highlight w:val="none"/>
          <w:shd w:val="clear" w:color="auto" w:fill="auto"/>
          <w:lang w:val="en-US" w:eastAsia="zh-CN"/>
        </w:rPr>
        <w:t>不得超过</w:t>
      </w:r>
      <w:r>
        <w:rPr>
          <w:rFonts w:hint="eastAsia" w:ascii="仿宋" w:hAnsi="仿宋" w:eastAsia="仿宋" w:cs="仿宋"/>
          <w:i w:val="0"/>
          <w:iCs w:val="0"/>
          <w:color w:val="FF0000"/>
          <w:sz w:val="28"/>
          <w:szCs w:val="28"/>
          <w:highlight w:val="none"/>
          <w:u w:val="single"/>
          <w:shd w:val="clear" w:color="auto" w:fill="auto"/>
          <w:lang w:val="en-US" w:eastAsia="zh-CN"/>
        </w:rPr>
        <w:t xml:space="preserve">  1  </w:t>
      </w:r>
      <w:r>
        <w:rPr>
          <w:rFonts w:hint="eastAsia" w:ascii="仿宋" w:hAnsi="仿宋" w:eastAsia="仿宋" w:cs="仿宋"/>
          <w:i w:val="0"/>
          <w:iCs w:val="0"/>
          <w:color w:val="FF0000"/>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val="en-US" w:eastAsia="zh-CN"/>
        </w:rPr>
        <w:t>，如超过，乙方对超出部分按施工当期同品牌、同品种、同级别、同规格材料市场价格的200％赔偿甲方，甲方有权在本工程结算时直接扣款。</w:t>
      </w:r>
    </w:p>
    <w:p w14:paraId="6FA6CE81">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b w:val="0"/>
          <w:bCs w:val="0"/>
          <w:i w:val="0"/>
          <w:iCs w:val="0"/>
          <w:color w:val="auto"/>
          <w:sz w:val="28"/>
          <w:szCs w:val="28"/>
          <w:highlight w:val="none"/>
          <w:lang w:val="en-US" w:eastAsia="zh-CN"/>
        </w:rPr>
        <w:t>10.2</w:t>
      </w:r>
      <w:r>
        <w:rPr>
          <w:rFonts w:hint="eastAsia" w:ascii="仿宋" w:hAnsi="仿宋" w:eastAsia="仿宋" w:cs="仿宋"/>
          <w:i w:val="0"/>
          <w:iCs w:val="0"/>
          <w:color w:val="auto"/>
          <w:sz w:val="28"/>
          <w:szCs w:val="28"/>
          <w:highlight w:val="none"/>
          <w:shd w:val="clear" w:color="auto" w:fill="auto"/>
          <w:lang w:val="en-US" w:eastAsia="zh-CN"/>
        </w:rPr>
        <w:t>甲供材损耗率计算办法：</w:t>
      </w:r>
      <w:r>
        <w:rPr>
          <w:rFonts w:hint="eastAsia" w:ascii="仿宋" w:hAnsi="仿宋" w:eastAsia="仿宋" w:cs="仿宋"/>
          <w:b w:val="0"/>
          <w:bCs w:val="0"/>
          <w:i w:val="0"/>
          <w:iCs w:val="0"/>
          <w:color w:val="auto"/>
          <w:sz w:val="28"/>
          <w:szCs w:val="28"/>
          <w:highlight w:val="none"/>
          <w:u w:val="single"/>
          <w:lang w:val="en-US" w:eastAsia="zh-CN"/>
        </w:rPr>
        <w:t>(</w:t>
      </w:r>
      <w:r>
        <w:rPr>
          <w:rFonts w:hint="eastAsia" w:ascii="仿宋" w:hAnsi="仿宋" w:eastAsia="仿宋" w:cs="仿宋"/>
          <w:color w:val="auto"/>
          <w:sz w:val="28"/>
          <w:szCs w:val="28"/>
          <w:highlight w:val="none"/>
          <w:u w:val="single"/>
        </w:rPr>
        <w:t>甲乙方共同签收的数量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A</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竣工图数量B</w:t>
      </w:r>
      <w:r>
        <w:rPr>
          <w:rFonts w:hint="eastAsia" w:ascii="仿宋" w:hAnsi="仿宋" w:eastAsia="仿宋" w:cs="仿宋"/>
          <w:b w:val="0"/>
          <w:bCs w:val="0"/>
          <w:i w:val="0"/>
          <w:iCs w:val="0"/>
          <w:color w:val="auto"/>
          <w:sz w:val="28"/>
          <w:szCs w:val="28"/>
          <w:highlight w:val="none"/>
          <w:u w:val="single"/>
          <w:lang w:val="en-US" w:eastAsia="zh-CN"/>
        </w:rPr>
        <w:t>)/</w:t>
      </w:r>
      <w:r>
        <w:rPr>
          <w:rFonts w:hint="eastAsia" w:ascii="仿宋" w:hAnsi="仿宋" w:eastAsia="仿宋" w:cs="仿宋"/>
          <w:color w:val="auto"/>
          <w:sz w:val="28"/>
          <w:szCs w:val="28"/>
          <w:highlight w:val="none"/>
          <w:u w:val="single"/>
        </w:rPr>
        <w:t>竣工图数量 B</w:t>
      </w:r>
      <w:r>
        <w:rPr>
          <w:rFonts w:hint="eastAsia" w:ascii="仿宋" w:hAnsi="仿宋" w:eastAsia="仿宋" w:cs="仿宋"/>
          <w:b w:val="0"/>
          <w:bCs w:val="0"/>
          <w:i w:val="0"/>
          <w:iCs w:val="0"/>
          <w:color w:val="auto"/>
          <w:sz w:val="28"/>
          <w:szCs w:val="28"/>
          <w:highlight w:val="none"/>
          <w:u w:val="single"/>
          <w:lang w:val="en-US" w:eastAsia="zh-CN"/>
        </w:rPr>
        <w:t>×100%。</w:t>
      </w:r>
    </w:p>
    <w:p w14:paraId="1AD6DF07">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10.3乙方须自行单独向甲方申请、独立保管、独立管理甲供材。在签收和退还甲供材时明确规格、数量，甲方乙方的本合同执行联系人共同签名确认，作为损耗率结算依据。</w:t>
      </w:r>
    </w:p>
    <w:p w14:paraId="387DBDD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6" w:name="_Toc16835"/>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64"/>
      <w:bookmarkEnd w:id="65"/>
      <w:bookmarkEnd w:id="66"/>
    </w:p>
    <w:p w14:paraId="229C063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67"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1256D0C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96B16B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w:t>
      </w:r>
      <w:r>
        <w:rPr>
          <w:rFonts w:hint="eastAsia" w:ascii="仿宋" w:hAnsi="仿宋" w:eastAsia="仿宋" w:cs="仿宋"/>
          <w:i w:val="0"/>
          <w:iCs w:val="0"/>
          <w:color w:val="auto"/>
          <w:sz w:val="28"/>
          <w:szCs w:val="28"/>
          <w:highlight w:val="none"/>
          <w:shd w:val="clear" w:color="auto" w:fill="auto"/>
          <w:lang w:val="en-US" w:eastAsia="zh-CN"/>
        </w:rPr>
        <w:t>本工程如</w:t>
      </w:r>
      <w:r>
        <w:rPr>
          <w:rFonts w:hint="eastAsia" w:ascii="仿宋" w:hAnsi="仿宋" w:eastAsia="仿宋" w:cs="仿宋"/>
          <w:i w:val="0"/>
          <w:iCs w:val="0"/>
          <w:color w:val="auto"/>
          <w:sz w:val="28"/>
          <w:szCs w:val="28"/>
          <w:highlight w:val="none"/>
          <w:shd w:val="clear" w:color="auto" w:fill="auto"/>
        </w:rPr>
        <w:t>出现较大质量缺陷，乙方履行保修义务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返修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501C799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bCs/>
          <w:color w:val="auto"/>
          <w:sz w:val="28"/>
          <w:szCs w:val="28"/>
          <w:highlight w:val="none"/>
          <w:u w:val="single"/>
        </w:rPr>
        <w:t>保修五年</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bCs/>
          <w:color w:val="auto"/>
          <w:sz w:val="28"/>
          <w:szCs w:val="28"/>
          <w:highlight w:val="none"/>
          <w:u w:val="single"/>
          <w:lang w:val="en-US" w:eastAsia="zh-CN"/>
        </w:rPr>
        <w:t>国家或甲方与建设单位另有更长保修期限规定的，从其规定</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经甲方及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移交建设单位签署生效的工程移交单所载移交之日起计</w:t>
      </w:r>
      <w:r>
        <w:rPr>
          <w:rFonts w:hint="eastAsia" w:ascii="仿宋" w:hAnsi="仿宋" w:eastAsia="仿宋" w:cs="仿宋"/>
          <w:b w:val="0"/>
          <w:bCs w:val="0"/>
          <w:i w:val="0"/>
          <w:iCs w:val="0"/>
          <w:color w:val="auto"/>
          <w:sz w:val="28"/>
          <w:szCs w:val="28"/>
          <w:highlight w:val="none"/>
          <w:shd w:val="clear" w:color="auto" w:fill="auto"/>
        </w:rPr>
        <w:t>。</w:t>
      </w:r>
    </w:p>
    <w:bookmarkEnd w:id="67"/>
    <w:p w14:paraId="133C2A4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8" w:name="_Toc7932"/>
      <w:bookmarkStart w:id="69" w:name="_Toc24202"/>
      <w:bookmarkStart w:id="70" w:name="_Toc15001"/>
      <w:bookmarkStart w:id="71" w:name="_Toc14868"/>
      <w:bookmarkStart w:id="72" w:name="_Toc3557"/>
      <w:bookmarkStart w:id="73" w:name="_Toc10092"/>
      <w:bookmarkStart w:id="74" w:name="_Toc17140"/>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68"/>
      <w:bookmarkEnd w:id="69"/>
      <w:bookmarkEnd w:id="70"/>
      <w:bookmarkEnd w:id="71"/>
      <w:bookmarkEnd w:id="72"/>
      <w:bookmarkEnd w:id="73"/>
      <w:bookmarkEnd w:id="74"/>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21C40B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5BF4B6A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_GB2312" w:hAnsi="仿宋_GB2312" w:eastAsia="仿宋_GB2312" w:cs="仿宋_GB2312"/>
          <w:color w:val="auto"/>
          <w:sz w:val="28"/>
          <w:szCs w:val="28"/>
          <w:highlight w:val="none"/>
          <w:u w:val="single"/>
          <w:shd w:val="clear" w:color="auto" w:fill="auto"/>
        </w:rPr>
        <w:t>莫龙</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为本项目的负责人及甲方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执行联系人，联系电话：</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color w:val="auto"/>
          <w:sz w:val="28"/>
          <w:szCs w:val="28"/>
          <w:highlight w:val="none"/>
          <w:u w:val="single"/>
          <w:shd w:val="clear" w:color="auto" w:fill="auto"/>
        </w:rPr>
        <w:t>13751400863</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合同附件）方为有效，否则为无效文件，仅盖章或者仅签名的文件亦无效。甲方变更项目负责人、合同执行联系人的，以书面形式通知乙方。</w:t>
      </w:r>
    </w:p>
    <w:p w14:paraId="010DEB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；手机/微信号码：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收款、签收并签认甲方对乙方违约行为作出的处理通知等行为）。</w:t>
      </w:r>
    </w:p>
    <w:p w14:paraId="480DC76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；手机/微信号码：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62ED07B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264C64D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p>
    <w:p w14:paraId="754F662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p>
    <w:p w14:paraId="5EFEF50F">
      <w:pPr>
        <w:pStyle w:val="14"/>
        <w:rPr>
          <w:rFonts w:hint="eastAsia" w:ascii="仿宋" w:hAnsi="仿宋" w:eastAsia="仿宋" w:cs="仿宋"/>
          <w:color w:val="auto"/>
          <w:sz w:val="28"/>
          <w:szCs w:val="28"/>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甲方(盖章):东莞市中泰建安工程有限公司    乙方(盖章):</w:t>
      </w:r>
      <w:r>
        <w:rPr>
          <w:rFonts w:hint="eastAsia" w:ascii="仿宋" w:hAnsi="仿宋" w:eastAsia="仿宋" w:cs="仿宋"/>
          <w:b/>
          <w:bCs/>
          <w:color w:val="auto"/>
          <w:sz w:val="24"/>
          <w:szCs w:val="24"/>
          <w:highlight w:val="none"/>
          <w:lang w:val="en-US" w:eastAsia="zh-CN"/>
        </w:rPr>
        <w:t xml:space="preserve">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0" w:afterLines="15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380" w:lineRule="atLeas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p>
    <w:p w14:paraId="0F9DC114">
      <w:pPr>
        <w:keepNext w:val="0"/>
        <w:keepLines w:val="0"/>
        <w:pageBreakBefore w:val="0"/>
        <w:widowControl w:val="0"/>
        <w:kinsoku/>
        <w:wordWrap/>
        <w:overflowPunct/>
        <w:topLinePunct w:val="0"/>
        <w:autoSpaceDE/>
        <w:autoSpaceDN/>
        <w:bidi w:val="0"/>
        <w:adjustRightInd w:val="0"/>
        <w:snapToGrid w:val="0"/>
        <w:spacing w:line="380" w:lineRule="atLeas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r>
        <w:rPr>
          <w:rFonts w:hint="eastAsia" w:ascii="仿宋" w:hAnsi="仿宋" w:eastAsia="仿宋" w:cs="仿宋"/>
          <w:b/>
          <w:bCs/>
          <w:color w:val="auto"/>
          <w:sz w:val="24"/>
          <w:szCs w:val="24"/>
          <w:highlight w:val="none"/>
          <w:lang w:val="en-US" w:eastAsia="zh-CN"/>
        </w:rPr>
        <w:t xml:space="preserve"> </w:t>
      </w:r>
    </w:p>
    <w:p w14:paraId="0590523C">
      <w:pPr>
        <w:keepNext w:val="0"/>
        <w:keepLines w:val="0"/>
        <w:pageBreakBefore w:val="0"/>
        <w:widowControl w:val="0"/>
        <w:kinsoku/>
        <w:wordWrap/>
        <w:overflowPunct/>
        <w:topLinePunct w:val="0"/>
        <w:autoSpaceDE/>
        <w:autoSpaceDN/>
        <w:bidi w:val="0"/>
        <w:adjustRightInd w:val="0"/>
        <w:snapToGrid w:val="0"/>
        <w:spacing w:line="380" w:lineRule="atLeas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开户行：东莞银行股份有限公司元美支行     开户行：</w:t>
      </w:r>
      <w:r>
        <w:rPr>
          <w:rFonts w:hint="eastAsia" w:ascii="仿宋" w:hAnsi="仿宋" w:eastAsia="仿宋" w:cs="仿宋"/>
          <w:b/>
          <w:bCs/>
          <w:color w:val="auto"/>
          <w:sz w:val="21"/>
          <w:szCs w:val="21"/>
          <w:highlight w:val="none"/>
          <w:lang w:val="en-US" w:eastAsia="zh-CN"/>
        </w:rPr>
        <w:t xml:space="preserve"> </w:t>
      </w:r>
      <w:r>
        <w:rPr>
          <w:rFonts w:hint="eastAsia" w:ascii="仿宋" w:hAnsi="仿宋" w:eastAsia="仿宋" w:cs="仿宋"/>
          <w:b/>
          <w:bCs/>
          <w:color w:val="auto"/>
          <w:sz w:val="24"/>
          <w:szCs w:val="24"/>
          <w:highlight w:val="none"/>
        </w:rPr>
        <w:t xml:space="preserve">               </w:t>
      </w:r>
    </w:p>
    <w:p w14:paraId="2FBD0A16">
      <w:pPr>
        <w:keepNext w:val="0"/>
        <w:keepLines w:val="0"/>
        <w:pageBreakBefore w:val="0"/>
        <w:widowControl w:val="0"/>
        <w:kinsoku/>
        <w:wordWrap/>
        <w:overflowPunct/>
        <w:topLinePunct w:val="0"/>
        <w:autoSpaceDE/>
        <w:autoSpaceDN/>
        <w:bidi w:val="0"/>
        <w:adjustRightInd w:val="0"/>
        <w:snapToGrid w:val="0"/>
        <w:spacing w:before="147" w:beforeLines="50" w:line="380" w:lineRule="atLeast"/>
        <w:ind w:left="-198" w:leftChars="-200" w:right="0" w:rightChars="0" w:hanging="222" w:hangingChars="92"/>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地 址：广东省东莞市南城街道鸿福路        地  址：</w:t>
      </w:r>
      <w:r>
        <w:rPr>
          <w:rFonts w:hint="eastAsia" w:ascii="仿宋" w:hAnsi="仿宋" w:eastAsia="仿宋" w:cs="仿宋"/>
          <w:b/>
          <w:bCs/>
          <w:color w:val="auto"/>
          <w:sz w:val="24"/>
          <w:szCs w:val="24"/>
          <w:highlight w:val="none"/>
          <w:lang w:val="en-US" w:eastAsia="zh-CN"/>
        </w:rPr>
        <w:t xml:space="preserve"> </w:t>
      </w:r>
    </w:p>
    <w:p w14:paraId="6FE33527">
      <w:pPr>
        <w:keepNext w:val="0"/>
        <w:keepLines w:val="0"/>
        <w:pageBreakBefore w:val="0"/>
        <w:widowControl w:val="0"/>
        <w:kinsoku/>
        <w:wordWrap/>
        <w:overflowPunct/>
        <w:topLinePunct w:val="0"/>
        <w:autoSpaceDE/>
        <w:autoSpaceDN/>
        <w:bidi w:val="0"/>
        <w:adjustRightInd w:val="0"/>
        <w:snapToGrid w:val="0"/>
        <w:spacing w:before="147" w:beforeLines="50" w:line="380" w:lineRule="atLeast"/>
        <w:ind w:left="-178" w:leftChars="-85" w:right="0" w:rightChars="0" w:firstLine="499" w:firstLineChars="207"/>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r>
        <w:rPr>
          <w:rFonts w:hint="eastAsia" w:ascii="仿宋" w:hAnsi="仿宋" w:eastAsia="仿宋" w:cs="仿宋"/>
          <w:b/>
          <w:bCs/>
          <w:color w:val="auto"/>
          <w:sz w:val="24"/>
          <w:szCs w:val="24"/>
          <w:highlight w:val="none"/>
          <w:lang w:val="en-US" w:eastAsia="zh-CN"/>
        </w:rPr>
        <w:t xml:space="preserve"> </w:t>
      </w:r>
    </w:p>
    <w:p w14:paraId="26D9DC6A">
      <w:pPr>
        <w:keepNext w:val="0"/>
        <w:keepLines w:val="0"/>
        <w:pageBreakBefore w:val="0"/>
        <w:widowControl w:val="0"/>
        <w:kinsoku/>
        <w:wordWrap/>
        <w:overflowPunct/>
        <w:topLinePunct w:val="0"/>
        <w:autoSpaceDE/>
        <w:autoSpaceDN/>
        <w:bidi w:val="0"/>
        <w:adjustRightInd w:val="0"/>
        <w:snapToGrid w:val="0"/>
        <w:spacing w:line="380" w:lineRule="atLeas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r>
        <w:rPr>
          <w:rFonts w:hint="eastAsia" w:ascii="仿宋" w:hAnsi="仿宋" w:eastAsia="仿宋" w:cs="仿宋"/>
          <w:b/>
          <w:bCs/>
          <w:color w:val="auto"/>
          <w:sz w:val="24"/>
          <w:szCs w:val="24"/>
          <w:highlight w:val="none"/>
          <w:lang w:val="en-US" w:eastAsia="zh-CN"/>
        </w:rPr>
        <w:t xml:space="preserve">  </w:t>
      </w:r>
    </w:p>
    <w:p w14:paraId="323333C8">
      <w:pPr>
        <w:pStyle w:val="3"/>
        <w:keepNext w:val="0"/>
        <w:keepLines w:val="0"/>
        <w:pageBreakBefore w:val="0"/>
        <w:widowControl w:val="0"/>
        <w:kinsoku/>
        <w:wordWrap/>
        <w:overflowPunct/>
        <w:topLinePunct w:val="0"/>
        <w:autoSpaceDE/>
        <w:autoSpaceDN/>
        <w:bidi w:val="0"/>
        <w:adjustRightInd w:val="0"/>
        <w:snapToGrid w:val="0"/>
        <w:spacing w:before="147" w:beforeLines="50" w:line="380" w:lineRule="atLeas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5F9961D1">
      <w:pPr>
        <w:pStyle w:val="3"/>
        <w:keepNext w:val="0"/>
        <w:keepLines w:val="0"/>
        <w:pageBreakBefore w:val="0"/>
        <w:widowControl w:val="0"/>
        <w:kinsoku/>
        <w:wordWrap/>
        <w:overflowPunct/>
        <w:topLinePunct w:val="0"/>
        <w:autoSpaceDE/>
        <w:autoSpaceDN/>
        <w:bidi w:val="0"/>
        <w:adjustRightInd w:val="0"/>
        <w:snapToGrid w:val="0"/>
        <w:spacing w:before="147" w:beforeLines="50" w:line="380" w:lineRule="atLeas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D19810D">
      <w:pPr>
        <w:pStyle w:val="3"/>
        <w:keepNext w:val="0"/>
        <w:keepLines w:val="0"/>
        <w:pageBreakBefore w:val="0"/>
        <w:widowControl w:val="0"/>
        <w:kinsoku/>
        <w:wordWrap/>
        <w:overflowPunct/>
        <w:topLinePunct w:val="0"/>
        <w:autoSpaceDE/>
        <w:autoSpaceDN/>
        <w:bidi w:val="0"/>
        <w:adjustRightInd w:val="0"/>
        <w:snapToGrid w:val="0"/>
        <w:spacing w:before="147" w:beforeLines="50" w:line="380" w:lineRule="atLeas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4F56E2D">
      <w:pPr>
        <w:pStyle w:val="14"/>
        <w:rPr>
          <w:rFonts w:hint="eastAsia" w:ascii="仿宋" w:hAnsi="仿宋" w:eastAsia="仿宋" w:cs="仿宋"/>
          <w:b/>
          <w:bCs/>
          <w:color w:val="auto"/>
          <w:sz w:val="24"/>
          <w:szCs w:val="24"/>
          <w:highlight w:val="none"/>
        </w:rPr>
      </w:pPr>
    </w:p>
    <w:p w14:paraId="41D2CF21">
      <w:pPr>
        <w:pStyle w:val="14"/>
        <w:rPr>
          <w:rFonts w:hint="eastAsia" w:ascii="仿宋" w:hAnsi="仿宋" w:eastAsia="仿宋" w:cs="仿宋"/>
          <w:b/>
          <w:bCs/>
          <w:color w:val="auto"/>
          <w:sz w:val="24"/>
          <w:szCs w:val="24"/>
          <w:highlight w:val="none"/>
        </w:rPr>
      </w:pPr>
    </w:p>
    <w:p w14:paraId="048FA84D">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75" w:name="_Toc24286"/>
      <w:bookmarkStart w:id="76" w:name="_Toc28934"/>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75"/>
      <w:bookmarkEnd w:id="76"/>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7" w:name="_Toc11725"/>
      <w:bookmarkStart w:id="78" w:name="_Toc29752"/>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77"/>
      <w:bookmarkEnd w:id="78"/>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w:t>
      </w:r>
      <w:r>
        <w:rPr>
          <w:rFonts w:hint="eastAsia" w:ascii="仿宋" w:hAnsi="仿宋" w:eastAsia="仿宋" w:cs="仿宋"/>
          <w:color w:val="FF0000"/>
          <w:sz w:val="28"/>
          <w:szCs w:val="28"/>
          <w:highlight w:val="none"/>
          <w:lang w:val="en-US" w:eastAsia="zh-CN"/>
        </w:rPr>
        <w:t>（如需）</w:t>
      </w:r>
      <w:r>
        <w:rPr>
          <w:rFonts w:hint="eastAsia" w:ascii="仿宋" w:hAnsi="仿宋" w:eastAsia="仿宋" w:cs="仿宋"/>
          <w:color w:val="auto"/>
          <w:sz w:val="28"/>
          <w:szCs w:val="28"/>
          <w:highlight w:val="none"/>
          <w:lang w:val="en-US" w:eastAsia="zh-CN"/>
        </w:rPr>
        <w:t>，包所有机械设备（含进退场），包安全文明施工，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w:t>
      </w:r>
      <w:r>
        <w:rPr>
          <w:rFonts w:hint="eastAsia" w:ascii="仿宋" w:hAnsi="仿宋" w:eastAsia="仿宋" w:cs="仿宋"/>
          <w:color w:val="FF0000"/>
          <w:sz w:val="28"/>
          <w:szCs w:val="28"/>
          <w:highlight w:val="none"/>
          <w:lang w:val="en-US" w:eastAsia="zh-CN"/>
        </w:rPr>
        <w:t>包甲方、建设单位、监理单位及政府相关部门的各种验收，竣工验收通过并取得相关意见书，以及承担为此工作产生的所有费用，</w:t>
      </w:r>
      <w:r>
        <w:rPr>
          <w:rFonts w:hint="eastAsia" w:ascii="仿宋" w:hAnsi="仿宋" w:eastAsia="仿宋" w:cs="仿宋"/>
          <w:color w:val="auto"/>
          <w:sz w:val="28"/>
          <w:szCs w:val="28"/>
          <w:highlight w:val="none"/>
          <w:lang w:val="en-US" w:eastAsia="zh-CN"/>
        </w:rPr>
        <w:t>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用电，包管理，包利润，包税金，包物价上涨，包其他工种配合可能产生的降效及产生的费用，包本工程施工过程中一切风险因素及全部内容及费用。</w:t>
      </w:r>
    </w:p>
    <w:p w14:paraId="36FB8535">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9" w:name="_Toc20145"/>
      <w:bookmarkStart w:id="80"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9"/>
      <w:bookmarkEnd w:id="80"/>
    </w:p>
    <w:p w14:paraId="1FB75A67">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1" w:name="_Toc8654"/>
      <w:bookmarkStart w:id="82" w:name="_Toc10183"/>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81"/>
      <w:bookmarkEnd w:id="82"/>
    </w:p>
    <w:p w14:paraId="315A220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2E49C0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3.6本工程施工过程出现赶工、交叉作业、停工（包括建设单位原因造成的停工）及工人工资、材料费、机具费上涨等导致乙方成本、费用发生增加，乙方不因此要求甲方对合同单价进行调整和另行增补费用。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3.7春节、元旦、五一、十一、周末等法定节假日、休息日及技术要求或进度计划要求进行赶工、加班等费用已包含在本合同约定的☑合同单价/□合同总价内，甲方无需另行付费给乙方。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w:t>
      </w:r>
      <w:r>
        <w:rPr>
          <w:rFonts w:hint="eastAsia" w:ascii="仿宋" w:hAnsi="仿宋" w:eastAsia="仿宋" w:cs="仿宋"/>
          <w:color w:val="auto"/>
          <w:sz w:val="28"/>
          <w:szCs w:val="28"/>
          <w:highlight w:val="none"/>
          <w:u w:val="none"/>
          <w:shd w:val="clear" w:color="auto" w:fill="auto"/>
          <w:lang w:val="en-US" w:eastAsia="zh-CN"/>
        </w:rPr>
        <w:t>支付</w:t>
      </w:r>
      <w:r>
        <w:rPr>
          <w:rFonts w:hint="eastAsia" w:ascii="仿宋" w:hAnsi="仿宋" w:eastAsia="仿宋" w:cs="仿宋"/>
          <w:color w:val="auto"/>
          <w:sz w:val="28"/>
          <w:szCs w:val="28"/>
          <w:highlight w:val="none"/>
          <w:u w:val="none"/>
          <w:shd w:val="clear" w:color="auto" w:fill="auto"/>
        </w:rPr>
        <w:t>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3" w:name="_Toc5328"/>
      <w:bookmarkStart w:id="84" w:name="_Toc321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83"/>
      <w:bookmarkEnd w:id="84"/>
    </w:p>
    <w:p w14:paraId="0F86F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000000" w:themeColor="text1"/>
          <w:sz w:val="28"/>
          <w:szCs w:val="28"/>
          <w:highlight w:val="none"/>
          <w14:textFill>
            <w14:solidFill>
              <w14:schemeClr w14:val="tx1"/>
            </w14:solidFill>
          </w14:textFill>
        </w:rPr>
        <w:t>甲方（或监理、建设单位、政府部门）检查、验收本工程或本项目时，乙方须安排管理人员配合检查、验收，否则每次向甲方支付违约金人民币壹仟元。乙方施工过程中必须进行质量自检，并按甲方要求做好标记及书面资料，严格执行三级检查制度。乙方须坚决落实甲方、政府部门提出的整改要求，凡未按要求落实整改的，乙方向甲方</w:t>
      </w:r>
      <w:r>
        <w:rPr>
          <w:rFonts w:hint="eastAsia" w:ascii="仿宋" w:hAnsi="仿宋" w:eastAsia="仿宋" w:cs="仿宋"/>
          <w:color w:val="000000" w:themeColor="text1"/>
          <w:sz w:val="28"/>
          <w:szCs w:val="28"/>
          <w:highlight w:val="none"/>
          <w:lang w:val="en-US" w:eastAsia="zh-CN"/>
          <w14:textFill>
            <w14:solidFill>
              <w14:schemeClr w14:val="tx1"/>
            </w14:solidFill>
          </w14:textFill>
        </w:rPr>
        <w:t>支付</w:t>
      </w:r>
      <w:r>
        <w:rPr>
          <w:rFonts w:hint="eastAsia" w:ascii="仿宋" w:hAnsi="仿宋" w:eastAsia="仿宋" w:cs="仿宋"/>
          <w:color w:val="000000" w:themeColor="text1"/>
          <w:sz w:val="28"/>
          <w:szCs w:val="28"/>
          <w:highlight w:val="none"/>
          <w14:textFill>
            <w14:solidFill>
              <w14:schemeClr w14:val="tx1"/>
            </w14:solidFill>
          </w14:textFill>
        </w:rPr>
        <w:t>违约金贰仟至壹万元/次，整改二次以上的甲方有权对本工程按</w:t>
      </w:r>
      <w:r>
        <w:rPr>
          <w:rFonts w:hint="eastAsia" w:ascii="仿宋" w:hAnsi="仿宋" w:eastAsia="仿宋" w:cs="仿宋"/>
          <w:color w:val="000000" w:themeColor="text1"/>
          <w:sz w:val="28"/>
          <w:szCs w:val="28"/>
          <w:highlight w:val="none"/>
          <w14:textFill>
            <w14:solidFill>
              <w14:schemeClr w14:val="tx1"/>
            </w14:solidFill>
          </w14:textFill>
        </w:rPr>
        <w:sym w:font="Wingdings 2" w:char="0052"/>
      </w:r>
      <w:r>
        <w:rPr>
          <w:rFonts w:hint="eastAsia" w:ascii="仿宋" w:hAnsi="仿宋" w:eastAsia="仿宋" w:cs="仿宋"/>
          <w:color w:val="000000" w:themeColor="text1"/>
          <w:sz w:val="28"/>
          <w:szCs w:val="28"/>
          <w:highlight w:val="none"/>
          <w14:textFill>
            <w14:solidFill>
              <w14:schemeClr w14:val="tx1"/>
            </w14:solidFill>
          </w14:textFill>
        </w:rPr>
        <w:t>合同单价/□合同总价下浮2%予以结算。</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4.2由于乙方原因导致本工程任一部位质量达不到合同约定的质量标准或不符合施工规范的，乙方无条件完成整改，所发生的一切费用由乙方承担。凡是发生第二次相同问题再整改的，乙方每次向甲方支付违约金1000元以上。</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85" w:name="_Toc14414"/>
      <w:bookmarkStart w:id="86" w:name="_Toc20800"/>
      <w:r>
        <w:rPr>
          <w:rFonts w:hint="eastAsia" w:ascii="仿宋" w:hAnsi="仿宋" w:eastAsia="仿宋" w:cs="仿宋"/>
          <w:color w:val="000000" w:themeColor="text1"/>
          <w:sz w:val="28"/>
          <w:szCs w:val="28"/>
          <w:highlight w:val="none"/>
          <w:lang w:val="en-US" w:eastAsia="zh-CN"/>
          <w14:textFill>
            <w14:solidFill>
              <w14:schemeClr w14:val="tx1"/>
            </w14:solidFill>
          </w14:textFill>
        </w:rPr>
        <w:t>4.3乙供材料收货验收流程及标准</w:t>
      </w:r>
      <w:bookmarkEnd w:id="85"/>
      <w:bookmarkEnd w:id="86"/>
    </w:p>
    <w:p w14:paraId="1A670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4.3.1乙方中标后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施工周转材料和小型机具进场前应报甲方项目部进行检查，做好特殊标记，由备案人员清点后方可使用，无特殊标记的周转材料不得进场，私自进场的不得外运。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4.3.2甲方施工员在乙供材料、设备进场时，有权对品牌、规格、型号、质量等进行抽检并拍照留存。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4.3.4对不符合合同要求的乙供材料（如材料的品牌、规格、型号、质量等不符合合同约定），由甲方本合同执行联系人按合同要求直接拒收、退场并作好记录备查，不允许折价收货不符合合同要求的材料，且乙方向甲方支付违约金（违约金金额等于不符合合同约定的材料金额的三倍但最少不低于伍仟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4.4乙方必须以甲方验收合格为标准，无条件接受返工、整改，工期不得顺延</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7" w:name="_Toc17786"/>
      <w:bookmarkStart w:id="88" w:name="_Toc3502"/>
      <w:bookmarkStart w:id="89" w:name="_Toc1336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7"/>
      <w:bookmarkEnd w:id="88"/>
      <w:bookmarkEnd w:id="89"/>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90" w:name="_Toc12707"/>
      <w:bookmarkStart w:id="91" w:name="_Toc4027"/>
      <w:bookmarkStart w:id="92" w:name="_Toc1479"/>
      <w:r>
        <w:rPr>
          <w:rFonts w:hint="eastAsia" w:ascii="仿宋" w:hAnsi="仿宋" w:eastAsia="仿宋" w:cs="仿宋"/>
          <w:color w:val="auto"/>
          <w:sz w:val="28"/>
          <w:szCs w:val="28"/>
          <w:highlight w:val="none"/>
          <w:lang w:val="en-US" w:eastAsia="zh-CN"/>
        </w:rPr>
        <w:t>5.1</w:t>
      </w:r>
      <w:bookmarkEnd w:id="90"/>
      <w:bookmarkEnd w:id="91"/>
      <w:bookmarkEnd w:id="92"/>
      <w:r>
        <w:rPr>
          <w:rFonts w:hint="eastAsia" w:ascii="仿宋" w:hAnsi="仿宋" w:eastAsia="仿宋" w:cs="仿宋"/>
          <w:color w:val="000000" w:themeColor="text1"/>
          <w:sz w:val="28"/>
          <w:szCs w:val="28"/>
          <w:highlight w:val="none"/>
          <w:lang w:val="en-US" w:eastAsia="zh-CN"/>
          <w14:textFill>
            <w14:solidFill>
              <w14:schemeClr w14:val="tx1"/>
            </w14:solidFill>
          </w14:textFill>
        </w:rPr>
        <w:t>☑合同单价/□合同总价包括乙方完成下述工作及应对下述情况的费用、风险的费用，甲方无需另行付费给乙方：</w:t>
      </w:r>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）配备本工程所需电工、焊工，且须持证上岗。甲方电工仅对乙方电工进行监督、检查、管理、指导。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）春节、元旦、五一、十一、周末等法定节假日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休息日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）参与甲供材料（如</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有</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申报采购、验收和收货，其数量作为</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材料损耗率的核算依据</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之一</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5</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施工过程出现赶工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交叉作业</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停工</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工人工资、材料费、机具费上涨等</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导致乙方成本、费用发生</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增</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5.2</w:t>
      </w:r>
      <w:r>
        <w:rPr>
          <w:rFonts w:hint="eastAsia" w:ascii="仿宋" w:hAnsi="仿宋" w:eastAsia="仿宋" w:cs="仿宋"/>
          <w:color w:val="000000" w:themeColor="text1"/>
          <w:sz w:val="28"/>
          <w:szCs w:val="28"/>
          <w:highlight w:val="none"/>
          <w:lang w:val="en-US" w:eastAsia="zh-CN"/>
          <w14:textFill>
            <w14:solidFill>
              <w14:schemeClr w14:val="tx1"/>
            </w14:solidFill>
          </w14:textFill>
        </w:rPr>
        <w:t>☑合同单价/□合同总价</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5.4对于增加或变更工程，乙方凭甲方项目经理签认的签证单及相关资料办理结算。甲方项目经理委托/授权他人代签均为无效签证，甲方不付款及不结算。任何人的口头指示、通知、电话通知、微信通知不作为结算依据。未盖甲方项目章的书面签证确认或乙方超出图纸、合同清单范围施工的工程量，不属于增加工程，不纳入结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1E479F0E">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3" w:name="_Toc13078"/>
      <w:bookmarkStart w:id="94" w:name="_Toc17936"/>
      <w:bookmarkStart w:id="95" w:name="_Toc10388"/>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93"/>
      <w:bookmarkEnd w:id="94"/>
      <w:bookmarkEnd w:id="95"/>
    </w:p>
    <w:p w14:paraId="38EB3530">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6.3.1.8乙方现场执行人签名、印章、内容不清楚、不齐全的签证单或工程量计算单，甲方项目部有权拒收。</w:t>
      </w:r>
    </w:p>
    <w:p w14:paraId="77BB0E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6.3.1.10对同一签证内容，甲方与建设单位办理了签证单，而该签证单内容甲方分给多家施工单位完成的，乙方须提供甲乙双方确认的《签证单分包说明》（格式详见附件）作为乙方结算依据方可结算。</w:t>
      </w:r>
    </w:p>
    <w:p w14:paraId="0E4252C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6.3.1.11甲方与建设单位未办理签证单，但属于绿色文明施工范围内或因其它原因（如临时设施等）使得甲方确需与乙方办理签证的情况，则乙方须提供甲方签认的《分包签证确认单》方可办理结算。</w:t>
      </w:r>
    </w:p>
    <w:p w14:paraId="5BD5A33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甲方项目</w:t>
      </w:r>
      <w:r>
        <w:rPr>
          <w:rFonts w:hint="eastAsia" w:ascii="仿宋" w:hAnsi="仿宋" w:eastAsia="仿宋" w:cs="仿宋"/>
          <w:color w:val="auto"/>
          <w:sz w:val="28"/>
          <w:szCs w:val="28"/>
          <w:highlight w:val="none"/>
        </w:rPr>
        <w:t>章方为有效。甲方项目经理委托/授权他人代签均为无效签证，甲方不予办理付款及结算。任何人的口头指示、通知、电话通知、微信通知不作为结算依据。未</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二份，含电子版）由乙方现场执行人签字并加盖公章后报甲方，逾期提报的，甲方不受理，一切责任及损失由乙方自行承担。</w:t>
      </w:r>
    </w:p>
    <w:p w14:paraId="5923C35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6" w:name="_Toc12061"/>
      <w:bookmarkStart w:id="97" w:name="_Toc31711"/>
      <w:bookmarkStart w:id="98" w:name="_Toc15975"/>
      <w:bookmarkStart w:id="99" w:name="_Toc30160"/>
      <w:bookmarkStart w:id="100" w:name="_Toc17329"/>
      <w:bookmarkStart w:id="101" w:name="_Toc5229"/>
      <w:r>
        <w:rPr>
          <w:rFonts w:hint="eastAsia" w:ascii="仿宋" w:hAnsi="仿宋" w:eastAsia="仿宋" w:cs="仿宋"/>
          <w:color w:val="auto"/>
          <w:sz w:val="28"/>
          <w:szCs w:val="28"/>
          <w:highlight w:val="none"/>
          <w:lang w:val="en-US" w:eastAsia="zh-CN"/>
        </w:rPr>
        <w:t>6.15本工程甲供材损耗率按本合同相关条款执行。</w:t>
      </w:r>
      <w:bookmarkEnd w:id="96"/>
      <w:bookmarkEnd w:id="97"/>
      <w:bookmarkEnd w:id="98"/>
      <w:bookmarkEnd w:id="99"/>
      <w:bookmarkEnd w:id="100"/>
      <w:bookmarkEnd w:id="101"/>
    </w:p>
    <w:p w14:paraId="0361410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11671"/>
      <w:bookmarkStart w:id="103" w:name="_Toc5584"/>
      <w:bookmarkStart w:id="104"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102"/>
      <w:bookmarkEnd w:id="103"/>
      <w:bookmarkEnd w:id="104"/>
    </w:p>
    <w:p w14:paraId="291738E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635A61C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节点款时须按甲方要求提交工人工资表等资料，例如：乙方申请3月份节点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w:t>
      </w:r>
      <w:r>
        <w:rPr>
          <w:rFonts w:hint="eastAsia" w:ascii="仿宋" w:hAnsi="仿宋" w:eastAsia="仿宋" w:cs="仿宋"/>
          <w:b w:val="0"/>
          <w:bCs w:val="0"/>
          <w:i w:val="0"/>
          <w:iCs w:val="0"/>
          <w:color w:val="auto"/>
          <w:sz w:val="28"/>
          <w:szCs w:val="28"/>
          <w:highlight w:val="none"/>
          <w:u w:val="none"/>
          <w:shd w:val="clear" w:color="auto" w:fill="auto"/>
          <w:lang w:eastAsia="zh-CN"/>
        </w:rPr>
        <w:t>支付</w:t>
      </w:r>
      <w:r>
        <w:rPr>
          <w:rFonts w:hint="eastAsia" w:ascii="仿宋" w:hAnsi="仿宋" w:eastAsia="仿宋" w:cs="仿宋"/>
          <w:color w:val="auto"/>
          <w:sz w:val="28"/>
          <w:szCs w:val="28"/>
          <w:highlight w:val="none"/>
          <w:lang w:val="en-US" w:eastAsia="zh-CN"/>
        </w:rPr>
        <w:t>违约金壹万元/次。乙方工人考勤打卡及实名要求按甲方《项目实名制及劳资管理制度》执行。</w:t>
      </w:r>
    </w:p>
    <w:p w14:paraId="788C6F6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未达合同进度款支付节点所支付的工人工资约定如下：①应发＞5000元，暂发5000元；②应发≤5000元，暂发80%；③剩余工资于节点/完工时按合同约定付款方式处理；④每月发的工人工资总数不能超过其当月完成产值的60%，按照无息预支付工程款方式以进度款流程申请办理；⑤甲方有权对该款追偿或在下一次工程款中直接扣除。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r>
        <w:rPr>
          <w:rFonts w:hint="eastAsia" w:ascii="仿宋" w:hAnsi="仿宋" w:eastAsia="仿宋" w:cs="仿宋"/>
          <w:i w:val="0"/>
          <w:iCs w:val="0"/>
          <w:color w:val="auto"/>
          <w:sz w:val="28"/>
          <w:szCs w:val="28"/>
          <w:highlight w:val="none"/>
          <w:lang w:val="en-US" w:eastAsia="zh-CN"/>
        </w:rPr>
        <w:t>。</w:t>
      </w:r>
    </w:p>
    <w:p w14:paraId="566656A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61BA21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33C2AD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17F67A7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249A2D2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2ABACF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44C7DC3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4C4F3C4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4A1FF9D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kinsoku/>
        <w:wordWrap/>
        <w:overflowPunct/>
        <w:topLinePunct w:val="0"/>
        <w:autoSpaceDE/>
        <w:autoSpaceDN/>
        <w:bidi w:val="0"/>
        <w:adjustRightInd w:val="0"/>
        <w:spacing w:line="520" w:lineRule="atLeast"/>
        <w:ind w:left="0" w:leftChars="0" w:firstLine="560" w:firstLineChars="20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5" w:name="_Toc26884"/>
      <w:bookmarkStart w:id="106" w:name="_Toc9906"/>
      <w:bookmarkStart w:id="107"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5"/>
      <w:bookmarkEnd w:id="106"/>
      <w:bookmarkEnd w:id="107"/>
    </w:p>
    <w:p w14:paraId="53BCC55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8" w:name="_Toc7257"/>
      <w:bookmarkStart w:id="109" w:name="_Toc694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8"/>
      <w:bookmarkEnd w:id="109"/>
    </w:p>
    <w:p w14:paraId="41B5098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CA5B55D">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8.1.2按国家工程质量标准对乙方施工成品进行内部核验，办理过程验收手续和完工后总体验收手续。在验收合格情况下按照合同约定及时办理结算和付款。</w:t>
      </w:r>
    </w:p>
    <w:p w14:paraId="0728576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4D9336B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2F9E6C3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29670F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2BF4E9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FE7380E">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890BEB0">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3F55B9F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FF300F7">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5F4508F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6D3252A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凡甲方认为会影响本工程质量或可能导致安全事故的乙方自备材料、机具等，乙方不得用于本项目，否则乙方无条件更换且每次向甲方支付违约金壹万元及不延长工期。</w:t>
      </w:r>
    </w:p>
    <w:p w14:paraId="3D3050E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3E84476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07AFDA4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012C51A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06F48A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0ED5DEC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0051B3B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lang w:val="en-US" w:eastAsia="zh-CN"/>
        </w:rPr>
      </w:pPr>
      <w:bookmarkStart w:id="110" w:name="_Toc3364"/>
      <w:bookmarkStart w:id="111" w:name="_Toc31817"/>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10"/>
      <w:bookmarkEnd w:id="111"/>
    </w:p>
    <w:p w14:paraId="6CD054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8.2.4施工过程中，乙方指定专人认真做好施工记录，工程竣工后及时将资料整理完整并移交甲方资料员。</w:t>
      </w:r>
    </w:p>
    <w:p w14:paraId="6D58AAD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8.2.7乙方对完成的每一道工序及时、认真进行自检，自检合格后提请甲方验收。对甲方提出的问题按甲方要求彻底整改，每延误一天完成整改的，向甲方支付违约金壹仟元。</w:t>
      </w:r>
    </w:p>
    <w:p w14:paraId="1087317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进行实名登记，否则甲方有权按逾期天数认定乙方延迟开工计收违约金。乙方与进场人员签订了劳动合同而未提供在花名册内或未提供该人员身份证复印件及联系电话的，不得进入施工现场，否则乙方向甲方支付违约金贰仟元/人/次且甲方不发放该人员工资。乙方服务于本工程的人员如有增减，须在增减之日起3天内补充增减人员名单给甲方，并将新增人员身份证复印件及联系电话、乙方与该人员签订的劳动合同复印件给甲方留存，否则乙方向甲方支付违约金一千元/人次。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7815D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8.2.12乙方须主动如实申报及发放工人工资，甲方有权核对，如发现乙方弄虚作假，甲方暂停支付乙方合同款。</w:t>
      </w:r>
    </w:p>
    <w:p w14:paraId="0BAF91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经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w:t>
      </w:r>
      <w:r>
        <w:rPr>
          <w:rFonts w:hint="eastAsia" w:ascii="仿宋" w:hAnsi="仿宋" w:eastAsia="仿宋" w:cs="仿宋"/>
          <w:b w:val="0"/>
          <w:bCs w:val="0"/>
          <w:i w:val="0"/>
          <w:iCs w:val="0"/>
          <w:color w:val="auto"/>
          <w:sz w:val="28"/>
          <w:szCs w:val="28"/>
          <w:highlight w:val="none"/>
          <w:shd w:val="clear" w:color="auto" w:fill="auto"/>
          <w:lang w:val="en-US" w:eastAsia="zh-CN"/>
        </w:rPr>
        <w:t>乙方供应的每批材料必须经甲方现场管理人员（或甲方施工员）确认是否符合合同要求及本工程所需，如不符合，一律不准进场并按甲方要求更换且不得因此延长工期，同时乙方每次向甲方支付违约金伍仟元</w:t>
      </w:r>
      <w:r>
        <w:rPr>
          <w:rFonts w:hint="eastAsia" w:ascii="仿宋" w:hAnsi="仿宋" w:eastAsia="仿宋" w:cs="仿宋"/>
          <w:i w:val="0"/>
          <w:iCs w:val="0"/>
          <w:color w:val="auto"/>
          <w:sz w:val="28"/>
          <w:szCs w:val="28"/>
          <w:highlight w:val="none"/>
          <w:shd w:val="clear" w:color="auto" w:fill="auto"/>
          <w:lang w:val="en-US" w:eastAsia="zh-CN"/>
        </w:rPr>
        <w:t xml:space="preserve">。 </w:t>
      </w:r>
    </w:p>
    <w:p w14:paraId="2E1B6F2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w:t>
      </w:r>
      <w:r>
        <w:rPr>
          <w:rFonts w:hint="eastAsia" w:ascii="仿宋" w:hAnsi="仿宋" w:eastAsia="仿宋" w:cs="仿宋"/>
          <w:b w:val="0"/>
          <w:bCs w:val="0"/>
          <w:i w:val="0"/>
          <w:iCs w:val="0"/>
          <w:color w:val="auto"/>
          <w:sz w:val="28"/>
          <w:szCs w:val="28"/>
          <w:highlight w:val="none"/>
          <w:shd w:val="clear" w:color="auto" w:fill="auto"/>
          <w:lang w:val="en-US" w:eastAsia="zh-CN"/>
        </w:rPr>
        <w:t>除不可抗力及非乙方原因外，乙方确保本工程的质量和进度一次性达到合同要求，否则造成的损失由乙方承担且每次向甲方支付违约金壹万元</w:t>
      </w:r>
      <w:r>
        <w:rPr>
          <w:rFonts w:hint="eastAsia" w:ascii="仿宋" w:hAnsi="仿宋" w:eastAsia="仿宋" w:cs="仿宋"/>
          <w:i w:val="0"/>
          <w:iCs w:val="0"/>
          <w:color w:val="auto"/>
          <w:sz w:val="28"/>
          <w:szCs w:val="28"/>
          <w:highlight w:val="none"/>
          <w:shd w:val="clear" w:color="auto" w:fill="auto"/>
          <w:lang w:val="en-US" w:eastAsia="zh-CN"/>
        </w:rPr>
        <w:t>。</w:t>
      </w:r>
    </w:p>
    <w:p w14:paraId="323566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支付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安全事故或其他伤亡情形（如中暑、猝死、药物过敏、食物中毒等），均由乙方承担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3C7633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r>
        <w:rPr>
          <w:rFonts w:hint="eastAsia" w:ascii="仿宋" w:hAnsi="仿宋" w:eastAsia="仿宋" w:cs="仿宋"/>
          <w:i w:val="0"/>
          <w:iCs w:val="0"/>
          <w:color w:val="auto"/>
          <w:sz w:val="28"/>
          <w:szCs w:val="28"/>
          <w:highlight w:val="none"/>
          <w:shd w:val="clear" w:color="auto" w:fill="auto"/>
          <w:lang w:val="en-US" w:eastAsia="zh-CN"/>
        </w:rPr>
        <w:t>。</w:t>
      </w:r>
    </w:p>
    <w:p w14:paraId="631944D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2" w:name="_Toc28266"/>
      <w:bookmarkStart w:id="113" w:name="_Toc11160"/>
      <w:bookmarkStart w:id="114" w:name="_Toc807"/>
      <w:bookmarkStart w:id="115" w:name="_Toc24736"/>
      <w:bookmarkStart w:id="116" w:name="_Toc22397"/>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12"/>
      <w:bookmarkEnd w:id="113"/>
      <w:bookmarkEnd w:id="114"/>
      <w:bookmarkEnd w:id="115"/>
      <w:bookmarkEnd w:id="116"/>
    </w:p>
    <w:p w14:paraId="581C8E2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7" w:name="_Toc27493"/>
      <w:bookmarkStart w:id="118"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7"/>
      <w:bookmarkEnd w:id="118"/>
    </w:p>
    <w:p w14:paraId="166CFD2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9.2甲方不得违反《建设工程安全生产管理条例》（按最新版执行）的规定要求乙方违章施工。因甲方指挥失误导致的安全事故由甲方承担相应责任和费用。</w:t>
      </w:r>
    </w:p>
    <w:p w14:paraId="7DA44A2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按最新版执行</w:t>
      </w:r>
      <w:r>
        <w:rPr>
          <w:rFonts w:hint="eastAsia" w:ascii="仿宋" w:hAnsi="仿宋" w:eastAsia="仿宋" w:cs="仿宋"/>
          <w:color w:val="auto"/>
          <w:sz w:val="28"/>
          <w:szCs w:val="28"/>
          <w:highlight w:val="none"/>
          <w:lang w:val="en-US" w:eastAsia="zh-CN"/>
        </w:rPr>
        <w:t>）、《建设工程安全生产管理条例》（按最新版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9" w:name="_Toc18465"/>
      <w:bookmarkStart w:id="120" w:name="_Toc7882"/>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9"/>
      <w:bookmarkEnd w:id="120"/>
    </w:p>
    <w:p w14:paraId="6420F7C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22606"/>
      <w:bookmarkStart w:id="122" w:name="_Toc12086"/>
      <w:bookmarkStart w:id="123" w:name="_Toc8275"/>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21"/>
      <w:bookmarkEnd w:id="122"/>
      <w:bookmarkEnd w:id="123"/>
    </w:p>
    <w:p w14:paraId="7AEF578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如使用甲供材料，则由乙方独立发起申请，并在货到工地时与甲方仓管员等验收人员共同签收、办理出库领用手续，然后由乙方自行保管。乙方签订本合同后3天内将需甲方提供的材料编制材料计划申报单（详列规格、数量、分批次到货时间等明细）报甲方项目部审批，经双方签字确认后各自留存，以作为各阶段进度计划的附页及领用时的核查依据。</w:t>
      </w:r>
    </w:p>
    <w:p w14:paraId="243A6D7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5E45CBD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10.3本工程竣工之日起10个日历天内，乙方须到甲方仓库完成甲供材料和机具的退还手续，每延迟一日完成，向甲方支付违约金人民币伍佰元，且甲方有权不办理结算直至全部退还为止。</w:t>
      </w:r>
    </w:p>
    <w:p w14:paraId="0A458AD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支付违约金伍佰元且不得要求延长工期。</w:t>
      </w:r>
    </w:p>
    <w:p w14:paraId="54F0888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2E477CB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31D529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387282D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28B7F6E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4" w:name="_Toc28272"/>
      <w:bookmarkStart w:id="125" w:name="_Toc16151"/>
      <w:bookmarkStart w:id="126" w:name="_Toc30878"/>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4"/>
      <w:bookmarkEnd w:id="125"/>
      <w:bookmarkEnd w:id="126"/>
    </w:p>
    <w:p w14:paraId="56C9338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11.1保修期内，本工程如因乙方原因出现质量问题，乙方须在接到甲方通知起48小时内派人到达现场处理解决，否则甲方有权自行或委托第三方处理，乙方承担相关费用、责任并向甲方支付违约金壹仟元/次；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11.2保修期内，本工程若发生乙方原因导致的质量问题，乙方须赔偿甲方因此造成的一切损失；若出现较大质量缺陷，乙方履行保修义务（维修）至验收合格后，保修期自该次维修工作完成验收合格之日起顺延。</w:t>
      </w:r>
    </w:p>
    <w:p w14:paraId="378DB6A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11.3保修期届满前，若出现质量问题需要鉴定，相关费用由乙方负责。</w:t>
      </w:r>
    </w:p>
    <w:p w14:paraId="4A02B37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11.4保修期届满后，由甲方工程部组织主导乙方、物业管理单位（如有）、建设单位等相关单位人员验收，验收合格后由甲方工程部出具《保修验收合格报告》作为保修金（如有）支付凭证；若验收不通过，由乙方整改后另行验收，相关费用由乙方负责。本工程整改两次通过保修验收的，则保修期按乙方整改天数顺延，整改三次及以上验收合格的，保修期自整改验收合格之日起顺延一年。</w:t>
      </w:r>
    </w:p>
    <w:p w14:paraId="4EBB1B1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7" w:name="_Toc6473"/>
      <w:bookmarkStart w:id="128" w:name="_Toc3973"/>
      <w:bookmarkStart w:id="129" w:name="_Toc1279"/>
      <w:bookmarkStart w:id="130" w:name="_Toc454"/>
      <w:bookmarkStart w:id="131" w:name="_Toc5342"/>
      <w:bookmarkStart w:id="132" w:name="_Toc4352"/>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7"/>
      <w:bookmarkEnd w:id="128"/>
      <w:bookmarkEnd w:id="129"/>
      <w:bookmarkEnd w:id="130"/>
      <w:bookmarkEnd w:id="131"/>
      <w:bookmarkEnd w:id="132"/>
    </w:p>
    <w:p w14:paraId="4613F32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24A509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12.2甲方未办理“建筑工程社会保险——工伤保险”时，对乙方导致的任何安全事故及工伤人员的全部安全事故，由乙方全部承担责任和费用，相关费用已包含在☑合同单价/□合同总价中，甲方不承担任何责任和费用。</w:t>
      </w:r>
    </w:p>
    <w:p w14:paraId="4DAF9C5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12.3乙方须为其属下人员、财产、现场各种施工设施、设备、材料购买保险，相关费用已含在☑合同单价/□合同总价中无需甲方另行支付给乙方。因各种原因导致乙方延长保险期所增加的保险费由乙方自行承担，其费用已包含在☑合同单价/□合同总价内。乙方人员或因乙方原因造成任何事故(包括第三方人员在内)导致的损失、赔偿、补偿等责任和费用由乙方承担。</w:t>
      </w:r>
    </w:p>
    <w:p w14:paraId="7E0CDB0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12.4甲乙双方在签订各自的保险合同时，其第三方责任险应将对方互相视为第三方。</w:t>
      </w:r>
    </w:p>
    <w:p w14:paraId="39D3857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12.5乙方须对本工程涉及的乙方人员购买人身意外伤害险等保险，保额不低于死亡赔偿人民币150万元/人及伤害赔偿人民币15万元/人，相关费用已含于☑合同单价/□合同总价中甲方无需另行支付给乙方。乙方须自保险合同生效之日起5个日历天内将保险合同复印件（加盖乙方公章）提交甲方项目部留存。</w:t>
      </w:r>
    </w:p>
    <w:p w14:paraId="08B2F65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3" w:name="_Toc20713"/>
      <w:bookmarkStart w:id="134" w:name="_Toc12559"/>
      <w:bookmarkStart w:id="135" w:name="_Toc7926"/>
      <w:bookmarkStart w:id="136" w:name="_Toc23107"/>
      <w:bookmarkStart w:id="137" w:name="_Toc9446"/>
      <w:bookmarkStart w:id="138" w:name="_Toc14887"/>
      <w:bookmarkStart w:id="139" w:name="_Toc15560"/>
      <w:bookmarkStart w:id="140" w:name="_Toc14823"/>
      <w:bookmarkStart w:id="141" w:name="_Toc30819"/>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3"/>
      <w:bookmarkEnd w:id="134"/>
      <w:bookmarkEnd w:id="135"/>
      <w:bookmarkEnd w:id="136"/>
      <w:bookmarkEnd w:id="137"/>
      <w:bookmarkEnd w:id="138"/>
      <w:bookmarkEnd w:id="139"/>
      <w:bookmarkEnd w:id="140"/>
      <w:bookmarkEnd w:id="141"/>
    </w:p>
    <w:p w14:paraId="1FA7689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42" w:name="_Toc21565"/>
      <w:bookmarkStart w:id="143" w:name="_Toc31201"/>
      <w:r>
        <w:rPr>
          <w:rFonts w:hint="eastAsia" w:ascii="仿宋" w:hAnsi="仿宋" w:eastAsia="仿宋" w:cs="仿宋"/>
          <w:i w:val="0"/>
          <w:iCs w:val="0"/>
          <w:color w:val="auto"/>
          <w:sz w:val="28"/>
          <w:szCs w:val="28"/>
          <w:highlight w:val="none"/>
          <w:u w:val="none"/>
          <w:shd w:val="clear" w:color="auto" w:fill="auto"/>
          <w:lang w:val="en-US" w:eastAsia="zh-CN"/>
        </w:rPr>
        <w:t>13.1奖励</w:t>
      </w:r>
      <w:bookmarkEnd w:id="142"/>
      <w:bookmarkEnd w:id="143"/>
    </w:p>
    <w:p w14:paraId="57F30A77">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44" w:name="_Toc14079"/>
      <w:bookmarkStart w:id="145"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4"/>
      <w:bookmarkEnd w:id="145"/>
    </w:p>
    <w:p w14:paraId="2AB64FF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13.2.4.10收留、聘用未成年人；（甲方计收乙方违约金同时驱逐未成年人离开本项目）</w:t>
      </w:r>
    </w:p>
    <w:p w14:paraId="57D5304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46" w:name="_Toc6486"/>
      <w:bookmarkStart w:id="147" w:name="_Toc16635"/>
      <w:bookmarkStart w:id="148" w:name="_Toc28593"/>
    </w:p>
    <w:p w14:paraId="14085AB2">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DAEA2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9" w:name="_Toc7591"/>
      <w:bookmarkStart w:id="150" w:name="_Toc27799"/>
      <w:bookmarkStart w:id="151" w:name="_Toc30520"/>
      <w:bookmarkStart w:id="152" w:name="_Toc2468"/>
      <w:bookmarkStart w:id="153" w:name="_Toc21006"/>
      <w:bookmarkStart w:id="154" w:name="_Toc8716"/>
      <w:bookmarkStart w:id="155" w:name="_Toc24345"/>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46"/>
      <w:bookmarkEnd w:id="147"/>
      <w:bookmarkEnd w:id="148"/>
      <w:bookmarkEnd w:id="149"/>
      <w:bookmarkEnd w:id="150"/>
      <w:bookmarkEnd w:id="151"/>
      <w:bookmarkEnd w:id="152"/>
      <w:bookmarkEnd w:id="153"/>
      <w:bookmarkEnd w:id="154"/>
      <w:bookmarkEnd w:id="155"/>
    </w:p>
    <w:p w14:paraId="012F05C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支付违约金人民币伍仟元，延迟超过三个日历天的，甲方有权单方解除合同，已完工工程无偿归甲方，甲方有权委托其他单位继续完成本工程；乙方同时按合同暂定总价/合同总价的20%支付违约金并按甲方要求准时退场，每延迟一个日历天退场，乙方向甲方另行支付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支付金额等于不合格部位造价20%的违约金。本条所述违约金，甲方有权从任意应付乙方的款项中直接扣除，所扣款项不足以赔偿甲方损失的，由乙方在甲方通知起5个日历天内向甲方付清差额。</w:t>
      </w:r>
    </w:p>
    <w:p w14:paraId="40539D7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计收人民币伍仟元/次的违约金，如果甲方被政府部门或建设单位处分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14.4合同有效期内，因乙方原因造成甲方或本工程或本项目被政府部门停工、整改导致扣分的，乙方按贰万元/分向甲方承担违约金（甲方可从任意合同款中扣款）。</w:t>
      </w:r>
    </w:p>
    <w:p w14:paraId="3E5B0C9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14.5乙方及其人员、供应商不得以任何理由去政府部门上访、投诉、静坐。不得去建设单位静坐、围堵，否则视情节轻重由乙方向甲方承担违约金壹万至壹拾万元/次。</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合同总价的20%向甲方支付违约金，同时乙方按甲方要求限时退场并赔偿甲方损失。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bookmarkStart w:id="156" w:name="_Toc10430"/>
      <w:bookmarkStart w:id="157" w:name="_Toc21824"/>
      <w:bookmarkStart w:id="158" w:name="_Toc2734"/>
      <w:r>
        <w:rPr>
          <w:rFonts w:hint="eastAsia" w:ascii="仿宋" w:hAnsi="仿宋" w:eastAsia="仿宋" w:cs="仿宋"/>
          <w:i w:val="0"/>
          <w:iCs w:val="0"/>
          <w:color w:val="auto"/>
          <w:sz w:val="28"/>
          <w:szCs w:val="28"/>
          <w:highlight w:val="none"/>
          <w:u w:val="none"/>
          <w:shd w:val="clear" w:color="auto" w:fill="auto"/>
          <w:lang w:val="en-US" w:eastAsia="zh-CN"/>
        </w:rPr>
        <w:t>14.7无论乙方实际是否欠薪或欠货款，乙方人员或供应商每发起一次欠薪或欠货款纠纷，涉及甲方的，乙方均须向甲方支付违约金叁万元/次；若因此导致媒体曝光或政府部门介入，乙方须另向甲方支付违约金不少于伍万元/次。</w:t>
      </w:r>
    </w:p>
    <w:p w14:paraId="223508E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14.8凡乙方发生偷工减料行为，甲方视情节轻重计收乙方壹仟至壹拾万元/次的违约金。</w:t>
      </w:r>
      <w:bookmarkStart w:id="159" w:name="_Toc5952"/>
      <w:bookmarkStart w:id="160" w:name="_Toc14983"/>
      <w:bookmarkStart w:id="161" w:name="_Toc18651"/>
      <w:bookmarkStart w:id="162" w:name="_Toc16038"/>
      <w:bookmarkStart w:id="163" w:name="_Toc31952"/>
      <w:bookmarkStart w:id="164" w:name="_Toc9673"/>
    </w:p>
    <w:p w14:paraId="50693DC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14.9合同有效期内，乙方无条件执行甲方与建设单位签订的施工现场管理办法等相关规章制度，因乙方原因导致建设单位或其他部门对甲方进行处罚扣款的，乙方按该处罚金额的2倍向甲方承担违约金。</w:t>
      </w:r>
    </w:p>
    <w:p w14:paraId="47E670A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14.10因乙方原因导致甲方被起诉或被处分的，乙方除赔偿甲方损失外，甲方每被起诉或处分一次，乙方还须向甲方支付五万元的违约金。若因此导致甲方账户被冻结，乙方还须按冻结资金总额的日千分之一向甲方支付利息；因出现此情形属乙方自身管理不当，乙方自愿赔偿甲方遭受的所有损失，并根据账户被冻结次数每次额外向甲方支付伍万元违约金。</w:t>
      </w:r>
    </w:p>
    <w:p w14:paraId="21065ED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14.11乙方出现上述第14.1条~第14.10条所述任一行为或未履行合同任一义务的，均属乙方严重违约，乙方除按上述条款承担包括但不限于以上所述的违约责任外，甲方可随时单方解除本合同，所产生的损失由乙方赔偿甲方。</w:t>
      </w:r>
    </w:p>
    <w:p w14:paraId="4D49A8B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14.12因建设单位、设计变更或非甲方原因导致本合同不能履行的，甲、乙双方互不追究违约责任，按照乙方已完成且经甲方验收合格的工程量进行结算，同时双方各自承担自身损失。</w:t>
      </w:r>
    </w:p>
    <w:p w14:paraId="26B3D4F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72A553E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14.14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C96640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14.15乙方必须按本合同施工图纸及甲方签发的《施工交楼标准》准确预留、预埋或开凿槽施工，须在楼地面、屋面找平层、墙体、柱子天棚抹灰等施工前完成(甲方另行签证除外）；禁止乙方在泥水找平或抹灰工程完成后再开凿槽、开洞，禁止乙方进行任何影响工程质量、美观和破坏前面施工成果的工作或行为。乙方违反前述约定的，属严重违约，找平层、抹灰层、面层等工程恢复由甲方指定专业泥水分包单位完成，并由乙方承担因此产生的全部费用（包括但不限于工期延误、材料、劳务等费用），同时乙方须就此违约行为按本合同（暂定）总价的5%向甲方支付违约金，甲方有权在乙方任一工程款中直接扣除。</w:t>
      </w:r>
    </w:p>
    <w:p w14:paraId="37FADB3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14.16乙方同意：本项目如出现了可能因乙方原因导致的施工材料不合格或工程质量不合格，甲方有权按自行估算的最大损失金额在甲乙双方签订的任意合同应付款项中暂扣，待责任及损失金额确定后，甲方无息返还非乙方责任的暂扣金额。</w:t>
      </w:r>
    </w:p>
    <w:p w14:paraId="6D28191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14.17乙方须对甲供材料进行质量检查，发现有质量问题或异常的材料，必须立即书面（包括但不限于微信、短信等方式）报告甲方施工员和项目经理，否则如乙方施工部分的甲供材料出现质量不合格，甲方有权扣除乙方在该施工部分的费用，如造成甲方损失，乙方须承担责任和损失。</w:t>
      </w:r>
    </w:p>
    <w:p w14:paraId="1D74D11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14.18基于本项目及本工程的特殊性，乙方已充分了解其施工责任并自愿承担相应风险，合同约定的违约金标准系经双方友好协商确定，乙方同意不对违约金标准提出任何主张或抗辩。</w:t>
      </w:r>
    </w:p>
    <w:p w14:paraId="3772063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5" w:name="_Toc5620"/>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56"/>
      <w:bookmarkEnd w:id="157"/>
      <w:bookmarkEnd w:id="158"/>
      <w:bookmarkEnd w:id="159"/>
      <w:bookmarkEnd w:id="160"/>
      <w:bookmarkEnd w:id="161"/>
      <w:bookmarkEnd w:id="162"/>
      <w:bookmarkEnd w:id="163"/>
      <w:bookmarkEnd w:id="164"/>
      <w:bookmarkEnd w:id="165"/>
    </w:p>
    <w:p w14:paraId="19EB23C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610EEFF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计收违约金伍万元/次并且单方解除合同，对所发生的工程量/工作量不结算及不支付费用。</w:t>
      </w:r>
    </w:p>
    <w:p w14:paraId="3AE3178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1CA508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6" w:name="_Toc10466"/>
      <w:bookmarkStart w:id="167" w:name="_Toc15891"/>
      <w:bookmarkStart w:id="168" w:name="_Toc5116"/>
      <w:bookmarkStart w:id="169" w:name="_Toc31778"/>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66"/>
      <w:bookmarkEnd w:id="167"/>
      <w:bookmarkEnd w:id="168"/>
      <w:bookmarkEnd w:id="169"/>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13D547A2">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16.1甲乙双方确认，甲方项目章仅供甲方项目部与乙方联系工作和确认施工技术、资料之用。乙方知悉并同意，该项目章用于以下情形时无效：</w:t>
      </w:r>
    </w:p>
    <w:p w14:paraId="4572AEE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①签订工程合同或工程分包合同及机械设备、周材租赁及材料采购类等合同；</w:t>
      </w:r>
    </w:p>
    <w:p w14:paraId="5CFC50C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②任何类型的欠条或收据；</w:t>
      </w:r>
    </w:p>
    <w:p w14:paraId="64993E7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③任何形式的经济结算凭证；</w:t>
      </w:r>
    </w:p>
    <w:p w14:paraId="43BA77C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④为他人或他单位提供任何形式的担保；</w:t>
      </w:r>
    </w:p>
    <w:p w14:paraId="046446E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⑤确认任何形式的包含权利义务及责任承担的文件。</w:t>
      </w:r>
    </w:p>
    <w:p w14:paraId="39EF7DD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合同不可分割的组成部分，与合同正文具有同等效力，乙方须照章执行。</w:t>
      </w:r>
    </w:p>
    <w:p w14:paraId="2D6D48B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16.3本合同有效期内，甲方制度文件及合同附件表格格式如有更新，按甲方最新版要求执行，甲方拥有最终解释权。</w:t>
      </w:r>
    </w:p>
    <w:p w14:paraId="5B7E926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16.4本合同除《工完场清交接单》、《甲方项目章样式》、《签证单分包说明》、《施工图纸》外，其余合同附件在办理相关手续时，乙方须加盖公章且经法人代表签字。</w:t>
      </w:r>
    </w:p>
    <w:p w14:paraId="54FDD6E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70" w:name="_Toc10994"/>
      <w:bookmarkStart w:id="171" w:name="_Toc10212"/>
      <w:r>
        <w:rPr>
          <w:rFonts w:hint="eastAsia" w:ascii="仿宋" w:hAnsi="仿宋" w:eastAsia="仿宋" w:cs="仿宋"/>
          <w:i w:val="0"/>
          <w:iCs w:val="0"/>
          <w:color w:val="auto"/>
          <w:sz w:val="28"/>
          <w:szCs w:val="28"/>
          <w:highlight w:val="none"/>
          <w:u w:val="none"/>
          <w:shd w:val="clear" w:color="auto" w:fill="auto"/>
          <w:lang w:val="en-US" w:eastAsia="zh-CN"/>
        </w:rPr>
        <w:t>16.5本合同条款互为矛盾的，按最有利于甲方的条款执行。</w:t>
      </w:r>
      <w:bookmarkEnd w:id="170"/>
      <w:bookmarkEnd w:id="171"/>
    </w:p>
    <w:p w14:paraId="4569D01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16.6本合同未尽事宜，须经甲乙双方协商一致后签订补充协议进行明确。补充协议与本合同具有同等法律效力。</w:t>
      </w:r>
    </w:p>
    <w:p w14:paraId="6A50AAE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16.8乙方违反本合同约定给甲方造成损失的，须按本合同约定承担违约责任外，甲方有权直接从应付给乙方的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16.9本合同正文为清洁打印文本，如双方对本合同有任何修改及补充均应另行签订补充协议。合同正文中任何非打印的文字或者图形，除非经双方确认同意，否则不产生约束力。</w:t>
      </w:r>
    </w:p>
    <w:p w14:paraId="6F281A0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73D1CA2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16.11本合同壹式叁份，甲方执贰份，乙方执壹份，均具同等效力。</w:t>
      </w:r>
    </w:p>
    <w:p w14:paraId="37471CB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77F8ACD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 合同履行过程中，双方法人代表或授权人签字并加盖公章的本合同补充协议；</w:t>
      </w:r>
    </w:p>
    <w:p w14:paraId="638960F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 本合同第一部分，合同专用条款；</w:t>
      </w:r>
    </w:p>
    <w:p w14:paraId="0072246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 本合同第二部分，合同通用条款；</w:t>
      </w:r>
    </w:p>
    <w:p w14:paraId="1968E7E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 经甲方权限领导审批确认的方案及相关设计变更；</w:t>
      </w:r>
    </w:p>
    <w:p w14:paraId="0B71804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 本工程招标文件（含相关答疑、补充通知等）；</w:t>
      </w:r>
    </w:p>
    <w:p w14:paraId="4D5911D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⑥ 乙方发出的、经甲方确认的本工程投标文件及相关澄清文件；</w:t>
      </w:r>
    </w:p>
    <w:p w14:paraId="79C8C21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⑦ 本项目所在地现行的法律、法规、标准、规范。</w:t>
      </w:r>
    </w:p>
    <w:p w14:paraId="67A0081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16.13本合同自甲乙双方签字并加盖公章（或合同章）之日起生效，在竣工结算完毕、乙方向甲方交付竣工验收合格的工程，双方履行完合同义务、责任之日，本合同自动终止。</w:t>
      </w:r>
    </w:p>
    <w:p w14:paraId="0D06F55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bookmarkStart w:id="172" w:name="_Toc6664"/>
      <w:r>
        <w:rPr>
          <w:rFonts w:hint="eastAsia" w:ascii="仿宋" w:hAnsi="仿宋" w:eastAsia="仿宋" w:cs="仿宋"/>
          <w:b/>
          <w:bCs/>
          <w:color w:val="auto"/>
          <w:sz w:val="28"/>
          <w:szCs w:val="28"/>
          <w:highlight w:val="none"/>
          <w:lang w:val="en-US" w:eastAsia="zh-CN"/>
        </w:rPr>
        <w:t>【以下无正文】</w:t>
      </w:r>
      <w:bookmarkEnd w:id="172"/>
    </w:p>
    <w:p w14:paraId="7B20693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bookmarkStart w:id="173" w:name="_Toc16109"/>
      <w:r>
        <w:rPr>
          <w:rFonts w:hint="eastAsia" w:ascii="仿宋" w:hAnsi="仿宋" w:eastAsia="仿宋" w:cs="仿宋"/>
          <w:b/>
          <w:bCs/>
          <w:color w:val="auto"/>
          <w:sz w:val="28"/>
          <w:szCs w:val="28"/>
          <w:highlight w:val="none"/>
          <w:lang w:val="en-US" w:eastAsia="zh-CN"/>
        </w:rPr>
        <w:t>附件：</w:t>
      </w:r>
      <w:bookmarkEnd w:id="173"/>
      <w:bookmarkStart w:id="174" w:name="_Toc14601"/>
      <w:bookmarkStart w:id="175" w:name="_Toc18756"/>
      <w:bookmarkStart w:id="176" w:name="_Toc19939"/>
      <w:bookmarkStart w:id="177" w:name="_Toc20837"/>
      <w:bookmarkStart w:id="178" w:name="_Toc9464"/>
      <w:bookmarkStart w:id="179" w:name="_Toc20090"/>
    </w:p>
    <w:bookmarkEnd w:id="174"/>
    <w:bookmarkEnd w:id="175"/>
    <w:bookmarkEnd w:id="176"/>
    <w:bookmarkEnd w:id="177"/>
    <w:bookmarkEnd w:id="178"/>
    <w:bookmarkEnd w:id="179"/>
    <w:p w14:paraId="7B428A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80" w:name="_Toc1433"/>
      <w:bookmarkStart w:id="181" w:name="_Toc1666"/>
      <w:bookmarkStart w:id="182" w:name="_Toc1399"/>
      <w:bookmarkStart w:id="183" w:name="_Toc32677"/>
      <w:bookmarkStart w:id="184" w:name="_Toc5558"/>
      <w:bookmarkStart w:id="185" w:name="_Toc31165"/>
      <w:bookmarkStart w:id="186" w:name="_Toc4369"/>
      <w:bookmarkStart w:id="187" w:name="_Toc936"/>
      <w:bookmarkStart w:id="188" w:name="_Toc19035"/>
      <w:bookmarkStart w:id="189" w:name="_Toc4318"/>
      <w:bookmarkStart w:id="190" w:name="_Toc13137"/>
      <w:bookmarkStart w:id="191" w:name="_Toc10798"/>
      <w:bookmarkStart w:id="192" w:name="_Toc18080"/>
      <w:bookmarkStart w:id="193" w:name="_Toc26912"/>
      <w:bookmarkStart w:id="194" w:name="_Toc7880"/>
      <w:bookmarkStart w:id="195" w:name="_Toc26059"/>
      <w:bookmarkStart w:id="196" w:name="_Toc3404"/>
      <w:bookmarkStart w:id="197" w:name="_Toc26460"/>
      <w:bookmarkStart w:id="198" w:name="_Toc23233"/>
      <w:bookmarkStart w:id="199" w:name="_Toc12795"/>
      <w:bookmarkStart w:id="200" w:name="_Toc7014"/>
      <w:bookmarkStart w:id="201" w:name="_Toc22492"/>
      <w:bookmarkStart w:id="202" w:name="_Toc22736"/>
      <w:bookmarkStart w:id="203" w:name="_Toc6457"/>
      <w:bookmarkStart w:id="204" w:name="_Toc7245"/>
      <w:bookmarkStart w:id="205" w:name="_Toc14000"/>
      <w:bookmarkStart w:id="206" w:name="_Toc30985"/>
      <w:bookmarkStart w:id="207" w:name="_Toc28577"/>
      <w:bookmarkStart w:id="208" w:name="_Toc31130"/>
      <w:r>
        <w:rPr>
          <w:rFonts w:hint="eastAsia" w:ascii="仿宋" w:hAnsi="仿宋" w:eastAsia="仿宋" w:cs="仿宋"/>
          <w:color w:val="auto"/>
          <w:sz w:val="28"/>
          <w:szCs w:val="28"/>
          <w:highlight w:val="none"/>
          <w:lang w:val="en-US" w:eastAsia="zh-CN"/>
        </w:rPr>
        <w:t>附件一《甲方项目章》</w:t>
      </w:r>
      <w:bookmarkEnd w:id="180"/>
      <w:bookmarkEnd w:id="181"/>
      <w:bookmarkEnd w:id="182"/>
      <w:bookmarkEnd w:id="183"/>
      <w:bookmarkEnd w:id="184"/>
      <w:bookmarkEnd w:id="185"/>
      <w:bookmarkEnd w:id="186"/>
      <w:bookmarkEnd w:id="187"/>
      <w:r>
        <w:rPr>
          <w:rFonts w:hint="eastAsia" w:ascii="仿宋" w:hAnsi="仿宋" w:eastAsia="仿宋" w:cs="仿宋"/>
          <w:color w:val="auto"/>
          <w:sz w:val="28"/>
          <w:szCs w:val="28"/>
          <w:highlight w:val="none"/>
          <w:lang w:val="en-US" w:eastAsia="zh-CN"/>
        </w:rPr>
        <w:t>样式；</w:t>
      </w:r>
      <w:bookmarkEnd w:id="188"/>
    </w:p>
    <w:p w14:paraId="7CDC937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9" w:name="_Toc16048"/>
      <w:bookmarkStart w:id="210" w:name="_Toc3785"/>
      <w:bookmarkStart w:id="211" w:name="_Toc19911"/>
      <w:bookmarkStart w:id="212" w:name="_Toc820"/>
      <w:bookmarkStart w:id="213" w:name="_Toc25849"/>
      <w:bookmarkStart w:id="214" w:name="_Toc369"/>
      <w:bookmarkStart w:id="215" w:name="_Toc4390"/>
      <w:bookmarkStart w:id="216" w:name="_Toc9762"/>
      <w:bookmarkStart w:id="217" w:name="_Toc20849"/>
      <w:bookmarkStart w:id="218" w:name="_Toc8731"/>
      <w:bookmarkStart w:id="219" w:name="_Toc27112"/>
      <w:bookmarkStart w:id="220" w:name="_Toc23025"/>
      <w:bookmarkStart w:id="221" w:name="_Toc13056"/>
      <w:bookmarkStart w:id="222" w:name="_Toc22382"/>
      <w:bookmarkStart w:id="223" w:name="_Toc12247"/>
      <w:bookmarkStart w:id="224" w:name="_Toc21931"/>
      <w:bookmarkStart w:id="225" w:name="_Toc1593"/>
      <w:bookmarkStart w:id="226" w:name="_Toc8978"/>
      <w:bookmarkStart w:id="227" w:name="_Toc5473"/>
      <w:bookmarkStart w:id="228" w:name="_Toc26292"/>
      <w:bookmarkStart w:id="229" w:name="_Toc3354"/>
      <w:bookmarkStart w:id="230" w:name="_Toc1568"/>
      <w:bookmarkStart w:id="231" w:name="_Toc29364"/>
      <w:bookmarkStart w:id="232" w:name="_Toc13105"/>
      <w:bookmarkStart w:id="233" w:name="_Toc14081"/>
      <w:bookmarkStart w:id="234" w:name="_Toc20750"/>
      <w:bookmarkStart w:id="235" w:name="_Toc4984"/>
      <w:bookmarkStart w:id="236" w:name="_Toc16206"/>
      <w:r>
        <w:rPr>
          <w:rFonts w:hint="eastAsia" w:ascii="仿宋" w:hAnsi="仿宋" w:eastAsia="仿宋" w:cs="仿宋"/>
          <w:color w:val="auto"/>
          <w:sz w:val="28"/>
          <w:szCs w:val="28"/>
          <w:highlight w:val="none"/>
          <w:lang w:val="en-US" w:eastAsia="zh-CN"/>
        </w:rPr>
        <w:t>附件二</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bookmarkEnd w:id="236"/>
    </w:p>
    <w:p w14:paraId="453ADA5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37" w:name="_Toc12785"/>
      <w:bookmarkStart w:id="238" w:name="_Toc524"/>
      <w:bookmarkStart w:id="239" w:name="_Toc16724"/>
      <w:bookmarkStart w:id="240" w:name="_Toc27522"/>
      <w:bookmarkStart w:id="241" w:name="_Toc15918"/>
      <w:bookmarkStart w:id="242" w:name="_Toc17668"/>
      <w:bookmarkStart w:id="243" w:name="_Toc6450"/>
      <w:bookmarkStart w:id="244" w:name="_Toc10287"/>
      <w:bookmarkStart w:id="245" w:name="_Toc1326"/>
      <w:bookmarkStart w:id="246" w:name="_Toc23426"/>
      <w:bookmarkStart w:id="247" w:name="_Toc29940"/>
      <w:bookmarkStart w:id="248" w:name="_Toc22544"/>
      <w:bookmarkStart w:id="249" w:name="_Toc19231"/>
      <w:bookmarkStart w:id="250" w:name="_Toc20300"/>
      <w:bookmarkStart w:id="251" w:name="_Toc23140"/>
      <w:bookmarkStart w:id="252" w:name="_Toc32541"/>
      <w:bookmarkStart w:id="253" w:name="_Toc9202"/>
      <w:bookmarkStart w:id="254" w:name="_Toc18649"/>
      <w:bookmarkStart w:id="255" w:name="_Toc10619"/>
      <w:bookmarkStart w:id="256" w:name="_Toc13193"/>
      <w:bookmarkStart w:id="257" w:name="_Toc1914"/>
      <w:bookmarkStart w:id="258" w:name="_Toc13136"/>
      <w:bookmarkStart w:id="259" w:name="_Toc18715"/>
      <w:bookmarkStart w:id="260" w:name="_Toc6636"/>
      <w:bookmarkStart w:id="261" w:name="_Toc31858"/>
      <w:bookmarkStart w:id="262" w:name="_Toc25081"/>
      <w:bookmarkStart w:id="263" w:name="_Toc25160"/>
      <w:bookmarkStart w:id="264" w:name="_Toc13735"/>
      <w:bookmarkStart w:id="265" w:name="_Toc5133"/>
      <w:bookmarkStart w:id="266" w:name="_Toc3471"/>
      <w:bookmarkStart w:id="267" w:name="_Toc2009"/>
      <w:bookmarkStart w:id="268" w:name="_Toc21784"/>
      <w:bookmarkStart w:id="269" w:name="_Toc25016"/>
      <w:bookmarkStart w:id="270" w:name="_Toc5766"/>
      <w:bookmarkStart w:id="271" w:name="_Toc548"/>
      <w:bookmarkStart w:id="272" w:name="_Toc15176"/>
      <w:bookmarkStart w:id="273" w:name="_Toc31176"/>
      <w:bookmarkStart w:id="274" w:name="_Toc3531"/>
      <w:bookmarkStart w:id="275" w:name="_Toc13154"/>
      <w:bookmarkStart w:id="276" w:name="_Toc17489"/>
      <w:bookmarkStart w:id="277" w:name="_Toc14323"/>
      <w:bookmarkStart w:id="278" w:name="_Toc5294"/>
      <w:bookmarkStart w:id="279" w:name="_Toc26972"/>
      <w:bookmarkStart w:id="280" w:name="_Toc28253"/>
      <w:bookmarkStart w:id="281" w:name="_Toc25675"/>
      <w:bookmarkStart w:id="282" w:name="_Toc2937"/>
      <w:bookmarkStart w:id="283" w:name="_Toc13050"/>
      <w:bookmarkStart w:id="284" w:name="_Toc31641"/>
      <w:r>
        <w:rPr>
          <w:rFonts w:hint="eastAsia" w:ascii="仿宋" w:hAnsi="仿宋" w:eastAsia="仿宋" w:cs="仿宋"/>
          <w:color w:val="auto"/>
          <w:sz w:val="28"/>
          <w:szCs w:val="28"/>
          <w:highlight w:val="none"/>
          <w:lang w:val="en-US" w:eastAsia="zh-CN"/>
        </w:rPr>
        <w:t>附件三《承诺书（工人个人版）》格式；</w:t>
      </w:r>
      <w:bookmarkEnd w:id="237"/>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14:paraId="5A568EE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85" w:name="_Toc23253"/>
      <w:bookmarkStart w:id="286" w:name="_Toc10970"/>
      <w:bookmarkStart w:id="287" w:name="_Toc20383"/>
      <w:bookmarkStart w:id="288" w:name="_Toc5427"/>
      <w:bookmarkStart w:id="289" w:name="_Toc7760"/>
      <w:bookmarkStart w:id="290" w:name="_Toc9049"/>
      <w:bookmarkStart w:id="291" w:name="_Toc9244"/>
      <w:bookmarkStart w:id="292" w:name="_Toc24581"/>
      <w:r>
        <w:rPr>
          <w:rFonts w:hint="eastAsia" w:ascii="仿宋" w:hAnsi="仿宋" w:eastAsia="仿宋" w:cs="仿宋"/>
          <w:color w:val="auto"/>
          <w:sz w:val="28"/>
          <w:szCs w:val="28"/>
          <w:highlight w:val="none"/>
          <w:lang w:val="en-US" w:eastAsia="zh-CN"/>
        </w:rPr>
        <w:t>附件</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bookmarkEnd w:id="292"/>
    </w:p>
    <w:p w14:paraId="454264F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93" w:name="_Toc19643"/>
      <w:bookmarkStart w:id="294" w:name="_Toc17065"/>
      <w:bookmarkStart w:id="295" w:name="_Toc15145"/>
      <w:bookmarkStart w:id="296" w:name="_Toc31387"/>
      <w:bookmarkStart w:id="297" w:name="_Toc3169"/>
      <w:bookmarkStart w:id="298" w:name="_Toc31550"/>
      <w:bookmarkStart w:id="299" w:name="_Toc1285"/>
      <w:bookmarkStart w:id="300" w:name="_Toc10157"/>
      <w:bookmarkStart w:id="301" w:name="_Toc13957"/>
      <w:bookmarkStart w:id="302" w:name="_Toc26054"/>
      <w:bookmarkStart w:id="303" w:name="_Toc5956"/>
      <w:bookmarkStart w:id="304" w:name="_Toc21960"/>
      <w:bookmarkStart w:id="305" w:name="_Toc11307"/>
      <w:bookmarkStart w:id="306" w:name="_Toc840"/>
      <w:bookmarkStart w:id="307" w:name="_Toc14489"/>
      <w:bookmarkStart w:id="308" w:name="_Toc5997"/>
      <w:bookmarkStart w:id="309" w:name="_Toc13150"/>
      <w:bookmarkStart w:id="310" w:name="_Toc8338"/>
      <w:bookmarkStart w:id="311" w:name="_Toc16599"/>
      <w:bookmarkStart w:id="312" w:name="_Toc11060"/>
      <w:bookmarkStart w:id="313" w:name="_Toc21782"/>
      <w:bookmarkStart w:id="314" w:name="_Toc18653"/>
      <w:bookmarkStart w:id="315" w:name="_Toc1657"/>
      <w:bookmarkStart w:id="316" w:name="_Toc9953"/>
      <w:bookmarkStart w:id="317" w:name="_Toc32071"/>
      <w:bookmarkStart w:id="318" w:name="_Toc22968"/>
      <w:bookmarkStart w:id="319" w:name="_Toc11701"/>
      <w:bookmarkStart w:id="320" w:name="_Toc5250"/>
      <w:r>
        <w:rPr>
          <w:rFonts w:hint="eastAsia" w:ascii="仿宋" w:hAnsi="仿宋" w:eastAsia="仿宋" w:cs="仿宋"/>
          <w:color w:val="auto"/>
          <w:sz w:val="28"/>
          <w:szCs w:val="28"/>
          <w:highlight w:val="none"/>
          <w:lang w:val="en-US" w:eastAsia="zh-CN"/>
        </w:rPr>
        <w:t>附件五</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bookmarkEnd w:id="320"/>
    </w:p>
    <w:p w14:paraId="2C6999D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21" w:name="_Toc6564"/>
      <w:bookmarkStart w:id="322" w:name="_Toc21390"/>
      <w:bookmarkStart w:id="323" w:name="_Toc2802"/>
      <w:bookmarkStart w:id="324" w:name="_Toc2251"/>
      <w:r>
        <w:rPr>
          <w:rFonts w:hint="eastAsia" w:ascii="仿宋" w:hAnsi="仿宋" w:eastAsia="仿宋" w:cs="仿宋"/>
          <w:color w:val="auto"/>
          <w:sz w:val="28"/>
          <w:szCs w:val="28"/>
          <w:highlight w:val="none"/>
          <w:lang w:val="en-US" w:eastAsia="zh-CN"/>
        </w:rPr>
        <w:t>附件</w:t>
      </w:r>
      <w:bookmarkEnd w:id="321"/>
      <w:bookmarkEnd w:id="322"/>
      <w:bookmarkEnd w:id="323"/>
      <w:r>
        <w:rPr>
          <w:rFonts w:hint="eastAsia" w:ascii="仿宋" w:hAnsi="仿宋" w:eastAsia="仿宋" w:cs="仿宋"/>
          <w:color w:val="auto"/>
          <w:sz w:val="28"/>
          <w:szCs w:val="28"/>
          <w:highlight w:val="none"/>
          <w:lang w:val="en-US" w:eastAsia="zh-CN"/>
        </w:rPr>
        <w:t>六《出险声明函》格式；</w:t>
      </w:r>
      <w:bookmarkEnd w:id="324"/>
    </w:p>
    <w:p w14:paraId="06F62E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5" w:name="_Toc31744"/>
      <w:bookmarkStart w:id="326" w:name="_Toc19681"/>
      <w:bookmarkStart w:id="327" w:name="_Toc25409"/>
      <w:bookmarkStart w:id="328" w:name="_Toc27839"/>
      <w:bookmarkStart w:id="329" w:name="_Toc12934"/>
      <w:r>
        <w:rPr>
          <w:rFonts w:hint="eastAsia" w:ascii="仿宋" w:hAnsi="仿宋" w:eastAsia="仿宋" w:cs="仿宋"/>
          <w:color w:val="auto"/>
          <w:sz w:val="28"/>
          <w:szCs w:val="28"/>
          <w:highlight w:val="none"/>
          <w:lang w:val="en-US" w:eastAsia="zh-CN"/>
        </w:rPr>
        <w:t>附件七《分包单位开工令》格式；</w:t>
      </w:r>
      <w:bookmarkEnd w:id="325"/>
      <w:bookmarkEnd w:id="326"/>
      <w:bookmarkEnd w:id="327"/>
      <w:bookmarkEnd w:id="328"/>
      <w:bookmarkEnd w:id="329"/>
    </w:p>
    <w:p w14:paraId="2A2CC0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0" w:name="_Toc12926"/>
      <w:bookmarkStart w:id="331" w:name="_Toc21331"/>
      <w:bookmarkStart w:id="332" w:name="_Toc23358"/>
      <w:bookmarkStart w:id="333" w:name="_Toc6646"/>
      <w:bookmarkStart w:id="334" w:name="_Toc15935"/>
      <w:r>
        <w:rPr>
          <w:rFonts w:hint="eastAsia" w:ascii="仿宋" w:hAnsi="仿宋" w:eastAsia="仿宋" w:cs="仿宋"/>
          <w:color w:val="auto"/>
          <w:sz w:val="28"/>
          <w:szCs w:val="28"/>
          <w:highlight w:val="none"/>
          <w:lang w:val="en-US" w:eastAsia="zh-CN"/>
        </w:rPr>
        <w:t>附件八《分包签证确认单》格式；</w:t>
      </w:r>
      <w:bookmarkEnd w:id="330"/>
      <w:bookmarkEnd w:id="331"/>
      <w:bookmarkEnd w:id="332"/>
      <w:bookmarkEnd w:id="333"/>
      <w:bookmarkEnd w:id="334"/>
    </w:p>
    <w:p w14:paraId="6145972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5" w:name="_Toc10237"/>
      <w:bookmarkStart w:id="336" w:name="_Toc31733"/>
      <w:bookmarkStart w:id="337" w:name="_Toc2554"/>
      <w:bookmarkStart w:id="338" w:name="_Toc7400"/>
      <w:bookmarkStart w:id="339" w:name="_Toc26355"/>
      <w:r>
        <w:rPr>
          <w:rFonts w:hint="eastAsia" w:ascii="仿宋" w:hAnsi="仿宋" w:eastAsia="仿宋" w:cs="仿宋"/>
          <w:color w:val="auto"/>
          <w:sz w:val="28"/>
          <w:szCs w:val="28"/>
          <w:highlight w:val="none"/>
          <w:lang w:val="en-US" w:eastAsia="zh-CN"/>
        </w:rPr>
        <w:t>附件九《分项工程/认质认价申报审批表》格式；</w:t>
      </w:r>
      <w:bookmarkEnd w:id="335"/>
      <w:bookmarkEnd w:id="336"/>
      <w:bookmarkEnd w:id="337"/>
      <w:bookmarkEnd w:id="338"/>
      <w:bookmarkEnd w:id="339"/>
    </w:p>
    <w:p w14:paraId="5D9F9ED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0" w:name="_Toc17429"/>
      <w:bookmarkStart w:id="341" w:name="_Toc27117"/>
      <w:bookmarkStart w:id="342" w:name="_Toc814"/>
      <w:bookmarkStart w:id="343" w:name="_Toc9065"/>
      <w:bookmarkStart w:id="344" w:name="_Toc11520"/>
      <w:r>
        <w:rPr>
          <w:rFonts w:hint="eastAsia" w:ascii="仿宋" w:hAnsi="仿宋" w:eastAsia="仿宋" w:cs="仿宋"/>
          <w:color w:val="auto"/>
          <w:sz w:val="28"/>
          <w:szCs w:val="28"/>
          <w:highlight w:val="none"/>
          <w:lang w:val="en-US" w:eastAsia="zh-CN"/>
        </w:rPr>
        <w:t>附件十《签证单分包说明》格式；</w:t>
      </w:r>
      <w:bookmarkEnd w:id="340"/>
      <w:bookmarkEnd w:id="341"/>
      <w:bookmarkEnd w:id="342"/>
      <w:bookmarkEnd w:id="343"/>
      <w:bookmarkEnd w:id="344"/>
    </w:p>
    <w:p w14:paraId="1ED257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5" w:name="_Toc18401"/>
      <w:bookmarkStart w:id="346" w:name="_Toc1953"/>
      <w:bookmarkStart w:id="347" w:name="_Toc374"/>
      <w:bookmarkStart w:id="348" w:name="_Toc25485"/>
      <w:bookmarkStart w:id="349" w:name="_Toc29309"/>
      <w:r>
        <w:rPr>
          <w:rFonts w:hint="eastAsia" w:ascii="仿宋" w:hAnsi="仿宋" w:eastAsia="仿宋" w:cs="仿宋"/>
          <w:color w:val="auto"/>
          <w:sz w:val="28"/>
          <w:szCs w:val="28"/>
          <w:highlight w:val="none"/>
          <w:lang w:val="en-US" w:eastAsia="zh-CN"/>
        </w:rPr>
        <w:t>附件十一《工程量现场草签记录表》格式；</w:t>
      </w:r>
      <w:bookmarkEnd w:id="345"/>
      <w:bookmarkEnd w:id="346"/>
      <w:bookmarkEnd w:id="347"/>
      <w:bookmarkEnd w:id="348"/>
      <w:bookmarkEnd w:id="349"/>
    </w:p>
    <w:p w14:paraId="79A3618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50" w:name="_Toc23057"/>
      <w:bookmarkStart w:id="351" w:name="_Toc2625"/>
      <w:bookmarkStart w:id="352" w:name="_Toc27328"/>
      <w:bookmarkStart w:id="353" w:name="_Toc5105"/>
      <w:bookmarkStart w:id="354" w:name="_Toc4699"/>
      <w:r>
        <w:rPr>
          <w:rFonts w:hint="eastAsia" w:ascii="仿宋" w:hAnsi="仿宋" w:eastAsia="仿宋" w:cs="仿宋"/>
          <w:color w:val="auto"/>
          <w:sz w:val="28"/>
          <w:szCs w:val="28"/>
          <w:highlight w:val="none"/>
          <w:lang w:val="en-US" w:eastAsia="zh-CN"/>
        </w:rPr>
        <w:t>附件十二《工程结算支付证明单》格式；</w:t>
      </w:r>
      <w:bookmarkEnd w:id="350"/>
      <w:bookmarkEnd w:id="351"/>
      <w:bookmarkEnd w:id="352"/>
      <w:bookmarkEnd w:id="353"/>
      <w:bookmarkEnd w:id="354"/>
    </w:p>
    <w:p w14:paraId="49E000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55" w:name="_Toc21764"/>
      <w:bookmarkStart w:id="356" w:name="_Toc7962"/>
      <w:bookmarkStart w:id="357" w:name="_Toc9592"/>
      <w:bookmarkStart w:id="358" w:name="_Toc26235"/>
      <w:bookmarkStart w:id="359" w:name="_Toc17584"/>
      <w:bookmarkStart w:id="360" w:name="_Toc16843"/>
      <w:bookmarkStart w:id="361" w:name="_Toc30596"/>
      <w:bookmarkStart w:id="362" w:name="_Toc22541"/>
      <w:r>
        <w:rPr>
          <w:rFonts w:hint="eastAsia" w:ascii="仿宋" w:hAnsi="仿宋" w:eastAsia="仿宋" w:cs="仿宋"/>
          <w:color w:val="auto"/>
          <w:sz w:val="28"/>
          <w:szCs w:val="28"/>
          <w:highlight w:val="none"/>
          <w:lang w:val="en-US" w:eastAsia="zh-CN"/>
        </w:rPr>
        <w:t>附件十三《工完场清交接单》</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hint="eastAsia" w:ascii="仿宋" w:hAnsi="仿宋" w:eastAsia="仿宋" w:cs="仿宋"/>
          <w:color w:val="auto"/>
          <w:sz w:val="28"/>
          <w:szCs w:val="28"/>
          <w:highlight w:val="none"/>
          <w:lang w:val="en-US" w:eastAsia="zh-CN"/>
        </w:rPr>
        <w:t>格式；</w:t>
      </w:r>
      <w:bookmarkEnd w:id="355"/>
      <w:bookmarkEnd w:id="356"/>
      <w:bookmarkEnd w:id="357"/>
      <w:bookmarkEnd w:id="358"/>
      <w:bookmarkEnd w:id="359"/>
      <w:bookmarkEnd w:id="360"/>
      <w:bookmarkEnd w:id="361"/>
      <w:bookmarkEnd w:id="362"/>
    </w:p>
    <w:p w14:paraId="29227A2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63" w:name="_Toc12430"/>
      <w:bookmarkStart w:id="364" w:name="_Toc8006"/>
      <w:bookmarkStart w:id="365" w:name="_Toc4009"/>
      <w:bookmarkStart w:id="366" w:name="_Toc2818"/>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63"/>
      <w:bookmarkEnd w:id="364"/>
      <w:bookmarkEnd w:id="365"/>
      <w:bookmarkEnd w:id="366"/>
    </w:p>
    <w:p w14:paraId="0C1845E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67" w:name="_Toc30237"/>
      <w:bookmarkStart w:id="368" w:name="_Toc31800"/>
      <w:bookmarkStart w:id="369" w:name="_Toc4335"/>
      <w:bookmarkStart w:id="370" w:name="_Toc31008"/>
      <w:bookmarkStart w:id="371" w:name="_Toc25734"/>
      <w:bookmarkStart w:id="372" w:name="_Toc26903"/>
      <w:bookmarkStart w:id="373" w:name="_Toc341"/>
      <w:bookmarkStart w:id="374" w:name="_Toc18640"/>
      <w:bookmarkStart w:id="375" w:name="_Toc7399"/>
      <w:bookmarkStart w:id="376" w:name="_Toc19704"/>
      <w:bookmarkStart w:id="377" w:name="_Toc12607"/>
      <w:bookmarkStart w:id="378" w:name="_Toc10114"/>
      <w:bookmarkStart w:id="379" w:name="_Toc19119"/>
      <w:bookmarkStart w:id="380" w:name="_Toc25618"/>
      <w:bookmarkStart w:id="381" w:name="_Toc14821"/>
      <w:bookmarkStart w:id="382" w:name="_Toc26020"/>
      <w:bookmarkStart w:id="383" w:name="_Toc31415"/>
      <w:bookmarkStart w:id="384" w:name="_Toc21406"/>
      <w:bookmarkStart w:id="385" w:name="_Toc22636"/>
      <w:bookmarkStart w:id="386" w:name="_Toc21541"/>
      <w:bookmarkStart w:id="387" w:name="_Toc18993"/>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Start w:id="388" w:name="_Toc28191"/>
      <w:bookmarkStart w:id="389" w:name="_Toc10938"/>
      <w:bookmarkStart w:id="390" w:name="_Toc22031"/>
      <w:bookmarkStart w:id="391" w:name="_Toc24050"/>
      <w:bookmarkStart w:id="392" w:name="_Toc13697"/>
      <w:bookmarkStart w:id="393" w:name="_Toc30511"/>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87"/>
    </w:p>
    <w:p w14:paraId="22C3965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94" w:name="_Toc6122"/>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bookmarkEnd w:id="394"/>
    </w:p>
    <w:p w14:paraId="717C666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95" w:name="_Toc4766"/>
      <w:r>
        <w:rPr>
          <w:rFonts w:hint="eastAsia" w:ascii="仿宋" w:hAnsi="仿宋" w:eastAsia="仿宋" w:cs="仿宋"/>
          <w:b w:val="0"/>
          <w:bCs w:val="0"/>
          <w:i w:val="0"/>
          <w:iCs w:val="0"/>
          <w:color w:val="auto"/>
          <w:sz w:val="28"/>
          <w:szCs w:val="28"/>
          <w:highlight w:val="none"/>
          <w:shd w:val="clear" w:color="auto" w:fill="auto"/>
          <w:lang w:val="en-US" w:eastAsia="zh-CN"/>
        </w:rPr>
        <w:t>附件十七《污水厂交楼标准》</w:t>
      </w:r>
      <w:r>
        <w:rPr>
          <w:rFonts w:hint="eastAsia" w:ascii="仿宋" w:hAnsi="仿宋" w:eastAsia="仿宋" w:cs="仿宋"/>
          <w:b w:val="0"/>
          <w:bCs w:val="0"/>
          <w:color w:val="auto"/>
          <w:sz w:val="28"/>
          <w:szCs w:val="28"/>
          <w:highlight w:val="none"/>
          <w:lang w:val="en-US" w:eastAsia="zh-CN"/>
        </w:rPr>
        <w:t>。</w:t>
      </w:r>
      <w:bookmarkEnd w:id="388"/>
      <w:bookmarkEnd w:id="395"/>
    </w:p>
    <w:bookmarkEnd w:id="389"/>
    <w:bookmarkEnd w:id="390"/>
    <w:bookmarkEnd w:id="391"/>
    <w:bookmarkEnd w:id="392"/>
    <w:bookmarkEnd w:id="393"/>
    <w:p w14:paraId="3BF17C69">
      <w:pPr>
        <w:pStyle w:val="14"/>
        <w:rPr>
          <w:rFonts w:hint="eastAsia"/>
          <w:color w:val="auto"/>
          <w:highlight w:val="none"/>
          <w:lang w:val="en-US" w:eastAsia="zh-CN"/>
        </w:rPr>
      </w:pPr>
      <w:bookmarkStart w:id="396" w:name="_Toc9682"/>
    </w:p>
    <w:p w14:paraId="0CE1F6D2">
      <w:pPr>
        <w:pStyle w:val="14"/>
        <w:rPr>
          <w:rFonts w:hint="eastAsia"/>
          <w:color w:val="auto"/>
          <w:highlight w:val="none"/>
          <w:lang w:val="en-US" w:eastAsia="zh-CN"/>
        </w:rPr>
      </w:pPr>
    </w:p>
    <w:p w14:paraId="6446F3FD">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97" w:name="_Toc13372"/>
      <w:bookmarkStart w:id="398" w:name="_Toc8516"/>
      <w:bookmarkStart w:id="399" w:name="_Toc18251"/>
    </w:p>
    <w:p w14:paraId="38FEE8E1">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D038E7F">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F723429">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22A0DDD">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83D1D0B">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2959625">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125B2E7">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B5F62BB">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DBBF636">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B0382E">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F370A1D">
      <w:pPr>
        <w:pStyle w:val="14"/>
        <w:wordWrap/>
        <w:rPr>
          <w:rFonts w:hint="eastAsia"/>
          <w:lang w:val="en-US" w:eastAsia="zh-CN"/>
        </w:rPr>
      </w:pPr>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0" w:name="_Toc9686"/>
      <w:r>
        <w:rPr>
          <w:rFonts w:hint="eastAsia" w:ascii="仿宋" w:hAnsi="仿宋" w:eastAsia="仿宋" w:cs="仿宋"/>
          <w:b/>
          <w:bCs w:val="0"/>
          <w:color w:val="auto"/>
          <w:sz w:val="40"/>
          <w:szCs w:val="40"/>
          <w:highlight w:val="none"/>
          <w:shd w:val="clear" w:color="auto" w:fill="auto"/>
          <w:lang w:val="en-US" w:eastAsia="zh-CN"/>
        </w:rPr>
        <w:t>附件一</w:t>
      </w:r>
      <w:bookmarkEnd w:id="400"/>
    </w:p>
    <w:p w14:paraId="1BE59C4C">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r>
        <w:rPr>
          <w:rFonts w:hint="eastAsia" w:eastAsia="宋体"/>
          <w:lang w:eastAsia="zh-CN"/>
        </w:rPr>
        <w:drawing>
          <wp:inline distT="0" distB="0" distL="114300" distR="114300">
            <wp:extent cx="3002280" cy="2343150"/>
            <wp:effectExtent l="0" t="0" r="7620" b="0"/>
            <wp:docPr id="1" name="图片 1" descr="5edaeb7d-25f2-4fe0-a0c7-f9062f4b4f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edaeb7d-25f2-4fe0-a0c7-f9062f4b4f49"/>
                    <pic:cNvPicPr>
                      <a:picLocks noChangeAspect="1"/>
                    </pic:cNvPicPr>
                  </pic:nvPicPr>
                  <pic:blipFill>
                    <a:blip r:embed="rId9"/>
                    <a:stretch>
                      <a:fillRect/>
                    </a:stretch>
                  </pic:blipFill>
                  <pic:spPr>
                    <a:xfrm>
                      <a:off x="0" y="0"/>
                      <a:ext cx="3002280" cy="2343150"/>
                    </a:xfrm>
                    <a:prstGeom prst="rect">
                      <a:avLst/>
                    </a:prstGeom>
                  </pic:spPr>
                </pic:pic>
              </a:graphicData>
            </a:graphic>
          </wp:inline>
        </w:drawing>
      </w: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left="0" w:leftChars="0" w:firstLine="220" w:firstLineChars="61"/>
        <w:jc w:val="center"/>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drawing>
          <wp:inline distT="0" distB="0" distL="114300" distR="114300">
            <wp:extent cx="3324860" cy="2633345"/>
            <wp:effectExtent l="0" t="0" r="8890" b="14605"/>
            <wp:docPr id="4" name="图片 4" descr="67729af7-7e8a-4bf3-ad84-3a7ba9468b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7729af7-7e8a-4bf3-ad84-3a7ba9468b09"/>
                    <pic:cNvPicPr>
                      <a:picLocks noChangeAspect="1"/>
                    </pic:cNvPicPr>
                  </pic:nvPicPr>
                  <pic:blipFill>
                    <a:blip r:embed="rId10"/>
                    <a:stretch>
                      <a:fillRect/>
                    </a:stretch>
                  </pic:blipFill>
                  <pic:spPr>
                    <a:xfrm>
                      <a:off x="0" y="0"/>
                      <a:ext cx="3324860" cy="2633345"/>
                    </a:xfrm>
                    <a:prstGeom prst="rect">
                      <a:avLst/>
                    </a:prstGeom>
                  </pic:spPr>
                </pic:pic>
              </a:graphicData>
            </a:graphic>
          </wp:inline>
        </w:drawing>
      </w: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801DC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401" w:name="_Toc98"/>
      <w:bookmarkStart w:id="402" w:name="_Toc23674"/>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7B6FA271">
      <w:pPr>
        <w:pStyle w:val="14"/>
        <w:rPr>
          <w:rFonts w:hint="eastAsia" w:ascii="仿宋" w:hAnsi="仿宋" w:eastAsia="仿宋" w:cs="仿宋"/>
          <w:b/>
          <w:bCs/>
          <w:color w:val="auto"/>
          <w:sz w:val="36"/>
          <w:szCs w:val="36"/>
          <w:highlight w:val="none"/>
          <w:lang w:val="en-US" w:eastAsia="zh-CN"/>
        </w:rPr>
      </w:pPr>
    </w:p>
    <w:p w14:paraId="74AF497A">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401"/>
    <w:bookmarkEnd w:id="402"/>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403"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403"/>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44623F">
      <w:pPr>
        <w:pStyle w:val="14"/>
        <w:rPr>
          <w:rFonts w:hint="eastAsia"/>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404" w:name="_Toc8672"/>
      <w:r>
        <w:rPr>
          <w:rFonts w:hint="eastAsia" w:ascii="仿宋" w:hAnsi="仿宋" w:eastAsia="仿宋" w:cs="仿宋"/>
          <w:b/>
          <w:bCs/>
          <w:color w:val="auto"/>
          <w:sz w:val="36"/>
          <w:szCs w:val="36"/>
          <w:highlight w:val="none"/>
          <w:lang w:val="en-US" w:eastAsia="zh-CN"/>
        </w:rPr>
        <w:t>附件</w:t>
      </w:r>
      <w:bookmarkEnd w:id="404"/>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405" w:name="_Toc6755"/>
      <w:bookmarkStart w:id="406" w:name="_Toc29058"/>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405"/>
      <w:bookmarkEnd w:id="406"/>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96"/>
      <w:bookmarkEnd w:id="397"/>
      <w:bookmarkEnd w:id="398"/>
      <w:bookmarkEnd w:id="399"/>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407" w:name="_Toc3881"/>
      <w:bookmarkStart w:id="408" w:name="_Toc10617"/>
      <w:bookmarkStart w:id="409" w:name="_Toc44"/>
      <w:bookmarkStart w:id="410" w:name="_Toc24167"/>
      <w:bookmarkStart w:id="411" w:name="_Toc9263"/>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407"/>
      <w:bookmarkEnd w:id="408"/>
      <w:bookmarkEnd w:id="409"/>
      <w:bookmarkEnd w:id="410"/>
      <w:bookmarkEnd w:id="411"/>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6"/>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12" w:name="_Toc29967"/>
      <w:bookmarkStart w:id="413" w:name="_Toc25793"/>
      <w:bookmarkStart w:id="414" w:name="_Toc7395"/>
      <w:bookmarkStart w:id="415" w:name="_Toc6573"/>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412"/>
      <w:bookmarkEnd w:id="413"/>
      <w:bookmarkEnd w:id="414"/>
      <w:bookmarkEnd w:id="415"/>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416" w:name="_Toc32078"/>
            <w:bookmarkStart w:id="417" w:name="_Toc30363"/>
            <w:bookmarkStart w:id="418" w:name="_Toc4496"/>
            <w:bookmarkStart w:id="419" w:name="_Toc11301"/>
            <w:bookmarkStart w:id="420" w:name="_Toc24733"/>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416"/>
            <w:bookmarkEnd w:id="417"/>
            <w:bookmarkEnd w:id="418"/>
            <w:bookmarkEnd w:id="419"/>
            <w:bookmarkEnd w:id="420"/>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794143B6">
      <w:pPr>
        <w:keepNext w:val="0"/>
        <w:keepLines w:val="0"/>
        <w:pageBreakBefore w:val="0"/>
        <w:shd w:val="clear" w:color="auto" w:fill="auto"/>
        <w:wordWrap w:val="0"/>
        <w:overflowPunct/>
        <w:topLinePunct w:val="0"/>
        <w:bidi w:val="0"/>
        <w:snapToGrid w:val="0"/>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21" w:name="_Toc25170"/>
      <w:bookmarkStart w:id="422" w:name="_Toc31438"/>
      <w:bookmarkStart w:id="423" w:name="_Toc12351"/>
      <w:bookmarkStart w:id="424" w:name="_Toc17624"/>
      <w:bookmarkStart w:id="425" w:name="_Toc4826"/>
      <w:r>
        <w:rPr>
          <w:rFonts w:hint="eastAsia" w:ascii="仿宋" w:hAnsi="仿宋" w:eastAsia="仿宋" w:cs="仿宋"/>
          <w:b/>
          <w:bCs w:val="0"/>
          <w:color w:val="auto"/>
          <w:sz w:val="40"/>
          <w:szCs w:val="40"/>
          <w:highlight w:val="none"/>
          <w:shd w:val="clear" w:color="auto" w:fill="auto"/>
          <w:lang w:val="en-US" w:eastAsia="zh-CN"/>
        </w:rPr>
        <w:t>附件十</w:t>
      </w:r>
      <w:bookmarkEnd w:id="421"/>
      <w:bookmarkEnd w:id="422"/>
      <w:bookmarkEnd w:id="423"/>
      <w:bookmarkEnd w:id="424"/>
      <w:bookmarkEnd w:id="425"/>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26" w:name="_Toc24467"/>
      <w:bookmarkStart w:id="427" w:name="_Toc30613"/>
      <w:bookmarkStart w:id="428" w:name="_Toc25372"/>
      <w:bookmarkStart w:id="429" w:name="_Toc8770"/>
      <w:bookmarkStart w:id="430" w:name="_Toc20298"/>
      <w:r>
        <w:rPr>
          <w:rFonts w:hint="eastAsia" w:ascii="仿宋" w:hAnsi="仿宋" w:eastAsia="仿宋" w:cs="仿宋"/>
          <w:b/>
          <w:bCs w:val="0"/>
          <w:color w:val="auto"/>
          <w:sz w:val="40"/>
          <w:szCs w:val="40"/>
          <w:highlight w:val="none"/>
          <w:shd w:val="clear" w:color="auto" w:fill="auto"/>
          <w:lang w:val="en-US" w:eastAsia="zh-CN"/>
        </w:rPr>
        <w:t>附件十</w:t>
      </w:r>
      <w:bookmarkEnd w:id="426"/>
      <w:bookmarkEnd w:id="427"/>
      <w:bookmarkEnd w:id="428"/>
      <w:bookmarkEnd w:id="429"/>
      <w:r>
        <w:rPr>
          <w:rFonts w:hint="eastAsia" w:ascii="仿宋" w:hAnsi="仿宋" w:eastAsia="仿宋" w:cs="仿宋"/>
          <w:b/>
          <w:bCs w:val="0"/>
          <w:color w:val="auto"/>
          <w:sz w:val="40"/>
          <w:szCs w:val="40"/>
          <w:highlight w:val="none"/>
          <w:shd w:val="clear" w:color="auto" w:fill="auto"/>
          <w:lang w:val="en-US" w:eastAsia="zh-CN"/>
        </w:rPr>
        <w:t>一</w:t>
      </w:r>
      <w:bookmarkEnd w:id="430"/>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31" w:name="_Toc9549"/>
      <w:bookmarkStart w:id="432" w:name="_Toc28763"/>
      <w:bookmarkStart w:id="433" w:name="_Toc25617"/>
      <w:bookmarkStart w:id="434" w:name="_Toc10964"/>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35" w:name="_Toc15291"/>
      <w:r>
        <w:rPr>
          <w:rFonts w:hint="eastAsia" w:ascii="仿宋" w:hAnsi="仿宋" w:eastAsia="仿宋" w:cs="仿宋"/>
          <w:b/>
          <w:bCs w:val="0"/>
          <w:color w:val="auto"/>
          <w:sz w:val="40"/>
          <w:szCs w:val="40"/>
          <w:highlight w:val="none"/>
          <w:shd w:val="clear" w:color="auto" w:fill="auto"/>
          <w:lang w:val="en-US" w:eastAsia="zh-CN"/>
        </w:rPr>
        <w:t>附件十</w:t>
      </w:r>
      <w:bookmarkEnd w:id="431"/>
      <w:bookmarkEnd w:id="432"/>
      <w:bookmarkEnd w:id="433"/>
      <w:bookmarkEnd w:id="434"/>
      <w:r>
        <w:rPr>
          <w:rFonts w:hint="eastAsia" w:ascii="仿宋" w:hAnsi="仿宋" w:eastAsia="仿宋" w:cs="仿宋"/>
          <w:b/>
          <w:bCs w:val="0"/>
          <w:color w:val="auto"/>
          <w:sz w:val="40"/>
          <w:szCs w:val="40"/>
          <w:highlight w:val="none"/>
          <w:shd w:val="clear" w:color="auto" w:fill="auto"/>
          <w:lang w:val="en-US" w:eastAsia="zh-CN"/>
        </w:rPr>
        <w:t>二</w:t>
      </w:r>
      <w:bookmarkEnd w:id="435"/>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36" w:name="_Toc18518"/>
      <w:bookmarkStart w:id="437" w:name="_Toc5925"/>
      <w:bookmarkStart w:id="438" w:name="_Toc26856"/>
      <w:bookmarkStart w:id="439" w:name="_Toc20382"/>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40" w:name="_Toc12674"/>
      <w:bookmarkStart w:id="441" w:name="_Toc31854"/>
      <w:bookmarkStart w:id="442" w:name="_Toc4374"/>
      <w:bookmarkStart w:id="443" w:name="_Toc1310"/>
      <w:bookmarkStart w:id="444" w:name="_Toc24852"/>
      <w:r>
        <w:rPr>
          <w:rFonts w:hint="eastAsia" w:ascii="仿宋" w:hAnsi="仿宋" w:eastAsia="仿宋" w:cs="仿宋"/>
          <w:b/>
          <w:bCs w:val="0"/>
          <w:color w:val="auto"/>
          <w:sz w:val="40"/>
          <w:szCs w:val="40"/>
          <w:highlight w:val="none"/>
          <w:shd w:val="clear" w:color="auto" w:fill="auto"/>
          <w:lang w:val="en-US" w:eastAsia="zh-CN"/>
        </w:rPr>
        <w:t>附件</w:t>
      </w:r>
      <w:bookmarkEnd w:id="436"/>
      <w:r>
        <w:rPr>
          <w:rFonts w:hint="eastAsia" w:ascii="仿宋" w:hAnsi="仿宋" w:eastAsia="仿宋" w:cs="仿宋"/>
          <w:b/>
          <w:bCs w:val="0"/>
          <w:color w:val="auto"/>
          <w:sz w:val="40"/>
          <w:szCs w:val="40"/>
          <w:highlight w:val="none"/>
          <w:shd w:val="clear" w:color="auto" w:fill="auto"/>
          <w:lang w:val="en-US" w:eastAsia="zh-CN"/>
        </w:rPr>
        <w:t>十</w:t>
      </w:r>
      <w:bookmarkEnd w:id="437"/>
      <w:bookmarkEnd w:id="438"/>
      <w:bookmarkEnd w:id="439"/>
      <w:bookmarkEnd w:id="440"/>
      <w:bookmarkEnd w:id="441"/>
      <w:bookmarkEnd w:id="442"/>
      <w:bookmarkEnd w:id="443"/>
      <w:r>
        <w:rPr>
          <w:rFonts w:hint="eastAsia" w:ascii="仿宋" w:hAnsi="仿宋" w:eastAsia="仿宋" w:cs="仿宋"/>
          <w:b/>
          <w:bCs w:val="0"/>
          <w:color w:val="auto"/>
          <w:sz w:val="40"/>
          <w:szCs w:val="40"/>
          <w:highlight w:val="none"/>
          <w:shd w:val="clear" w:color="auto" w:fill="auto"/>
          <w:lang w:val="en-US" w:eastAsia="zh-CN"/>
        </w:rPr>
        <w:t>三</w:t>
      </w:r>
      <w:bookmarkEnd w:id="444"/>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45" w:name="_Toc5270"/>
      <w:bookmarkStart w:id="446" w:name="_Toc16390"/>
    </w:p>
    <w:bookmarkEnd w:id="445"/>
    <w:bookmarkEnd w:id="446"/>
    <w:p w14:paraId="0B88CB2F">
      <w:pPr>
        <w:pStyle w:val="14"/>
        <w:rPr>
          <w:rFonts w:hint="default" w:ascii="仿宋" w:hAnsi="仿宋" w:eastAsia="仿宋" w:cs="仿宋"/>
          <w:b/>
          <w:bCs/>
          <w:color w:val="auto"/>
          <w:sz w:val="36"/>
          <w:szCs w:val="36"/>
          <w:highlight w:val="none"/>
          <w:lang w:val="en-US" w:eastAsia="zh-CN"/>
        </w:rPr>
      </w:pPr>
    </w:p>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0CAEF">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FA38">
    <w:pPr>
      <w:pStyle w:val="8"/>
    </w:pPr>
  </w:p>
  <w:p w14:paraId="6689EE6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5C1AE">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27AD74A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ABC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566D5"/>
    <w:rsid w:val="00AE31A0"/>
    <w:rsid w:val="00B35E9C"/>
    <w:rsid w:val="00B970C4"/>
    <w:rsid w:val="00BC3A1F"/>
    <w:rsid w:val="00BF7D50"/>
    <w:rsid w:val="00C01140"/>
    <w:rsid w:val="00C14B6F"/>
    <w:rsid w:val="00C43E19"/>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813F60"/>
    <w:rsid w:val="01A44BA8"/>
    <w:rsid w:val="01B5752C"/>
    <w:rsid w:val="01B6046E"/>
    <w:rsid w:val="01BF37C7"/>
    <w:rsid w:val="01C04E49"/>
    <w:rsid w:val="01D26D8C"/>
    <w:rsid w:val="01E46229"/>
    <w:rsid w:val="02170349"/>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D2BF2"/>
    <w:rsid w:val="02FE1B0B"/>
    <w:rsid w:val="032A2EC2"/>
    <w:rsid w:val="0332621A"/>
    <w:rsid w:val="033541AE"/>
    <w:rsid w:val="033E696D"/>
    <w:rsid w:val="03630182"/>
    <w:rsid w:val="036868D0"/>
    <w:rsid w:val="036D65A5"/>
    <w:rsid w:val="03800D34"/>
    <w:rsid w:val="03EE2CEC"/>
    <w:rsid w:val="03F07987"/>
    <w:rsid w:val="040B4A77"/>
    <w:rsid w:val="041E04DA"/>
    <w:rsid w:val="04277401"/>
    <w:rsid w:val="04332207"/>
    <w:rsid w:val="04340622"/>
    <w:rsid w:val="04910D1F"/>
    <w:rsid w:val="049F343C"/>
    <w:rsid w:val="04AB1DE0"/>
    <w:rsid w:val="04B35139"/>
    <w:rsid w:val="04BB57D2"/>
    <w:rsid w:val="04C93D27"/>
    <w:rsid w:val="04CE3287"/>
    <w:rsid w:val="04D53318"/>
    <w:rsid w:val="04DA0918"/>
    <w:rsid w:val="04DF3C4E"/>
    <w:rsid w:val="04E6106A"/>
    <w:rsid w:val="04E77D7D"/>
    <w:rsid w:val="04EB042F"/>
    <w:rsid w:val="04F94C28"/>
    <w:rsid w:val="04FB7762"/>
    <w:rsid w:val="04FF3EDA"/>
    <w:rsid w:val="050128A7"/>
    <w:rsid w:val="051C4A8C"/>
    <w:rsid w:val="052027CE"/>
    <w:rsid w:val="05216546"/>
    <w:rsid w:val="052A61F4"/>
    <w:rsid w:val="053022E6"/>
    <w:rsid w:val="053F5954"/>
    <w:rsid w:val="054F4E62"/>
    <w:rsid w:val="05657FDC"/>
    <w:rsid w:val="056B1570"/>
    <w:rsid w:val="059B1E55"/>
    <w:rsid w:val="05A101F3"/>
    <w:rsid w:val="05AB5E10"/>
    <w:rsid w:val="05CD433B"/>
    <w:rsid w:val="05D56967"/>
    <w:rsid w:val="05E732EC"/>
    <w:rsid w:val="05FA2136"/>
    <w:rsid w:val="062A5FEE"/>
    <w:rsid w:val="064A0EA5"/>
    <w:rsid w:val="06530982"/>
    <w:rsid w:val="06706AD8"/>
    <w:rsid w:val="06976105"/>
    <w:rsid w:val="06A66D03"/>
    <w:rsid w:val="06D31393"/>
    <w:rsid w:val="06DC2F7F"/>
    <w:rsid w:val="06ED4932"/>
    <w:rsid w:val="06F832D7"/>
    <w:rsid w:val="071716FC"/>
    <w:rsid w:val="07181283"/>
    <w:rsid w:val="071B1643"/>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A6C4A"/>
    <w:rsid w:val="084731D1"/>
    <w:rsid w:val="085547A4"/>
    <w:rsid w:val="085C7B8E"/>
    <w:rsid w:val="089112ED"/>
    <w:rsid w:val="08A6123D"/>
    <w:rsid w:val="08AE465C"/>
    <w:rsid w:val="08B374B6"/>
    <w:rsid w:val="08BC34BB"/>
    <w:rsid w:val="08D04EA3"/>
    <w:rsid w:val="08D1580F"/>
    <w:rsid w:val="08F24A3C"/>
    <w:rsid w:val="08FA1588"/>
    <w:rsid w:val="08FB281E"/>
    <w:rsid w:val="090207D6"/>
    <w:rsid w:val="091A7535"/>
    <w:rsid w:val="09216580"/>
    <w:rsid w:val="09616F12"/>
    <w:rsid w:val="09757AB5"/>
    <w:rsid w:val="09760B9C"/>
    <w:rsid w:val="099A1CCF"/>
    <w:rsid w:val="09A56C91"/>
    <w:rsid w:val="09A82D92"/>
    <w:rsid w:val="09C46844"/>
    <w:rsid w:val="09C94AB7"/>
    <w:rsid w:val="09D71542"/>
    <w:rsid w:val="09E22A5D"/>
    <w:rsid w:val="09E87633"/>
    <w:rsid w:val="09FB1114"/>
    <w:rsid w:val="09FB55B8"/>
    <w:rsid w:val="09FB7366"/>
    <w:rsid w:val="09FF6F98"/>
    <w:rsid w:val="0A2118B5"/>
    <w:rsid w:val="0A375EC4"/>
    <w:rsid w:val="0A38348D"/>
    <w:rsid w:val="0A454A85"/>
    <w:rsid w:val="0A5922DF"/>
    <w:rsid w:val="0A60366D"/>
    <w:rsid w:val="0A7964DD"/>
    <w:rsid w:val="0A9A5DF0"/>
    <w:rsid w:val="0ACE6829"/>
    <w:rsid w:val="0AD62B48"/>
    <w:rsid w:val="0AD66408"/>
    <w:rsid w:val="0AE30F3A"/>
    <w:rsid w:val="0AFA3582"/>
    <w:rsid w:val="0B3C1D27"/>
    <w:rsid w:val="0B3D2BA6"/>
    <w:rsid w:val="0B70650A"/>
    <w:rsid w:val="0B7A69B0"/>
    <w:rsid w:val="0BB46A91"/>
    <w:rsid w:val="0BB93035"/>
    <w:rsid w:val="0BD92D6E"/>
    <w:rsid w:val="0BD95485"/>
    <w:rsid w:val="0BDB7D38"/>
    <w:rsid w:val="0BE62E5F"/>
    <w:rsid w:val="0C125258"/>
    <w:rsid w:val="0C167DEB"/>
    <w:rsid w:val="0C177688"/>
    <w:rsid w:val="0C1D2B00"/>
    <w:rsid w:val="0C4D2770"/>
    <w:rsid w:val="0C727688"/>
    <w:rsid w:val="0C8526FD"/>
    <w:rsid w:val="0C8E44C1"/>
    <w:rsid w:val="0C9B273A"/>
    <w:rsid w:val="0CBC5C8A"/>
    <w:rsid w:val="0CC04DC6"/>
    <w:rsid w:val="0CC9374C"/>
    <w:rsid w:val="0CCA5228"/>
    <w:rsid w:val="0CD137D8"/>
    <w:rsid w:val="0CE1709F"/>
    <w:rsid w:val="0D006A41"/>
    <w:rsid w:val="0D0522AA"/>
    <w:rsid w:val="0D077DD0"/>
    <w:rsid w:val="0D186481"/>
    <w:rsid w:val="0D4536A9"/>
    <w:rsid w:val="0D6042F4"/>
    <w:rsid w:val="0D723345"/>
    <w:rsid w:val="0D8B6C53"/>
    <w:rsid w:val="0D9553DC"/>
    <w:rsid w:val="0D964F5E"/>
    <w:rsid w:val="0D9C10BE"/>
    <w:rsid w:val="0DA2117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5E0C34"/>
    <w:rsid w:val="0E753A46"/>
    <w:rsid w:val="0EA63619"/>
    <w:rsid w:val="0EC341CA"/>
    <w:rsid w:val="0ED85346"/>
    <w:rsid w:val="0EDD34DE"/>
    <w:rsid w:val="0EFD148A"/>
    <w:rsid w:val="0F0A3692"/>
    <w:rsid w:val="0F0E18EA"/>
    <w:rsid w:val="0F3050A6"/>
    <w:rsid w:val="0F465E76"/>
    <w:rsid w:val="0F56503F"/>
    <w:rsid w:val="0F706264"/>
    <w:rsid w:val="0F9A1418"/>
    <w:rsid w:val="0FA17752"/>
    <w:rsid w:val="0FB22358"/>
    <w:rsid w:val="0FDC5544"/>
    <w:rsid w:val="10151C1F"/>
    <w:rsid w:val="10352EA6"/>
    <w:rsid w:val="105C0433"/>
    <w:rsid w:val="108674CF"/>
    <w:rsid w:val="10922D88"/>
    <w:rsid w:val="109E0A4B"/>
    <w:rsid w:val="10A145F0"/>
    <w:rsid w:val="10A14840"/>
    <w:rsid w:val="10A23752"/>
    <w:rsid w:val="10D435DF"/>
    <w:rsid w:val="10D80992"/>
    <w:rsid w:val="10DC4AB2"/>
    <w:rsid w:val="11126856"/>
    <w:rsid w:val="11243FFF"/>
    <w:rsid w:val="113718BF"/>
    <w:rsid w:val="11407F98"/>
    <w:rsid w:val="114F590B"/>
    <w:rsid w:val="11557E4D"/>
    <w:rsid w:val="11565855"/>
    <w:rsid w:val="115F413D"/>
    <w:rsid w:val="11621C5E"/>
    <w:rsid w:val="11665A0D"/>
    <w:rsid w:val="1188642D"/>
    <w:rsid w:val="11902C28"/>
    <w:rsid w:val="119B455F"/>
    <w:rsid w:val="119D1F55"/>
    <w:rsid w:val="11D01CF9"/>
    <w:rsid w:val="11EB7CC0"/>
    <w:rsid w:val="11FC60EA"/>
    <w:rsid w:val="12077CFA"/>
    <w:rsid w:val="12111206"/>
    <w:rsid w:val="121B43BF"/>
    <w:rsid w:val="12271A49"/>
    <w:rsid w:val="122907E8"/>
    <w:rsid w:val="124205D1"/>
    <w:rsid w:val="1254057F"/>
    <w:rsid w:val="12613ED3"/>
    <w:rsid w:val="12635AA8"/>
    <w:rsid w:val="12696E37"/>
    <w:rsid w:val="126E62DF"/>
    <w:rsid w:val="127952CC"/>
    <w:rsid w:val="12947933"/>
    <w:rsid w:val="12A30FD7"/>
    <w:rsid w:val="12A64587"/>
    <w:rsid w:val="12AA36D7"/>
    <w:rsid w:val="12B83BBB"/>
    <w:rsid w:val="12CD386A"/>
    <w:rsid w:val="12F901BB"/>
    <w:rsid w:val="130D422A"/>
    <w:rsid w:val="130F3E82"/>
    <w:rsid w:val="13165211"/>
    <w:rsid w:val="132E143F"/>
    <w:rsid w:val="13471AD0"/>
    <w:rsid w:val="134753CA"/>
    <w:rsid w:val="134C478E"/>
    <w:rsid w:val="134F24D1"/>
    <w:rsid w:val="135B5878"/>
    <w:rsid w:val="13781A27"/>
    <w:rsid w:val="13826402"/>
    <w:rsid w:val="13845E89"/>
    <w:rsid w:val="13877EBC"/>
    <w:rsid w:val="13985C26"/>
    <w:rsid w:val="13B14F39"/>
    <w:rsid w:val="13E97B32"/>
    <w:rsid w:val="14092680"/>
    <w:rsid w:val="14226B92"/>
    <w:rsid w:val="142D412F"/>
    <w:rsid w:val="14301B15"/>
    <w:rsid w:val="14530591"/>
    <w:rsid w:val="14564D5E"/>
    <w:rsid w:val="14661880"/>
    <w:rsid w:val="14726477"/>
    <w:rsid w:val="14870CC8"/>
    <w:rsid w:val="1492781C"/>
    <w:rsid w:val="1499025C"/>
    <w:rsid w:val="149B6797"/>
    <w:rsid w:val="14B678F8"/>
    <w:rsid w:val="14C41530"/>
    <w:rsid w:val="14C9686C"/>
    <w:rsid w:val="14E07884"/>
    <w:rsid w:val="14E87B9A"/>
    <w:rsid w:val="14E916C2"/>
    <w:rsid w:val="14F15522"/>
    <w:rsid w:val="150337D5"/>
    <w:rsid w:val="1504174F"/>
    <w:rsid w:val="15084B3F"/>
    <w:rsid w:val="152135DE"/>
    <w:rsid w:val="15243815"/>
    <w:rsid w:val="152F6751"/>
    <w:rsid w:val="15412756"/>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2233E"/>
    <w:rsid w:val="16290B92"/>
    <w:rsid w:val="16297009"/>
    <w:rsid w:val="16411B20"/>
    <w:rsid w:val="165C2217"/>
    <w:rsid w:val="167069E6"/>
    <w:rsid w:val="167D7D71"/>
    <w:rsid w:val="169F1079"/>
    <w:rsid w:val="16A3500D"/>
    <w:rsid w:val="16A362C6"/>
    <w:rsid w:val="16B36AE1"/>
    <w:rsid w:val="16C15493"/>
    <w:rsid w:val="16DC051F"/>
    <w:rsid w:val="16E42F30"/>
    <w:rsid w:val="16ED4897"/>
    <w:rsid w:val="16F62DD3"/>
    <w:rsid w:val="16FE0496"/>
    <w:rsid w:val="17067FC0"/>
    <w:rsid w:val="172A0C99"/>
    <w:rsid w:val="174C7453"/>
    <w:rsid w:val="174D0264"/>
    <w:rsid w:val="17822E75"/>
    <w:rsid w:val="179A1DCD"/>
    <w:rsid w:val="17A15E0B"/>
    <w:rsid w:val="17A31394"/>
    <w:rsid w:val="17AF1790"/>
    <w:rsid w:val="17B402E8"/>
    <w:rsid w:val="17C400EA"/>
    <w:rsid w:val="17DE3E23"/>
    <w:rsid w:val="17E53404"/>
    <w:rsid w:val="17EC5092"/>
    <w:rsid w:val="17EF64E8"/>
    <w:rsid w:val="1811244B"/>
    <w:rsid w:val="18187335"/>
    <w:rsid w:val="181D494B"/>
    <w:rsid w:val="183C2E3A"/>
    <w:rsid w:val="183D3240"/>
    <w:rsid w:val="18416A30"/>
    <w:rsid w:val="185B7321"/>
    <w:rsid w:val="186E09C7"/>
    <w:rsid w:val="18886814"/>
    <w:rsid w:val="18937310"/>
    <w:rsid w:val="189664AC"/>
    <w:rsid w:val="189A383D"/>
    <w:rsid w:val="189E4F3F"/>
    <w:rsid w:val="18B13C75"/>
    <w:rsid w:val="18C0248B"/>
    <w:rsid w:val="18EA2938"/>
    <w:rsid w:val="18F224FA"/>
    <w:rsid w:val="18FC77C6"/>
    <w:rsid w:val="190D49C0"/>
    <w:rsid w:val="191D4341"/>
    <w:rsid w:val="19206CA1"/>
    <w:rsid w:val="19265A82"/>
    <w:rsid w:val="1938288F"/>
    <w:rsid w:val="193C37AA"/>
    <w:rsid w:val="193D3C3C"/>
    <w:rsid w:val="193E360F"/>
    <w:rsid w:val="19576FA0"/>
    <w:rsid w:val="19597C05"/>
    <w:rsid w:val="195C7136"/>
    <w:rsid w:val="197762DD"/>
    <w:rsid w:val="19786A87"/>
    <w:rsid w:val="19877546"/>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903AFB"/>
    <w:rsid w:val="1AA475A6"/>
    <w:rsid w:val="1AC11F06"/>
    <w:rsid w:val="1ACC0721"/>
    <w:rsid w:val="1AE91E6A"/>
    <w:rsid w:val="1B022F94"/>
    <w:rsid w:val="1B16140A"/>
    <w:rsid w:val="1B2B4344"/>
    <w:rsid w:val="1B310517"/>
    <w:rsid w:val="1B3C1FFD"/>
    <w:rsid w:val="1B6A60FA"/>
    <w:rsid w:val="1B9118D8"/>
    <w:rsid w:val="1BA16335"/>
    <w:rsid w:val="1BA57132"/>
    <w:rsid w:val="1BA6218E"/>
    <w:rsid w:val="1BAD5FE6"/>
    <w:rsid w:val="1BB13D28"/>
    <w:rsid w:val="1BC13DCC"/>
    <w:rsid w:val="1BDA4C79"/>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6603E"/>
    <w:rsid w:val="1CAF0157"/>
    <w:rsid w:val="1CB11B06"/>
    <w:rsid w:val="1CBF2781"/>
    <w:rsid w:val="1CC306E9"/>
    <w:rsid w:val="1CD70D11"/>
    <w:rsid w:val="1CDD0EA4"/>
    <w:rsid w:val="1CDF09E4"/>
    <w:rsid w:val="1CF42E6E"/>
    <w:rsid w:val="1CF70848"/>
    <w:rsid w:val="1D085BCA"/>
    <w:rsid w:val="1D0D1432"/>
    <w:rsid w:val="1D104A7F"/>
    <w:rsid w:val="1D1074B6"/>
    <w:rsid w:val="1D444728"/>
    <w:rsid w:val="1D52005B"/>
    <w:rsid w:val="1D752B34"/>
    <w:rsid w:val="1D7711E5"/>
    <w:rsid w:val="1D7E60AC"/>
    <w:rsid w:val="1D8D5398"/>
    <w:rsid w:val="1DC36C05"/>
    <w:rsid w:val="1DD2442A"/>
    <w:rsid w:val="1DD26A50"/>
    <w:rsid w:val="1DDC6DCF"/>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3B665A"/>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677A6"/>
    <w:rsid w:val="20994D8B"/>
    <w:rsid w:val="20B35E4D"/>
    <w:rsid w:val="20BB73F7"/>
    <w:rsid w:val="20CF6A27"/>
    <w:rsid w:val="20D364EF"/>
    <w:rsid w:val="20DB1848"/>
    <w:rsid w:val="20DE6C42"/>
    <w:rsid w:val="20E95E3C"/>
    <w:rsid w:val="20EC75B1"/>
    <w:rsid w:val="20EF2BFD"/>
    <w:rsid w:val="20FF2DAC"/>
    <w:rsid w:val="210539C6"/>
    <w:rsid w:val="21260D15"/>
    <w:rsid w:val="212C2C54"/>
    <w:rsid w:val="212C428E"/>
    <w:rsid w:val="212E52ED"/>
    <w:rsid w:val="214327CB"/>
    <w:rsid w:val="2144119B"/>
    <w:rsid w:val="21447C5E"/>
    <w:rsid w:val="215727DE"/>
    <w:rsid w:val="215D109F"/>
    <w:rsid w:val="215E090F"/>
    <w:rsid w:val="21613AFB"/>
    <w:rsid w:val="2164771A"/>
    <w:rsid w:val="216A13BE"/>
    <w:rsid w:val="21735A99"/>
    <w:rsid w:val="2177331E"/>
    <w:rsid w:val="21837F15"/>
    <w:rsid w:val="219A78C7"/>
    <w:rsid w:val="21A8557E"/>
    <w:rsid w:val="21BE2E1C"/>
    <w:rsid w:val="21CE3BBD"/>
    <w:rsid w:val="21D02A2F"/>
    <w:rsid w:val="21E55344"/>
    <w:rsid w:val="21E9116B"/>
    <w:rsid w:val="21EF4546"/>
    <w:rsid w:val="220A7A14"/>
    <w:rsid w:val="220B1CB9"/>
    <w:rsid w:val="220B2782"/>
    <w:rsid w:val="220F05CF"/>
    <w:rsid w:val="22205764"/>
    <w:rsid w:val="22381FC6"/>
    <w:rsid w:val="225275BA"/>
    <w:rsid w:val="225E003A"/>
    <w:rsid w:val="227B299A"/>
    <w:rsid w:val="227E692E"/>
    <w:rsid w:val="228E4923"/>
    <w:rsid w:val="228F6446"/>
    <w:rsid w:val="22910410"/>
    <w:rsid w:val="22A363ED"/>
    <w:rsid w:val="22AE65BE"/>
    <w:rsid w:val="22B63195"/>
    <w:rsid w:val="22B86A0B"/>
    <w:rsid w:val="22BC4220"/>
    <w:rsid w:val="22C17D82"/>
    <w:rsid w:val="22E5250A"/>
    <w:rsid w:val="22F369D5"/>
    <w:rsid w:val="22F616B5"/>
    <w:rsid w:val="22FD0E5C"/>
    <w:rsid w:val="23040BE2"/>
    <w:rsid w:val="230778C7"/>
    <w:rsid w:val="231A510B"/>
    <w:rsid w:val="23331187"/>
    <w:rsid w:val="23452CBC"/>
    <w:rsid w:val="235F1197"/>
    <w:rsid w:val="235F406A"/>
    <w:rsid w:val="236A7616"/>
    <w:rsid w:val="236F7F68"/>
    <w:rsid w:val="2374647C"/>
    <w:rsid w:val="237C3267"/>
    <w:rsid w:val="238A505C"/>
    <w:rsid w:val="239C706C"/>
    <w:rsid w:val="23A21A79"/>
    <w:rsid w:val="23A36A35"/>
    <w:rsid w:val="23BC326A"/>
    <w:rsid w:val="23BD72DF"/>
    <w:rsid w:val="23DA1E7B"/>
    <w:rsid w:val="23E629DD"/>
    <w:rsid w:val="23E7405F"/>
    <w:rsid w:val="23EA5501"/>
    <w:rsid w:val="24156E1F"/>
    <w:rsid w:val="241E5E0E"/>
    <w:rsid w:val="243E45C7"/>
    <w:rsid w:val="2475240E"/>
    <w:rsid w:val="247955FF"/>
    <w:rsid w:val="24961E78"/>
    <w:rsid w:val="24AD5A93"/>
    <w:rsid w:val="24B56686"/>
    <w:rsid w:val="24BD3F2F"/>
    <w:rsid w:val="24C26DBF"/>
    <w:rsid w:val="24D50656"/>
    <w:rsid w:val="24D665AE"/>
    <w:rsid w:val="25201F1F"/>
    <w:rsid w:val="25207829"/>
    <w:rsid w:val="25275932"/>
    <w:rsid w:val="254C15F2"/>
    <w:rsid w:val="256A6BDA"/>
    <w:rsid w:val="256E456D"/>
    <w:rsid w:val="257D3EAF"/>
    <w:rsid w:val="258A399C"/>
    <w:rsid w:val="259C15A5"/>
    <w:rsid w:val="25B34B41"/>
    <w:rsid w:val="25EC0125"/>
    <w:rsid w:val="26086C3B"/>
    <w:rsid w:val="261920D8"/>
    <w:rsid w:val="261B0492"/>
    <w:rsid w:val="26254703"/>
    <w:rsid w:val="262D7F52"/>
    <w:rsid w:val="26415CA9"/>
    <w:rsid w:val="26492DAF"/>
    <w:rsid w:val="264D0AF2"/>
    <w:rsid w:val="26571970"/>
    <w:rsid w:val="26655E3B"/>
    <w:rsid w:val="268044B5"/>
    <w:rsid w:val="26B172D2"/>
    <w:rsid w:val="26CA40F7"/>
    <w:rsid w:val="26E641FB"/>
    <w:rsid w:val="26E75394"/>
    <w:rsid w:val="26EF4335"/>
    <w:rsid w:val="26F27C1B"/>
    <w:rsid w:val="270B4948"/>
    <w:rsid w:val="27215AAC"/>
    <w:rsid w:val="2723400E"/>
    <w:rsid w:val="273E668C"/>
    <w:rsid w:val="274041B2"/>
    <w:rsid w:val="27594AEA"/>
    <w:rsid w:val="27710C92"/>
    <w:rsid w:val="27764078"/>
    <w:rsid w:val="27767BD4"/>
    <w:rsid w:val="27873B8F"/>
    <w:rsid w:val="27A5262E"/>
    <w:rsid w:val="27B8643F"/>
    <w:rsid w:val="27C132F1"/>
    <w:rsid w:val="27CB7D80"/>
    <w:rsid w:val="27CD1F54"/>
    <w:rsid w:val="27D85841"/>
    <w:rsid w:val="27D86AE1"/>
    <w:rsid w:val="27DD7C53"/>
    <w:rsid w:val="27E014F2"/>
    <w:rsid w:val="281F201A"/>
    <w:rsid w:val="283F090E"/>
    <w:rsid w:val="2844798D"/>
    <w:rsid w:val="28620E6F"/>
    <w:rsid w:val="28691716"/>
    <w:rsid w:val="28982180"/>
    <w:rsid w:val="28AA3543"/>
    <w:rsid w:val="28C12115"/>
    <w:rsid w:val="28C45AE6"/>
    <w:rsid w:val="28C64B8B"/>
    <w:rsid w:val="28CD5F1A"/>
    <w:rsid w:val="28D366FF"/>
    <w:rsid w:val="28D76D98"/>
    <w:rsid w:val="28D9669A"/>
    <w:rsid w:val="28DF697D"/>
    <w:rsid w:val="28F90ABD"/>
    <w:rsid w:val="291458F7"/>
    <w:rsid w:val="297B7724"/>
    <w:rsid w:val="29826D04"/>
    <w:rsid w:val="29B6075C"/>
    <w:rsid w:val="29CE79D6"/>
    <w:rsid w:val="29D532D8"/>
    <w:rsid w:val="29EE6148"/>
    <w:rsid w:val="29FB219D"/>
    <w:rsid w:val="2A157B78"/>
    <w:rsid w:val="2A5A558B"/>
    <w:rsid w:val="2A6B59EA"/>
    <w:rsid w:val="2A6C2FBF"/>
    <w:rsid w:val="2A7D127A"/>
    <w:rsid w:val="2A8D5961"/>
    <w:rsid w:val="2A957654"/>
    <w:rsid w:val="2AD91A82"/>
    <w:rsid w:val="2AD92954"/>
    <w:rsid w:val="2AEA2DB3"/>
    <w:rsid w:val="2AEC6B2B"/>
    <w:rsid w:val="2B0B4446"/>
    <w:rsid w:val="2B0B5F38"/>
    <w:rsid w:val="2B230BF3"/>
    <w:rsid w:val="2B380B20"/>
    <w:rsid w:val="2B471FB3"/>
    <w:rsid w:val="2B88437A"/>
    <w:rsid w:val="2B88534B"/>
    <w:rsid w:val="2BA41F78"/>
    <w:rsid w:val="2BB4516F"/>
    <w:rsid w:val="2BCD2F8E"/>
    <w:rsid w:val="2BE27F2E"/>
    <w:rsid w:val="2BE55328"/>
    <w:rsid w:val="2BFF463C"/>
    <w:rsid w:val="2C047EA4"/>
    <w:rsid w:val="2C0E487F"/>
    <w:rsid w:val="2C161986"/>
    <w:rsid w:val="2C180916"/>
    <w:rsid w:val="2C1E35F3"/>
    <w:rsid w:val="2C35005E"/>
    <w:rsid w:val="2C4F5B19"/>
    <w:rsid w:val="2C505CDF"/>
    <w:rsid w:val="2C526E62"/>
    <w:rsid w:val="2C5524AE"/>
    <w:rsid w:val="2C5A28D7"/>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2E08B5"/>
    <w:rsid w:val="2D3575D7"/>
    <w:rsid w:val="2D392A9A"/>
    <w:rsid w:val="2D3D2AEB"/>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5D477B"/>
    <w:rsid w:val="2E630C84"/>
    <w:rsid w:val="2E641B42"/>
    <w:rsid w:val="2E837111"/>
    <w:rsid w:val="2E84600A"/>
    <w:rsid w:val="2E956466"/>
    <w:rsid w:val="2EAB0AAB"/>
    <w:rsid w:val="2EBF37A7"/>
    <w:rsid w:val="2EBF4B0B"/>
    <w:rsid w:val="2ED26038"/>
    <w:rsid w:val="2ED86F63"/>
    <w:rsid w:val="2EED10C4"/>
    <w:rsid w:val="2EF7784D"/>
    <w:rsid w:val="2EFA10EB"/>
    <w:rsid w:val="2EFB21A9"/>
    <w:rsid w:val="2F116E8D"/>
    <w:rsid w:val="2F1A353B"/>
    <w:rsid w:val="2F1F5FD6"/>
    <w:rsid w:val="2F2C45A3"/>
    <w:rsid w:val="2F3C1703"/>
    <w:rsid w:val="2F407445"/>
    <w:rsid w:val="2F544C9F"/>
    <w:rsid w:val="2F5702EB"/>
    <w:rsid w:val="2F6F0666"/>
    <w:rsid w:val="2F860BD0"/>
    <w:rsid w:val="2F861416"/>
    <w:rsid w:val="2F927575"/>
    <w:rsid w:val="2FAC1422"/>
    <w:rsid w:val="2FC27288"/>
    <w:rsid w:val="2FF574A1"/>
    <w:rsid w:val="300246FB"/>
    <w:rsid w:val="301D42EF"/>
    <w:rsid w:val="30250D25"/>
    <w:rsid w:val="3025488D"/>
    <w:rsid w:val="3044084D"/>
    <w:rsid w:val="304E5F54"/>
    <w:rsid w:val="30515682"/>
    <w:rsid w:val="30644D23"/>
    <w:rsid w:val="30776BDB"/>
    <w:rsid w:val="30894E1C"/>
    <w:rsid w:val="3091142D"/>
    <w:rsid w:val="30AB66A8"/>
    <w:rsid w:val="30B05F05"/>
    <w:rsid w:val="30CD3408"/>
    <w:rsid w:val="30CF4EA4"/>
    <w:rsid w:val="30F57DBC"/>
    <w:rsid w:val="30FA3624"/>
    <w:rsid w:val="31002A27"/>
    <w:rsid w:val="310A4AEB"/>
    <w:rsid w:val="310D2023"/>
    <w:rsid w:val="313308E4"/>
    <w:rsid w:val="314D7BF8"/>
    <w:rsid w:val="3163741B"/>
    <w:rsid w:val="31662CD4"/>
    <w:rsid w:val="316D73C4"/>
    <w:rsid w:val="318111E9"/>
    <w:rsid w:val="31857392"/>
    <w:rsid w:val="318E1BB8"/>
    <w:rsid w:val="319475D5"/>
    <w:rsid w:val="319976C6"/>
    <w:rsid w:val="319A711F"/>
    <w:rsid w:val="31A15954"/>
    <w:rsid w:val="31E22A36"/>
    <w:rsid w:val="31E75151"/>
    <w:rsid w:val="320643AF"/>
    <w:rsid w:val="32130E41"/>
    <w:rsid w:val="322841C1"/>
    <w:rsid w:val="322D6302"/>
    <w:rsid w:val="32562ADC"/>
    <w:rsid w:val="32632A63"/>
    <w:rsid w:val="326F46E0"/>
    <w:rsid w:val="32735F2E"/>
    <w:rsid w:val="327A3BC6"/>
    <w:rsid w:val="327D450D"/>
    <w:rsid w:val="327F745D"/>
    <w:rsid w:val="3284589B"/>
    <w:rsid w:val="328E671A"/>
    <w:rsid w:val="32962C35"/>
    <w:rsid w:val="32990C1B"/>
    <w:rsid w:val="32C24615"/>
    <w:rsid w:val="32C65567"/>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911204"/>
    <w:rsid w:val="33AF3D68"/>
    <w:rsid w:val="33AF6666"/>
    <w:rsid w:val="33B645E2"/>
    <w:rsid w:val="33BE6F4E"/>
    <w:rsid w:val="33C63C91"/>
    <w:rsid w:val="33CB572B"/>
    <w:rsid w:val="33CD2D9E"/>
    <w:rsid w:val="33CE657B"/>
    <w:rsid w:val="33EA3E24"/>
    <w:rsid w:val="33EC7B9C"/>
    <w:rsid w:val="33FB0977"/>
    <w:rsid w:val="34034EE6"/>
    <w:rsid w:val="340842AA"/>
    <w:rsid w:val="34091FFA"/>
    <w:rsid w:val="341C53BA"/>
    <w:rsid w:val="342C131A"/>
    <w:rsid w:val="34312EC5"/>
    <w:rsid w:val="344841F0"/>
    <w:rsid w:val="344A041F"/>
    <w:rsid w:val="3464346F"/>
    <w:rsid w:val="347C39A8"/>
    <w:rsid w:val="34847DD4"/>
    <w:rsid w:val="34853B4C"/>
    <w:rsid w:val="3493296C"/>
    <w:rsid w:val="349A316D"/>
    <w:rsid w:val="34AE30A3"/>
    <w:rsid w:val="34B34723"/>
    <w:rsid w:val="34DF2CBA"/>
    <w:rsid w:val="34E41339"/>
    <w:rsid w:val="34EB6364"/>
    <w:rsid w:val="34F565DC"/>
    <w:rsid w:val="35132F06"/>
    <w:rsid w:val="35373099"/>
    <w:rsid w:val="3538296D"/>
    <w:rsid w:val="353F42E9"/>
    <w:rsid w:val="354B444E"/>
    <w:rsid w:val="354E440C"/>
    <w:rsid w:val="356B4AF0"/>
    <w:rsid w:val="356F6F29"/>
    <w:rsid w:val="358A766C"/>
    <w:rsid w:val="358B2CE3"/>
    <w:rsid w:val="358C26FA"/>
    <w:rsid w:val="358E09E6"/>
    <w:rsid w:val="35932EB9"/>
    <w:rsid w:val="359C4C4F"/>
    <w:rsid w:val="35B547DB"/>
    <w:rsid w:val="35BE2E72"/>
    <w:rsid w:val="35C32BDC"/>
    <w:rsid w:val="35D5640E"/>
    <w:rsid w:val="35EC0748"/>
    <w:rsid w:val="36455341"/>
    <w:rsid w:val="364610BA"/>
    <w:rsid w:val="36724494"/>
    <w:rsid w:val="3679649B"/>
    <w:rsid w:val="367D0F7F"/>
    <w:rsid w:val="36826C31"/>
    <w:rsid w:val="368F0CBF"/>
    <w:rsid w:val="36916FED"/>
    <w:rsid w:val="36A469C4"/>
    <w:rsid w:val="36A521D9"/>
    <w:rsid w:val="36F55EAA"/>
    <w:rsid w:val="370F0532"/>
    <w:rsid w:val="37195AD1"/>
    <w:rsid w:val="372B09DB"/>
    <w:rsid w:val="373C3EE4"/>
    <w:rsid w:val="37763F45"/>
    <w:rsid w:val="3784095E"/>
    <w:rsid w:val="37895E9F"/>
    <w:rsid w:val="37A87D97"/>
    <w:rsid w:val="37E40B8A"/>
    <w:rsid w:val="37EA2644"/>
    <w:rsid w:val="37EB1F18"/>
    <w:rsid w:val="38044D88"/>
    <w:rsid w:val="3806031D"/>
    <w:rsid w:val="382C513A"/>
    <w:rsid w:val="38417D8A"/>
    <w:rsid w:val="3842422E"/>
    <w:rsid w:val="3847643D"/>
    <w:rsid w:val="38526F7A"/>
    <w:rsid w:val="387A2F34"/>
    <w:rsid w:val="387C555A"/>
    <w:rsid w:val="387E2D8D"/>
    <w:rsid w:val="389C521D"/>
    <w:rsid w:val="38E52970"/>
    <w:rsid w:val="38EA21D0"/>
    <w:rsid w:val="38F24DE8"/>
    <w:rsid w:val="38F372D7"/>
    <w:rsid w:val="38F65019"/>
    <w:rsid w:val="38FB43DD"/>
    <w:rsid w:val="3946752A"/>
    <w:rsid w:val="39641F82"/>
    <w:rsid w:val="39684912"/>
    <w:rsid w:val="396B0466"/>
    <w:rsid w:val="397441F3"/>
    <w:rsid w:val="398919E9"/>
    <w:rsid w:val="39A16C97"/>
    <w:rsid w:val="39A24859"/>
    <w:rsid w:val="39A56B84"/>
    <w:rsid w:val="39A77BB2"/>
    <w:rsid w:val="39AB5B2C"/>
    <w:rsid w:val="39AD5743"/>
    <w:rsid w:val="39BE5B37"/>
    <w:rsid w:val="39CD1EE3"/>
    <w:rsid w:val="39CD78A2"/>
    <w:rsid w:val="39D1471A"/>
    <w:rsid w:val="39ED6FFB"/>
    <w:rsid w:val="3A81200E"/>
    <w:rsid w:val="3A850402"/>
    <w:rsid w:val="3A8E59AE"/>
    <w:rsid w:val="3A975B5D"/>
    <w:rsid w:val="3A9C399E"/>
    <w:rsid w:val="3AA52E29"/>
    <w:rsid w:val="3AA91B3C"/>
    <w:rsid w:val="3ABB7AA2"/>
    <w:rsid w:val="3AD1189A"/>
    <w:rsid w:val="3AD62A0C"/>
    <w:rsid w:val="3AFD68A7"/>
    <w:rsid w:val="3B1F45BC"/>
    <w:rsid w:val="3B255741"/>
    <w:rsid w:val="3B345984"/>
    <w:rsid w:val="3B36794F"/>
    <w:rsid w:val="3B367AA6"/>
    <w:rsid w:val="3B437161"/>
    <w:rsid w:val="3B4F775C"/>
    <w:rsid w:val="3B506C62"/>
    <w:rsid w:val="3B514FD2"/>
    <w:rsid w:val="3B5A7643"/>
    <w:rsid w:val="3B6224F2"/>
    <w:rsid w:val="3B693880"/>
    <w:rsid w:val="3B854AB6"/>
    <w:rsid w:val="3B8E1539"/>
    <w:rsid w:val="3B9D177C"/>
    <w:rsid w:val="3BA046F2"/>
    <w:rsid w:val="3BA50630"/>
    <w:rsid w:val="3BD80550"/>
    <w:rsid w:val="3BD80ACD"/>
    <w:rsid w:val="3BE56E1B"/>
    <w:rsid w:val="3BED2DB3"/>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3E7E89"/>
    <w:rsid w:val="3D502922"/>
    <w:rsid w:val="3D5D7415"/>
    <w:rsid w:val="3D605157"/>
    <w:rsid w:val="3D631F35"/>
    <w:rsid w:val="3DC96584"/>
    <w:rsid w:val="3DE042EE"/>
    <w:rsid w:val="3DE60DD6"/>
    <w:rsid w:val="3DF00D93"/>
    <w:rsid w:val="3E004349"/>
    <w:rsid w:val="3E0F7B1D"/>
    <w:rsid w:val="3E234AB8"/>
    <w:rsid w:val="3E286AF8"/>
    <w:rsid w:val="3E2A5EBF"/>
    <w:rsid w:val="3E4009FD"/>
    <w:rsid w:val="3E444130"/>
    <w:rsid w:val="3E4C5C06"/>
    <w:rsid w:val="3E5C1BAD"/>
    <w:rsid w:val="3E60064C"/>
    <w:rsid w:val="3E9230EE"/>
    <w:rsid w:val="3E9F6F17"/>
    <w:rsid w:val="3EA37CD2"/>
    <w:rsid w:val="3EB36F85"/>
    <w:rsid w:val="3EDF3E59"/>
    <w:rsid w:val="3EE06168"/>
    <w:rsid w:val="3EE85404"/>
    <w:rsid w:val="3F141725"/>
    <w:rsid w:val="3F1B1335"/>
    <w:rsid w:val="3F200257"/>
    <w:rsid w:val="3F286DBF"/>
    <w:rsid w:val="3F4028FA"/>
    <w:rsid w:val="3F5F03B4"/>
    <w:rsid w:val="3F892743"/>
    <w:rsid w:val="3F8D1475"/>
    <w:rsid w:val="3F975C22"/>
    <w:rsid w:val="3FA70E1B"/>
    <w:rsid w:val="3FB47094"/>
    <w:rsid w:val="3FB5178A"/>
    <w:rsid w:val="3FC419A7"/>
    <w:rsid w:val="3FC64109"/>
    <w:rsid w:val="3FCC77A7"/>
    <w:rsid w:val="3FD00DFB"/>
    <w:rsid w:val="3FD65247"/>
    <w:rsid w:val="3FDB385A"/>
    <w:rsid w:val="3FDF6807"/>
    <w:rsid w:val="3FE23C01"/>
    <w:rsid w:val="3FE3145D"/>
    <w:rsid w:val="3FE71217"/>
    <w:rsid w:val="40061FE5"/>
    <w:rsid w:val="400E0CEC"/>
    <w:rsid w:val="40167D4F"/>
    <w:rsid w:val="4022565B"/>
    <w:rsid w:val="402266F3"/>
    <w:rsid w:val="40290AEF"/>
    <w:rsid w:val="403629A3"/>
    <w:rsid w:val="403B122D"/>
    <w:rsid w:val="404B007A"/>
    <w:rsid w:val="405A7C3B"/>
    <w:rsid w:val="405B7334"/>
    <w:rsid w:val="405C70C5"/>
    <w:rsid w:val="40646D0C"/>
    <w:rsid w:val="406B3BF6"/>
    <w:rsid w:val="40875F80"/>
    <w:rsid w:val="409505DD"/>
    <w:rsid w:val="40C31C84"/>
    <w:rsid w:val="40CD2BBC"/>
    <w:rsid w:val="40CE74E8"/>
    <w:rsid w:val="40D55514"/>
    <w:rsid w:val="40D7128C"/>
    <w:rsid w:val="40F96B4C"/>
    <w:rsid w:val="40FE0F0E"/>
    <w:rsid w:val="41107AF2"/>
    <w:rsid w:val="41390199"/>
    <w:rsid w:val="41561B7B"/>
    <w:rsid w:val="415B430F"/>
    <w:rsid w:val="415D5C35"/>
    <w:rsid w:val="415F2382"/>
    <w:rsid w:val="41644CA3"/>
    <w:rsid w:val="417C604D"/>
    <w:rsid w:val="418238EE"/>
    <w:rsid w:val="41876D28"/>
    <w:rsid w:val="419972CE"/>
    <w:rsid w:val="41DF75B5"/>
    <w:rsid w:val="41E64E09"/>
    <w:rsid w:val="41E81646"/>
    <w:rsid w:val="421568CA"/>
    <w:rsid w:val="422229DB"/>
    <w:rsid w:val="422F2C0A"/>
    <w:rsid w:val="424B287B"/>
    <w:rsid w:val="42731F37"/>
    <w:rsid w:val="427A77FA"/>
    <w:rsid w:val="427C658F"/>
    <w:rsid w:val="42997BDD"/>
    <w:rsid w:val="42AC4D28"/>
    <w:rsid w:val="42B60CBA"/>
    <w:rsid w:val="42BA4570"/>
    <w:rsid w:val="42C43A92"/>
    <w:rsid w:val="42CD0532"/>
    <w:rsid w:val="42DB62DB"/>
    <w:rsid w:val="42E433A0"/>
    <w:rsid w:val="42F40D87"/>
    <w:rsid w:val="43157031"/>
    <w:rsid w:val="431F6F1A"/>
    <w:rsid w:val="43204D6E"/>
    <w:rsid w:val="433E0C67"/>
    <w:rsid w:val="434171A0"/>
    <w:rsid w:val="434F476D"/>
    <w:rsid w:val="43661D30"/>
    <w:rsid w:val="436C09A1"/>
    <w:rsid w:val="436E0D52"/>
    <w:rsid w:val="436F047F"/>
    <w:rsid w:val="436F39FE"/>
    <w:rsid w:val="436F7EA2"/>
    <w:rsid w:val="4379759E"/>
    <w:rsid w:val="437B082C"/>
    <w:rsid w:val="43863FBF"/>
    <w:rsid w:val="439E18DD"/>
    <w:rsid w:val="43B835F7"/>
    <w:rsid w:val="43BA63BC"/>
    <w:rsid w:val="43BD6A6D"/>
    <w:rsid w:val="43E56FFE"/>
    <w:rsid w:val="43E77A38"/>
    <w:rsid w:val="44033175"/>
    <w:rsid w:val="44071DF4"/>
    <w:rsid w:val="440C749E"/>
    <w:rsid w:val="441912DB"/>
    <w:rsid w:val="442347E8"/>
    <w:rsid w:val="442567B2"/>
    <w:rsid w:val="44384517"/>
    <w:rsid w:val="445B2639"/>
    <w:rsid w:val="446056EA"/>
    <w:rsid w:val="446948F1"/>
    <w:rsid w:val="44894274"/>
    <w:rsid w:val="44894414"/>
    <w:rsid w:val="44C77869"/>
    <w:rsid w:val="44D51F86"/>
    <w:rsid w:val="44E70410"/>
    <w:rsid w:val="44F3240C"/>
    <w:rsid w:val="451720F2"/>
    <w:rsid w:val="452B604A"/>
    <w:rsid w:val="453C0257"/>
    <w:rsid w:val="45406B12"/>
    <w:rsid w:val="455A06DD"/>
    <w:rsid w:val="455F7AA2"/>
    <w:rsid w:val="45667082"/>
    <w:rsid w:val="458F482B"/>
    <w:rsid w:val="45C7664A"/>
    <w:rsid w:val="45DA2E00"/>
    <w:rsid w:val="45EC42D6"/>
    <w:rsid w:val="45ED3300"/>
    <w:rsid w:val="45EF1111"/>
    <w:rsid w:val="460C7409"/>
    <w:rsid w:val="460D74FE"/>
    <w:rsid w:val="4636593F"/>
    <w:rsid w:val="464A2500"/>
    <w:rsid w:val="464C0026"/>
    <w:rsid w:val="465D4CB9"/>
    <w:rsid w:val="467C2CE2"/>
    <w:rsid w:val="46B207DF"/>
    <w:rsid w:val="46B86825"/>
    <w:rsid w:val="46C42B1C"/>
    <w:rsid w:val="46EA07B2"/>
    <w:rsid w:val="46F506BE"/>
    <w:rsid w:val="46F82CC1"/>
    <w:rsid w:val="4703337B"/>
    <w:rsid w:val="470E1780"/>
    <w:rsid w:val="47121270"/>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E1D09"/>
    <w:rsid w:val="48A028AB"/>
    <w:rsid w:val="48AA237C"/>
    <w:rsid w:val="48BD520B"/>
    <w:rsid w:val="48C1039E"/>
    <w:rsid w:val="48EB1D78"/>
    <w:rsid w:val="490023BE"/>
    <w:rsid w:val="49023B00"/>
    <w:rsid w:val="491A265E"/>
    <w:rsid w:val="491D285B"/>
    <w:rsid w:val="491D3EFC"/>
    <w:rsid w:val="491F1A22"/>
    <w:rsid w:val="493666B5"/>
    <w:rsid w:val="494877A6"/>
    <w:rsid w:val="49550062"/>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842484"/>
    <w:rsid w:val="4A995804"/>
    <w:rsid w:val="4AA246B9"/>
    <w:rsid w:val="4AA541A9"/>
    <w:rsid w:val="4AAF6399"/>
    <w:rsid w:val="4AB27C27"/>
    <w:rsid w:val="4AC24D5B"/>
    <w:rsid w:val="4AD3077D"/>
    <w:rsid w:val="4AD67A86"/>
    <w:rsid w:val="4AF903AE"/>
    <w:rsid w:val="4B0F3D9B"/>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5C727E"/>
    <w:rsid w:val="4C7223A4"/>
    <w:rsid w:val="4C87625C"/>
    <w:rsid w:val="4C942D3E"/>
    <w:rsid w:val="4CA56323"/>
    <w:rsid w:val="4CF66F3E"/>
    <w:rsid w:val="4D0478AD"/>
    <w:rsid w:val="4D0A4797"/>
    <w:rsid w:val="4D0C6761"/>
    <w:rsid w:val="4D0D5086"/>
    <w:rsid w:val="4D187642"/>
    <w:rsid w:val="4D2553D4"/>
    <w:rsid w:val="4D2F41FE"/>
    <w:rsid w:val="4D56422A"/>
    <w:rsid w:val="4D6F3B43"/>
    <w:rsid w:val="4D706155"/>
    <w:rsid w:val="4D712FDA"/>
    <w:rsid w:val="4D746E8E"/>
    <w:rsid w:val="4D800456"/>
    <w:rsid w:val="4D862070"/>
    <w:rsid w:val="4D92310A"/>
    <w:rsid w:val="4D9D385D"/>
    <w:rsid w:val="4DA4572D"/>
    <w:rsid w:val="4DC4703C"/>
    <w:rsid w:val="4DCD7C9F"/>
    <w:rsid w:val="4DE17BEE"/>
    <w:rsid w:val="4E1C02AE"/>
    <w:rsid w:val="4E1E6324"/>
    <w:rsid w:val="4E226070"/>
    <w:rsid w:val="4E4F4B57"/>
    <w:rsid w:val="4E5C1A72"/>
    <w:rsid w:val="4E5D4AD8"/>
    <w:rsid w:val="4E615284"/>
    <w:rsid w:val="4EA64556"/>
    <w:rsid w:val="4EAD29E4"/>
    <w:rsid w:val="4EC310A1"/>
    <w:rsid w:val="4F043B94"/>
    <w:rsid w:val="4F1A55F3"/>
    <w:rsid w:val="4F1B205A"/>
    <w:rsid w:val="4F2A7373"/>
    <w:rsid w:val="4F2E5442"/>
    <w:rsid w:val="4F2F1144"/>
    <w:rsid w:val="4F30313F"/>
    <w:rsid w:val="4F443563"/>
    <w:rsid w:val="4F52580A"/>
    <w:rsid w:val="4F691C49"/>
    <w:rsid w:val="4F6A776F"/>
    <w:rsid w:val="4F702FD7"/>
    <w:rsid w:val="4F707F08"/>
    <w:rsid w:val="4F9273F2"/>
    <w:rsid w:val="4FD277EE"/>
    <w:rsid w:val="4FDA7D75"/>
    <w:rsid w:val="4FF57980"/>
    <w:rsid w:val="501E6ED7"/>
    <w:rsid w:val="50395ABF"/>
    <w:rsid w:val="50461F8A"/>
    <w:rsid w:val="50787096"/>
    <w:rsid w:val="507C775A"/>
    <w:rsid w:val="508D5E0B"/>
    <w:rsid w:val="508F1B83"/>
    <w:rsid w:val="50B25281"/>
    <w:rsid w:val="50C2152D"/>
    <w:rsid w:val="50E579F5"/>
    <w:rsid w:val="50E87836"/>
    <w:rsid w:val="50EA500B"/>
    <w:rsid w:val="50F83282"/>
    <w:rsid w:val="50FB4B23"/>
    <w:rsid w:val="51173459"/>
    <w:rsid w:val="511E2B79"/>
    <w:rsid w:val="51265C7E"/>
    <w:rsid w:val="514814EC"/>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13297"/>
    <w:rsid w:val="52BF7DD2"/>
    <w:rsid w:val="52DA5E34"/>
    <w:rsid w:val="52EC1919"/>
    <w:rsid w:val="530A3743"/>
    <w:rsid w:val="530D2815"/>
    <w:rsid w:val="532145E9"/>
    <w:rsid w:val="53395DD6"/>
    <w:rsid w:val="5347038D"/>
    <w:rsid w:val="534A6CD4"/>
    <w:rsid w:val="534E7AD3"/>
    <w:rsid w:val="536553EF"/>
    <w:rsid w:val="538B4884"/>
    <w:rsid w:val="53A3143D"/>
    <w:rsid w:val="53A63921"/>
    <w:rsid w:val="53AC47FA"/>
    <w:rsid w:val="53CC5791"/>
    <w:rsid w:val="53D95D45"/>
    <w:rsid w:val="53DA1367"/>
    <w:rsid w:val="53E2646E"/>
    <w:rsid w:val="53EB53BD"/>
    <w:rsid w:val="53F8359B"/>
    <w:rsid w:val="54505185"/>
    <w:rsid w:val="545671EC"/>
    <w:rsid w:val="54611097"/>
    <w:rsid w:val="5487370E"/>
    <w:rsid w:val="54915C10"/>
    <w:rsid w:val="54C735ED"/>
    <w:rsid w:val="54CD4A28"/>
    <w:rsid w:val="54D15F1A"/>
    <w:rsid w:val="54D264E2"/>
    <w:rsid w:val="54D647BE"/>
    <w:rsid w:val="54D65699"/>
    <w:rsid w:val="54E01D6C"/>
    <w:rsid w:val="54E47B17"/>
    <w:rsid w:val="54E754F3"/>
    <w:rsid w:val="54E9481D"/>
    <w:rsid w:val="54F226E1"/>
    <w:rsid w:val="55046B0A"/>
    <w:rsid w:val="55094443"/>
    <w:rsid w:val="55173007"/>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6E6859"/>
    <w:rsid w:val="5684052B"/>
    <w:rsid w:val="56893B3D"/>
    <w:rsid w:val="56921A85"/>
    <w:rsid w:val="56927CD7"/>
    <w:rsid w:val="569976E5"/>
    <w:rsid w:val="56E16569"/>
    <w:rsid w:val="56ED542D"/>
    <w:rsid w:val="56EE460E"/>
    <w:rsid w:val="56F25D16"/>
    <w:rsid w:val="56F72230"/>
    <w:rsid w:val="56F770C8"/>
    <w:rsid w:val="56F95FA8"/>
    <w:rsid w:val="57087F99"/>
    <w:rsid w:val="570A5ABF"/>
    <w:rsid w:val="570F0DAD"/>
    <w:rsid w:val="57136DC9"/>
    <w:rsid w:val="571C1C97"/>
    <w:rsid w:val="57342B3C"/>
    <w:rsid w:val="57394670"/>
    <w:rsid w:val="57443D1C"/>
    <w:rsid w:val="575738E1"/>
    <w:rsid w:val="5769056B"/>
    <w:rsid w:val="57715B3F"/>
    <w:rsid w:val="577949F3"/>
    <w:rsid w:val="577D0987"/>
    <w:rsid w:val="579068FA"/>
    <w:rsid w:val="579730CB"/>
    <w:rsid w:val="579B705F"/>
    <w:rsid w:val="57F02C2A"/>
    <w:rsid w:val="57F246BE"/>
    <w:rsid w:val="57F648EB"/>
    <w:rsid w:val="5806097D"/>
    <w:rsid w:val="5809221B"/>
    <w:rsid w:val="5814296E"/>
    <w:rsid w:val="582A3F3F"/>
    <w:rsid w:val="582B03E3"/>
    <w:rsid w:val="582F35B7"/>
    <w:rsid w:val="5839262E"/>
    <w:rsid w:val="58465229"/>
    <w:rsid w:val="585F0D52"/>
    <w:rsid w:val="586525C2"/>
    <w:rsid w:val="586557AC"/>
    <w:rsid w:val="5867455C"/>
    <w:rsid w:val="587A5C94"/>
    <w:rsid w:val="588B42F5"/>
    <w:rsid w:val="588D4BFA"/>
    <w:rsid w:val="58A81A34"/>
    <w:rsid w:val="58C139D3"/>
    <w:rsid w:val="58C93758"/>
    <w:rsid w:val="58D72319"/>
    <w:rsid w:val="58DE5456"/>
    <w:rsid w:val="5939268C"/>
    <w:rsid w:val="594C6725"/>
    <w:rsid w:val="59617E35"/>
    <w:rsid w:val="596E25BB"/>
    <w:rsid w:val="59722042"/>
    <w:rsid w:val="59777658"/>
    <w:rsid w:val="59796F2C"/>
    <w:rsid w:val="599E0ACF"/>
    <w:rsid w:val="59AD3D34"/>
    <w:rsid w:val="59B03888"/>
    <w:rsid w:val="59C503C4"/>
    <w:rsid w:val="59EC76FE"/>
    <w:rsid w:val="59F91818"/>
    <w:rsid w:val="5A0626FA"/>
    <w:rsid w:val="5A172243"/>
    <w:rsid w:val="5A196ED2"/>
    <w:rsid w:val="5A3317D1"/>
    <w:rsid w:val="5A395B76"/>
    <w:rsid w:val="5A3C781D"/>
    <w:rsid w:val="5A432F55"/>
    <w:rsid w:val="5A5878B5"/>
    <w:rsid w:val="5A636344"/>
    <w:rsid w:val="5AA2093F"/>
    <w:rsid w:val="5AA95EA4"/>
    <w:rsid w:val="5AAF59A9"/>
    <w:rsid w:val="5AB8393D"/>
    <w:rsid w:val="5AD63E09"/>
    <w:rsid w:val="5AFF3461"/>
    <w:rsid w:val="5B123195"/>
    <w:rsid w:val="5B223606"/>
    <w:rsid w:val="5B266C40"/>
    <w:rsid w:val="5B2E6FAA"/>
    <w:rsid w:val="5B4332B6"/>
    <w:rsid w:val="5B4B66A7"/>
    <w:rsid w:val="5B5E0F00"/>
    <w:rsid w:val="5B972453"/>
    <w:rsid w:val="5B9E7C72"/>
    <w:rsid w:val="5BA87F9D"/>
    <w:rsid w:val="5BAF4E87"/>
    <w:rsid w:val="5BDE39BF"/>
    <w:rsid w:val="5BE65C1B"/>
    <w:rsid w:val="5BFD68E7"/>
    <w:rsid w:val="5C0B7B76"/>
    <w:rsid w:val="5C1271C4"/>
    <w:rsid w:val="5C675762"/>
    <w:rsid w:val="5C682BEC"/>
    <w:rsid w:val="5C9A130B"/>
    <w:rsid w:val="5C9A1694"/>
    <w:rsid w:val="5C9D1184"/>
    <w:rsid w:val="5C9D480A"/>
    <w:rsid w:val="5CA7123C"/>
    <w:rsid w:val="5CAE15E3"/>
    <w:rsid w:val="5CAE2DFE"/>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4615C"/>
    <w:rsid w:val="5DDE1134"/>
    <w:rsid w:val="5DE66B5A"/>
    <w:rsid w:val="5E1D1CEB"/>
    <w:rsid w:val="5E23390B"/>
    <w:rsid w:val="5E311C0C"/>
    <w:rsid w:val="5E3C66E4"/>
    <w:rsid w:val="5E895C8E"/>
    <w:rsid w:val="5ED510A9"/>
    <w:rsid w:val="5ED57321"/>
    <w:rsid w:val="5F20216B"/>
    <w:rsid w:val="5F36439B"/>
    <w:rsid w:val="5F755A2A"/>
    <w:rsid w:val="5F814D8D"/>
    <w:rsid w:val="5F8328B3"/>
    <w:rsid w:val="5F8959EF"/>
    <w:rsid w:val="5F920D48"/>
    <w:rsid w:val="5FA40A7B"/>
    <w:rsid w:val="5FB07420"/>
    <w:rsid w:val="5FC04410"/>
    <w:rsid w:val="5FC652C4"/>
    <w:rsid w:val="5FC845C3"/>
    <w:rsid w:val="5FCB6F0A"/>
    <w:rsid w:val="5FCD7FD2"/>
    <w:rsid w:val="5FD56738"/>
    <w:rsid w:val="5FE62E42"/>
    <w:rsid w:val="6016735B"/>
    <w:rsid w:val="601C6864"/>
    <w:rsid w:val="601F4747"/>
    <w:rsid w:val="602D6CC3"/>
    <w:rsid w:val="602F6597"/>
    <w:rsid w:val="6052321D"/>
    <w:rsid w:val="60696BC9"/>
    <w:rsid w:val="608508AD"/>
    <w:rsid w:val="609A3376"/>
    <w:rsid w:val="60A42170"/>
    <w:rsid w:val="60CF38D6"/>
    <w:rsid w:val="60E5134B"/>
    <w:rsid w:val="60FD45FF"/>
    <w:rsid w:val="611A0FF5"/>
    <w:rsid w:val="61220F29"/>
    <w:rsid w:val="612B3202"/>
    <w:rsid w:val="616008F1"/>
    <w:rsid w:val="61847169"/>
    <w:rsid w:val="618625DD"/>
    <w:rsid w:val="61903065"/>
    <w:rsid w:val="61932B55"/>
    <w:rsid w:val="619A5467"/>
    <w:rsid w:val="61B7149D"/>
    <w:rsid w:val="61B9080E"/>
    <w:rsid w:val="61CA1C79"/>
    <w:rsid w:val="61D61932"/>
    <w:rsid w:val="620852F1"/>
    <w:rsid w:val="621048C9"/>
    <w:rsid w:val="6210694A"/>
    <w:rsid w:val="621231A6"/>
    <w:rsid w:val="621641CF"/>
    <w:rsid w:val="62210161"/>
    <w:rsid w:val="62861F1F"/>
    <w:rsid w:val="629139EC"/>
    <w:rsid w:val="62917095"/>
    <w:rsid w:val="62A16A87"/>
    <w:rsid w:val="62CF7FE7"/>
    <w:rsid w:val="62D94CCA"/>
    <w:rsid w:val="63141A74"/>
    <w:rsid w:val="631D2A8C"/>
    <w:rsid w:val="63462575"/>
    <w:rsid w:val="63493E13"/>
    <w:rsid w:val="635A1B7D"/>
    <w:rsid w:val="63666773"/>
    <w:rsid w:val="638B7F88"/>
    <w:rsid w:val="63931444"/>
    <w:rsid w:val="63936E3D"/>
    <w:rsid w:val="639B087E"/>
    <w:rsid w:val="63A64DC2"/>
    <w:rsid w:val="63A90E76"/>
    <w:rsid w:val="63B55005"/>
    <w:rsid w:val="63BA6D0B"/>
    <w:rsid w:val="63C15CAE"/>
    <w:rsid w:val="63CB5CCC"/>
    <w:rsid w:val="63DF65BB"/>
    <w:rsid w:val="63EB4ECB"/>
    <w:rsid w:val="63F975E8"/>
    <w:rsid w:val="63FA3360"/>
    <w:rsid w:val="640B731B"/>
    <w:rsid w:val="641745A0"/>
    <w:rsid w:val="642479C1"/>
    <w:rsid w:val="645C36D2"/>
    <w:rsid w:val="64657739"/>
    <w:rsid w:val="64754794"/>
    <w:rsid w:val="64824B18"/>
    <w:rsid w:val="64881976"/>
    <w:rsid w:val="64942E6C"/>
    <w:rsid w:val="64AE3CB5"/>
    <w:rsid w:val="64AF6674"/>
    <w:rsid w:val="64B90B25"/>
    <w:rsid w:val="64CD637E"/>
    <w:rsid w:val="64CF659A"/>
    <w:rsid w:val="64DC03FF"/>
    <w:rsid w:val="64F425BA"/>
    <w:rsid w:val="65071890"/>
    <w:rsid w:val="650D6603"/>
    <w:rsid w:val="65202952"/>
    <w:rsid w:val="65210C32"/>
    <w:rsid w:val="652225D5"/>
    <w:rsid w:val="652F2B95"/>
    <w:rsid w:val="65311E05"/>
    <w:rsid w:val="65451957"/>
    <w:rsid w:val="65623E76"/>
    <w:rsid w:val="659770B8"/>
    <w:rsid w:val="65995BCE"/>
    <w:rsid w:val="65B46366"/>
    <w:rsid w:val="65BD63F3"/>
    <w:rsid w:val="65D025CA"/>
    <w:rsid w:val="65F570CF"/>
    <w:rsid w:val="66002CD4"/>
    <w:rsid w:val="6624387D"/>
    <w:rsid w:val="662824C8"/>
    <w:rsid w:val="66320B8F"/>
    <w:rsid w:val="663E7534"/>
    <w:rsid w:val="664B6B47"/>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523DE"/>
    <w:rsid w:val="670C5884"/>
    <w:rsid w:val="670D5158"/>
    <w:rsid w:val="67461D48"/>
    <w:rsid w:val="67472418"/>
    <w:rsid w:val="67486190"/>
    <w:rsid w:val="674A6CAF"/>
    <w:rsid w:val="676034DA"/>
    <w:rsid w:val="67694A84"/>
    <w:rsid w:val="67784F2E"/>
    <w:rsid w:val="678A67A9"/>
    <w:rsid w:val="678F1925"/>
    <w:rsid w:val="67942577"/>
    <w:rsid w:val="67A92539"/>
    <w:rsid w:val="67C31BF5"/>
    <w:rsid w:val="67CA4EF1"/>
    <w:rsid w:val="67DF6AF4"/>
    <w:rsid w:val="67E20393"/>
    <w:rsid w:val="67F76A7E"/>
    <w:rsid w:val="67F86871"/>
    <w:rsid w:val="681D13CB"/>
    <w:rsid w:val="684352D5"/>
    <w:rsid w:val="684D1CB0"/>
    <w:rsid w:val="686F7E78"/>
    <w:rsid w:val="687E455F"/>
    <w:rsid w:val="687E630D"/>
    <w:rsid w:val="688B0A2A"/>
    <w:rsid w:val="68A5389A"/>
    <w:rsid w:val="68AF3CA2"/>
    <w:rsid w:val="68BB130F"/>
    <w:rsid w:val="68CB0E27"/>
    <w:rsid w:val="68CC560D"/>
    <w:rsid w:val="68E97265"/>
    <w:rsid w:val="68EF0FB9"/>
    <w:rsid w:val="691105D4"/>
    <w:rsid w:val="691668C0"/>
    <w:rsid w:val="691E189E"/>
    <w:rsid w:val="692635EB"/>
    <w:rsid w:val="69342E70"/>
    <w:rsid w:val="693B41FE"/>
    <w:rsid w:val="6951757E"/>
    <w:rsid w:val="69561384"/>
    <w:rsid w:val="69775165"/>
    <w:rsid w:val="69807E63"/>
    <w:rsid w:val="699F02F4"/>
    <w:rsid w:val="69B230A2"/>
    <w:rsid w:val="69CB3977"/>
    <w:rsid w:val="69DA3A17"/>
    <w:rsid w:val="69E2224C"/>
    <w:rsid w:val="69F819AA"/>
    <w:rsid w:val="6A136F29"/>
    <w:rsid w:val="6A187723"/>
    <w:rsid w:val="6A1D1B56"/>
    <w:rsid w:val="6A1D2B18"/>
    <w:rsid w:val="6A3B3FBC"/>
    <w:rsid w:val="6A595414"/>
    <w:rsid w:val="6A5A4A67"/>
    <w:rsid w:val="6A6E7FF3"/>
    <w:rsid w:val="6A700C09"/>
    <w:rsid w:val="6A82630A"/>
    <w:rsid w:val="6A8E3BBF"/>
    <w:rsid w:val="6AA67D9D"/>
    <w:rsid w:val="6AAD6A36"/>
    <w:rsid w:val="6AC57AA5"/>
    <w:rsid w:val="6ADD3291"/>
    <w:rsid w:val="6AE66C85"/>
    <w:rsid w:val="6B0A70A4"/>
    <w:rsid w:val="6B2946EC"/>
    <w:rsid w:val="6B3B6738"/>
    <w:rsid w:val="6B3D24B0"/>
    <w:rsid w:val="6B685053"/>
    <w:rsid w:val="6B7F4739"/>
    <w:rsid w:val="6B8A4FC9"/>
    <w:rsid w:val="6B9A5FD4"/>
    <w:rsid w:val="6BA75B7B"/>
    <w:rsid w:val="6BD36970"/>
    <w:rsid w:val="6C042FCD"/>
    <w:rsid w:val="6C20148A"/>
    <w:rsid w:val="6C44786E"/>
    <w:rsid w:val="6C9431CC"/>
    <w:rsid w:val="6CAB1AEE"/>
    <w:rsid w:val="6CAE2F39"/>
    <w:rsid w:val="6CAF10DA"/>
    <w:rsid w:val="6CB513FE"/>
    <w:rsid w:val="6CCC150D"/>
    <w:rsid w:val="6CDA06B8"/>
    <w:rsid w:val="6CEA2E79"/>
    <w:rsid w:val="6D0715F8"/>
    <w:rsid w:val="6D30394E"/>
    <w:rsid w:val="6D426B56"/>
    <w:rsid w:val="6D505108"/>
    <w:rsid w:val="6D77297F"/>
    <w:rsid w:val="6D8238F3"/>
    <w:rsid w:val="6D8617C0"/>
    <w:rsid w:val="6D920165"/>
    <w:rsid w:val="6DBB5AC1"/>
    <w:rsid w:val="6DCF4F15"/>
    <w:rsid w:val="6E0468F3"/>
    <w:rsid w:val="6E0F7A08"/>
    <w:rsid w:val="6E38263C"/>
    <w:rsid w:val="6E526272"/>
    <w:rsid w:val="6E573B2B"/>
    <w:rsid w:val="6E8E51F3"/>
    <w:rsid w:val="6E94481B"/>
    <w:rsid w:val="6EA2373C"/>
    <w:rsid w:val="6EDF387E"/>
    <w:rsid w:val="6F0357BE"/>
    <w:rsid w:val="6F0B01CF"/>
    <w:rsid w:val="6F241291"/>
    <w:rsid w:val="6F4066AD"/>
    <w:rsid w:val="6F4A1C6F"/>
    <w:rsid w:val="6F573660"/>
    <w:rsid w:val="6F6955AC"/>
    <w:rsid w:val="6F6F075E"/>
    <w:rsid w:val="6F7658CB"/>
    <w:rsid w:val="6F976FBE"/>
    <w:rsid w:val="6FA359EB"/>
    <w:rsid w:val="6FA6381A"/>
    <w:rsid w:val="6FB42615"/>
    <w:rsid w:val="6FC36CFC"/>
    <w:rsid w:val="6FCA63E4"/>
    <w:rsid w:val="6FD26F3F"/>
    <w:rsid w:val="6FF218DD"/>
    <w:rsid w:val="6FF42BE0"/>
    <w:rsid w:val="6FFC41AF"/>
    <w:rsid w:val="6FFF339E"/>
    <w:rsid w:val="700C0A1A"/>
    <w:rsid w:val="70187191"/>
    <w:rsid w:val="701C11C4"/>
    <w:rsid w:val="704C4F43"/>
    <w:rsid w:val="705A531C"/>
    <w:rsid w:val="705D4A5A"/>
    <w:rsid w:val="706804A2"/>
    <w:rsid w:val="706C2EEF"/>
    <w:rsid w:val="70761F1B"/>
    <w:rsid w:val="708C1ED2"/>
    <w:rsid w:val="708C49F2"/>
    <w:rsid w:val="70C44966"/>
    <w:rsid w:val="70CB230C"/>
    <w:rsid w:val="70E32593"/>
    <w:rsid w:val="70E801A2"/>
    <w:rsid w:val="7104581E"/>
    <w:rsid w:val="71132E62"/>
    <w:rsid w:val="711D41EA"/>
    <w:rsid w:val="71222297"/>
    <w:rsid w:val="71231438"/>
    <w:rsid w:val="714348B5"/>
    <w:rsid w:val="71504B10"/>
    <w:rsid w:val="71554590"/>
    <w:rsid w:val="715A0F06"/>
    <w:rsid w:val="715C38D8"/>
    <w:rsid w:val="715D01AD"/>
    <w:rsid w:val="716C2775"/>
    <w:rsid w:val="71747EF2"/>
    <w:rsid w:val="7175165A"/>
    <w:rsid w:val="719941B8"/>
    <w:rsid w:val="719E357C"/>
    <w:rsid w:val="71A87F57"/>
    <w:rsid w:val="71BD1788"/>
    <w:rsid w:val="71C50B09"/>
    <w:rsid w:val="71D445CE"/>
    <w:rsid w:val="71FB452B"/>
    <w:rsid w:val="722515A8"/>
    <w:rsid w:val="723979C9"/>
    <w:rsid w:val="72465471"/>
    <w:rsid w:val="725802BE"/>
    <w:rsid w:val="725E7ADD"/>
    <w:rsid w:val="72621308"/>
    <w:rsid w:val="727265AC"/>
    <w:rsid w:val="727B1B10"/>
    <w:rsid w:val="727D13E4"/>
    <w:rsid w:val="729C3F60"/>
    <w:rsid w:val="729D54E7"/>
    <w:rsid w:val="72A526E9"/>
    <w:rsid w:val="72D71070"/>
    <w:rsid w:val="72EC1039"/>
    <w:rsid w:val="72F13B80"/>
    <w:rsid w:val="72FF57F4"/>
    <w:rsid w:val="73004C2C"/>
    <w:rsid w:val="7304330F"/>
    <w:rsid w:val="73085A6A"/>
    <w:rsid w:val="732E5FCC"/>
    <w:rsid w:val="73337CF4"/>
    <w:rsid w:val="733817AF"/>
    <w:rsid w:val="73412411"/>
    <w:rsid w:val="73440778"/>
    <w:rsid w:val="734463A5"/>
    <w:rsid w:val="73520AC2"/>
    <w:rsid w:val="7358775B"/>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574FA"/>
    <w:rsid w:val="74566390"/>
    <w:rsid w:val="745E0F4B"/>
    <w:rsid w:val="74805D4F"/>
    <w:rsid w:val="749F595E"/>
    <w:rsid w:val="74AA2238"/>
    <w:rsid w:val="74DF0134"/>
    <w:rsid w:val="74F87650"/>
    <w:rsid w:val="75054390"/>
    <w:rsid w:val="75114065"/>
    <w:rsid w:val="751A5610"/>
    <w:rsid w:val="751A60D1"/>
    <w:rsid w:val="7539539D"/>
    <w:rsid w:val="754805A5"/>
    <w:rsid w:val="75695C4F"/>
    <w:rsid w:val="756E5EE8"/>
    <w:rsid w:val="757B0B57"/>
    <w:rsid w:val="759248B8"/>
    <w:rsid w:val="759C7DD3"/>
    <w:rsid w:val="75A153E9"/>
    <w:rsid w:val="75A2017C"/>
    <w:rsid w:val="75CB6E7D"/>
    <w:rsid w:val="75E32C67"/>
    <w:rsid w:val="75EA3234"/>
    <w:rsid w:val="75ED3231"/>
    <w:rsid w:val="75FC2C73"/>
    <w:rsid w:val="75FD5C4B"/>
    <w:rsid w:val="76047756"/>
    <w:rsid w:val="76155660"/>
    <w:rsid w:val="761B33ED"/>
    <w:rsid w:val="761E5D99"/>
    <w:rsid w:val="761F03BE"/>
    <w:rsid w:val="762B1157"/>
    <w:rsid w:val="76315A85"/>
    <w:rsid w:val="764A5A81"/>
    <w:rsid w:val="764C7A4B"/>
    <w:rsid w:val="765C2464"/>
    <w:rsid w:val="766111DA"/>
    <w:rsid w:val="76612DCA"/>
    <w:rsid w:val="766528BB"/>
    <w:rsid w:val="766E040B"/>
    <w:rsid w:val="767B20DE"/>
    <w:rsid w:val="767B7C93"/>
    <w:rsid w:val="768C42EB"/>
    <w:rsid w:val="7694586D"/>
    <w:rsid w:val="76B4739E"/>
    <w:rsid w:val="76C75323"/>
    <w:rsid w:val="76D1655C"/>
    <w:rsid w:val="76D25D41"/>
    <w:rsid w:val="76E666DE"/>
    <w:rsid w:val="76E72AA0"/>
    <w:rsid w:val="7701090C"/>
    <w:rsid w:val="771070B5"/>
    <w:rsid w:val="771A711A"/>
    <w:rsid w:val="771D4F43"/>
    <w:rsid w:val="772A600E"/>
    <w:rsid w:val="77336515"/>
    <w:rsid w:val="77362975"/>
    <w:rsid w:val="77422BFC"/>
    <w:rsid w:val="77444BC6"/>
    <w:rsid w:val="77577349"/>
    <w:rsid w:val="775972A4"/>
    <w:rsid w:val="775A6197"/>
    <w:rsid w:val="77634A70"/>
    <w:rsid w:val="776D7992"/>
    <w:rsid w:val="7772349F"/>
    <w:rsid w:val="777A3677"/>
    <w:rsid w:val="777C4360"/>
    <w:rsid w:val="778238FB"/>
    <w:rsid w:val="77955421"/>
    <w:rsid w:val="77A411C1"/>
    <w:rsid w:val="77B238DE"/>
    <w:rsid w:val="77C2798F"/>
    <w:rsid w:val="77DC6BAC"/>
    <w:rsid w:val="77F71C38"/>
    <w:rsid w:val="77F90661"/>
    <w:rsid w:val="7808174F"/>
    <w:rsid w:val="780D57F6"/>
    <w:rsid w:val="78106856"/>
    <w:rsid w:val="781E4FE7"/>
    <w:rsid w:val="783764D9"/>
    <w:rsid w:val="7840256B"/>
    <w:rsid w:val="7884096A"/>
    <w:rsid w:val="78850FF2"/>
    <w:rsid w:val="788E0A67"/>
    <w:rsid w:val="78924071"/>
    <w:rsid w:val="789524E8"/>
    <w:rsid w:val="78B611AB"/>
    <w:rsid w:val="78CA10FB"/>
    <w:rsid w:val="78E03E67"/>
    <w:rsid w:val="78E51A91"/>
    <w:rsid w:val="78EA52F9"/>
    <w:rsid w:val="78F06D68"/>
    <w:rsid w:val="78F55DA6"/>
    <w:rsid w:val="790E548B"/>
    <w:rsid w:val="79236E7C"/>
    <w:rsid w:val="792A1B99"/>
    <w:rsid w:val="793D1B4C"/>
    <w:rsid w:val="794013BD"/>
    <w:rsid w:val="796B1B89"/>
    <w:rsid w:val="797B008A"/>
    <w:rsid w:val="797B7D48"/>
    <w:rsid w:val="798516DF"/>
    <w:rsid w:val="798C015E"/>
    <w:rsid w:val="79921C19"/>
    <w:rsid w:val="799C4660"/>
    <w:rsid w:val="79A46F00"/>
    <w:rsid w:val="79C618C2"/>
    <w:rsid w:val="79D73ACF"/>
    <w:rsid w:val="79E46056"/>
    <w:rsid w:val="7A0C534E"/>
    <w:rsid w:val="7A222CE3"/>
    <w:rsid w:val="7A247526"/>
    <w:rsid w:val="7A49604F"/>
    <w:rsid w:val="7A735C4D"/>
    <w:rsid w:val="7A8C2B0C"/>
    <w:rsid w:val="7A8E7C8A"/>
    <w:rsid w:val="7A9F01F0"/>
    <w:rsid w:val="7AAA6765"/>
    <w:rsid w:val="7ABB7B5C"/>
    <w:rsid w:val="7AD87AFF"/>
    <w:rsid w:val="7B0152A5"/>
    <w:rsid w:val="7B02692A"/>
    <w:rsid w:val="7B112B38"/>
    <w:rsid w:val="7B2A5E81"/>
    <w:rsid w:val="7B2C7E4B"/>
    <w:rsid w:val="7B2F16E9"/>
    <w:rsid w:val="7B7567C0"/>
    <w:rsid w:val="7B7B66DC"/>
    <w:rsid w:val="7B7D2454"/>
    <w:rsid w:val="7B845591"/>
    <w:rsid w:val="7B9072BC"/>
    <w:rsid w:val="7B944A08"/>
    <w:rsid w:val="7B960850"/>
    <w:rsid w:val="7B9F57C7"/>
    <w:rsid w:val="7BC45E69"/>
    <w:rsid w:val="7BF97C74"/>
    <w:rsid w:val="7C1245E3"/>
    <w:rsid w:val="7C19584E"/>
    <w:rsid w:val="7C266648"/>
    <w:rsid w:val="7C2823C0"/>
    <w:rsid w:val="7C354382"/>
    <w:rsid w:val="7C563402"/>
    <w:rsid w:val="7C5E2286"/>
    <w:rsid w:val="7C686C61"/>
    <w:rsid w:val="7C765D1B"/>
    <w:rsid w:val="7C7B659E"/>
    <w:rsid w:val="7C7E0232"/>
    <w:rsid w:val="7C831CEC"/>
    <w:rsid w:val="7C9712F4"/>
    <w:rsid w:val="7C9B0FDB"/>
    <w:rsid w:val="7CBA4D6C"/>
    <w:rsid w:val="7CC85951"/>
    <w:rsid w:val="7CCC5441"/>
    <w:rsid w:val="7CD23C7F"/>
    <w:rsid w:val="7CD24BAE"/>
    <w:rsid w:val="7CE56503"/>
    <w:rsid w:val="7D033147"/>
    <w:rsid w:val="7D1066E2"/>
    <w:rsid w:val="7D1B3CD3"/>
    <w:rsid w:val="7D227CB6"/>
    <w:rsid w:val="7D2E2566"/>
    <w:rsid w:val="7D300C5A"/>
    <w:rsid w:val="7D40198C"/>
    <w:rsid w:val="7D4C0330"/>
    <w:rsid w:val="7D811B7B"/>
    <w:rsid w:val="7D836171"/>
    <w:rsid w:val="7DAB2803"/>
    <w:rsid w:val="7DBA0B43"/>
    <w:rsid w:val="7DF47503"/>
    <w:rsid w:val="7E186464"/>
    <w:rsid w:val="7E3E4800"/>
    <w:rsid w:val="7E696CC0"/>
    <w:rsid w:val="7E7B41B8"/>
    <w:rsid w:val="7E7F0292"/>
    <w:rsid w:val="7E835AFC"/>
    <w:rsid w:val="7E851714"/>
    <w:rsid w:val="7E88060D"/>
    <w:rsid w:val="7E966D9F"/>
    <w:rsid w:val="7EA45F4A"/>
    <w:rsid w:val="7EBA4F0B"/>
    <w:rsid w:val="7ECA197C"/>
    <w:rsid w:val="7ED26AAB"/>
    <w:rsid w:val="7EDF79CA"/>
    <w:rsid w:val="7EE02B0F"/>
    <w:rsid w:val="7EF16259"/>
    <w:rsid w:val="7EF163A6"/>
    <w:rsid w:val="7EFD72F6"/>
    <w:rsid w:val="7EFE1AFE"/>
    <w:rsid w:val="7F0D7FB9"/>
    <w:rsid w:val="7F2B0D53"/>
    <w:rsid w:val="7F4E65E2"/>
    <w:rsid w:val="7F6A7194"/>
    <w:rsid w:val="7F714152"/>
    <w:rsid w:val="7F7F5D50"/>
    <w:rsid w:val="7F9A5B2F"/>
    <w:rsid w:val="7FA0125F"/>
    <w:rsid w:val="7FA043A1"/>
    <w:rsid w:val="7FAD4202"/>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62</Pages>
  <Words>746</Words>
  <Characters>770</Characters>
  <Lines>1</Lines>
  <Paragraphs>1</Paragraphs>
  <TotalTime>6</TotalTime>
  <ScaleCrop>false</ScaleCrop>
  <LinksUpToDate>false</LinksUpToDate>
  <CharactersWithSpaces>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2025-04-08T01:40:00Z</cp:lastPrinted>
  <dcterms:modified xsi:type="dcterms:W3CDTF">2025-09-24T01:43:45Z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83B591E1ADE847D985EA51722A616803_13</vt:lpwstr>
  </property>
  <property fmtid="{D5CDD505-2E9C-101B-9397-08002B2CF9AE}" pid="4" name="commondata">
    <vt:lpwstr>eyJoZGlkIjoiZDJiMzdlZTkyZWRmN2IzYzY2ZmI2ZTBlN2MyMWRiOWEifQ==</vt:lpwstr>
  </property>
  <property fmtid="{D5CDD505-2E9C-101B-9397-08002B2CF9AE}" pid="5" name="KSOTemplateDocerSaveRecord">
    <vt:lpwstr>eyJoZGlkIjoiZjcwNmJmNjFjYjZjMzQ4ZDEzNjZhN2UwYjUyMjgwNDgiLCJ1c2VySWQiOiIzMjYyOTIwOTcifQ==</vt:lpwstr>
  </property>
</Properties>
</file>