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_GB2312" w:hAnsi="仿宋_GB2312" w:eastAsia="仿宋_GB2312" w:cs="仿宋_GB2312"/>
          <w:color w:val="000000" w:themeColor="text1"/>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14:textFill>
            <w14:solidFill>
              <w14:schemeClr w14:val="tx1"/>
            </w14:solidFill>
          </w14:textFill>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-234950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8"/>
                    <a:stretch>
                      <a:fillRect/>
                    </a:stretch>
                  </pic:blipFill>
                  <pic:spPr>
                    <a:xfrm>
                      <a:off x="0" y="0"/>
                      <a:ext cx="4288790" cy="690245"/>
                    </a:xfrm>
                    <a:prstGeom prst="rect">
                      <a:avLst/>
                    </a:prstGeom>
                    <a:noFill/>
                    <a:ln>
                      <a:noFill/>
                    </a:ln>
                  </pic:spPr>
                </pic:pic>
              </a:graphicData>
            </a:graphic>
          </wp:anchor>
        </w:drawing>
      </w:r>
    </w:p>
    <w:p>
      <w:pPr>
        <w:jc w:val="both"/>
        <w:rPr>
          <w:rFonts w:hint="eastAsia" w:ascii="仿宋_GB2312" w:hAnsi="仿宋_GB2312" w:eastAsia="仿宋_GB2312" w:cs="仿宋_GB2312"/>
          <w:color w:val="000000" w:themeColor="text1"/>
          <w:highlight w:val="none"/>
          <w:lang w:val="en-US" w:eastAsia="zh-CN"/>
          <w14:textFill>
            <w14:solidFill>
              <w14:schemeClr w14:val="tx1"/>
            </w14:solidFill>
          </w14:textFill>
        </w:rPr>
      </w:pPr>
    </w:p>
    <w:p>
      <w:pPr>
        <w:jc w:val="both"/>
        <w:rPr>
          <w:rFonts w:hint="eastAsia" w:ascii="仿宋_GB2312" w:hAnsi="仿宋_GB2312" w:eastAsia="仿宋_GB2312" w:cs="仿宋_GB2312"/>
          <w:color w:val="000000" w:themeColor="text1"/>
          <w:highlight w:val="none"/>
          <w:lang w:val="en-US" w:eastAsia="zh-CN"/>
          <w14:textFill>
            <w14:solidFill>
              <w14:schemeClr w14:val="tx1"/>
            </w14:solidFill>
          </w14:textFill>
        </w:rPr>
      </w:pPr>
    </w:p>
    <w:p>
      <w:pPr>
        <w:ind w:firstLine="6746" w:firstLineChars="2100"/>
        <w:rPr>
          <w:rFonts w:hint="default" w:eastAsia="宋体"/>
          <w:b/>
          <w:bCs/>
          <w:color w:val="000000" w:themeColor="text1"/>
          <w:sz w:val="32"/>
          <w:szCs w:val="32"/>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_GB2312" w:hAnsi="仿宋_GB2312" w:eastAsia="仿宋_GB2312" w:cs="仿宋_GB2312"/>
          <w:b/>
          <w:bCs w:val="0"/>
          <w:color w:val="000000" w:themeColor="text1"/>
          <w:sz w:val="52"/>
          <w:szCs w:val="52"/>
          <w:highlight w:val="none"/>
          <w:u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仿宋_GB2312" w:hAnsi="仿宋_GB2312" w:eastAsia="仿宋_GB2312" w:cs="仿宋_GB2312"/>
          <w:b/>
          <w:color w:val="000000" w:themeColor="text1"/>
          <w:sz w:val="52"/>
          <w:szCs w:val="52"/>
          <w:highlight w:val="none"/>
          <w:lang w:val="en-US"/>
          <w14:textFill>
            <w14:solidFill>
              <w14:schemeClr w14:val="tx1"/>
            </w14:solidFill>
          </w14:textFill>
        </w:rPr>
      </w:pPr>
      <w:r>
        <w:rPr>
          <w:rFonts w:hint="eastAsia" w:ascii="仿宋_GB2312" w:hAnsi="仿宋_GB2312" w:eastAsia="仿宋_GB2312" w:cs="仿宋_GB2312"/>
          <w:b/>
          <w:color w:val="000000" w:themeColor="text1"/>
          <w:sz w:val="52"/>
          <w:szCs w:val="52"/>
          <w:highlight w:val="none"/>
          <w:u w:val="single"/>
          <w:lang w:val="en-US" w:eastAsia="zh-CN"/>
          <w14:textFill>
            <w14:solidFill>
              <w14:schemeClr w14:val="tx1"/>
            </w14:solidFill>
          </w14:textFill>
        </w:rPr>
        <w:t>常平环保专业基地A1-04地块电子工业项目</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仿宋_GB2312" w:hAnsi="仿宋_GB2312" w:eastAsia="仿宋_GB2312" w:cs="仿宋_GB2312"/>
          <w:b/>
          <w:color w:val="000000" w:themeColor="text1"/>
          <w:sz w:val="52"/>
          <w:szCs w:val="52"/>
          <w:highlight w:val="none"/>
          <w:lang w:val="en-US" w:eastAsia="zh-CN"/>
          <w14:textFill>
            <w14:solidFill>
              <w14:schemeClr w14:val="tx1"/>
            </w14:solidFill>
          </w14:textFill>
        </w:rPr>
      </w:pPr>
      <w:r>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t xml:space="preserve">防  </w:t>
      </w:r>
      <w:bookmarkStart w:id="83" w:name="_GoBack"/>
      <w:bookmarkEnd w:id="83"/>
      <w:r>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t>水</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pPr>
      <w:r>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t>工</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pPr>
      <w:r>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t>程</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pPr>
      <w:r>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t>施</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pPr>
      <w:r>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t>工</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pPr>
      <w:r>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t>合</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_GB2312" w:hAnsi="仿宋_GB2312" w:eastAsia="仿宋_GB2312" w:cs="仿宋_GB2312"/>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color w:val="000000" w:themeColor="text1"/>
          <w:sz w:val="52"/>
          <w:szCs w:val="52"/>
          <w:highlight w:val="none"/>
          <w:lang w:val="en-US" w:eastAsia="zh-CN"/>
          <w14:textFill>
            <w14:solidFill>
              <w14:schemeClr w14:val="tx1"/>
            </w14:solidFill>
          </w14:textFill>
        </w:rPr>
        <w:t>同</w:t>
      </w:r>
    </w:p>
    <w:p>
      <w:pPr>
        <w:jc w:val="both"/>
        <w:rPr>
          <w:rFonts w:hint="eastAsia" w:ascii="仿宋_GB2312" w:hAnsi="仿宋_GB2312" w:eastAsia="仿宋_GB2312" w:cs="仿宋_GB2312"/>
          <w:color w:val="000000" w:themeColor="text1"/>
          <w:highlight w:val="none"/>
          <w:lang w:val="en-US" w:eastAsia="zh-CN"/>
          <w14:textFill>
            <w14:solidFill>
              <w14:schemeClr w14:val="tx1"/>
            </w14:solidFill>
          </w14:textFill>
        </w:rPr>
      </w:pPr>
    </w:p>
    <w:p>
      <w:pPr>
        <w:jc w:val="both"/>
        <w:rPr>
          <w:rFonts w:hint="eastAsia" w:ascii="仿宋_GB2312" w:hAnsi="仿宋_GB2312" w:eastAsia="仿宋_GB2312" w:cs="仿宋_GB2312"/>
          <w:color w:val="000000" w:themeColor="text1"/>
          <w:highlight w:val="none"/>
          <w:lang w:val="en-US" w:eastAsia="zh-CN"/>
          <w14:textFill>
            <w14:solidFill>
              <w14:schemeClr w14:val="tx1"/>
            </w14:solidFill>
          </w14:textFill>
        </w:rPr>
      </w:pPr>
    </w:p>
    <w:p>
      <w:pPr>
        <w:jc w:val="both"/>
        <w:rPr>
          <w:rFonts w:hint="eastAsia" w:ascii="仿宋_GB2312" w:hAnsi="仿宋_GB2312" w:eastAsia="仿宋_GB2312" w:cs="仿宋_GB2312"/>
          <w:color w:val="000000" w:themeColor="text1"/>
          <w:highlight w:val="none"/>
          <w:lang w:val="en-US" w:eastAsia="zh-CN"/>
          <w14:textFill>
            <w14:solidFill>
              <w14:schemeClr w14:val="tx1"/>
            </w14:solidFill>
          </w14:textFill>
        </w:rPr>
      </w:pPr>
    </w:p>
    <w:p>
      <w:pPr>
        <w:jc w:val="both"/>
        <w:rPr>
          <w:rFonts w:hint="eastAsia" w:ascii="仿宋_GB2312" w:hAnsi="仿宋_GB2312" w:eastAsia="仿宋_GB2312" w:cs="仿宋_GB2312"/>
          <w:color w:val="000000" w:themeColor="text1"/>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default" w:ascii="仿宋_GB2312" w:hAnsi="仿宋_GB2312" w:eastAsia="仿宋_GB2312" w:cs="仿宋_GB2312"/>
          <w:b w:val="0"/>
          <w:bCs w:val="0"/>
          <w:color w:val="000000" w:themeColor="text1"/>
          <w:sz w:val="28"/>
          <w:szCs w:val="28"/>
          <w:highlight w:val="none"/>
          <w:u w:val="singl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8"/>
          <w:szCs w:val="28"/>
          <w:highlight w:val="none"/>
          <w:lang w:val="en-US" w:eastAsia="zh-CN"/>
          <w14:textFill>
            <w14:solidFill>
              <w14:schemeClr w14:val="tx1"/>
            </w14:solidFill>
          </w14:textFill>
        </w:rPr>
        <w:t xml:space="preserve">合同编号：  </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_GB2312" w:hAnsi="仿宋_GB2312" w:eastAsia="仿宋_GB2312" w:cs="仿宋_GB2312"/>
          <w:b w:val="0"/>
          <w:bCs w:val="0"/>
          <w:color w:val="000000" w:themeColor="text1"/>
          <w:sz w:val="28"/>
          <w:szCs w:val="28"/>
          <w:highlight w:val="none"/>
          <w:u w:val="singl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8"/>
          <w:szCs w:val="28"/>
          <w:highlight w:val="none"/>
          <w:lang w:val="en-US" w:eastAsia="zh-CN"/>
          <w14:textFill>
            <w14:solidFill>
              <w14:schemeClr w14:val="tx1"/>
            </w14:solidFill>
          </w14:textFill>
        </w:rPr>
        <w:t>甲方（</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发包</w:t>
      </w:r>
      <w:r>
        <w:rPr>
          <w:rFonts w:hint="eastAsia" w:ascii="仿宋_GB2312" w:hAnsi="仿宋_GB2312" w:eastAsia="仿宋_GB2312" w:cs="仿宋_GB2312"/>
          <w:b w:val="0"/>
          <w:bCs w:val="0"/>
          <w:color w:val="000000" w:themeColor="text1"/>
          <w:sz w:val="28"/>
          <w:szCs w:val="28"/>
          <w:highlight w:val="none"/>
          <w:lang w:val="en-US" w:eastAsia="zh-CN"/>
          <w14:textFill>
            <w14:solidFill>
              <w14:schemeClr w14:val="tx1"/>
            </w14:solidFill>
          </w14:textFill>
        </w:rPr>
        <w:t>方）：东莞市中泰建安工程有限公司</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_GB2312" w:hAnsi="仿宋_GB2312" w:eastAsia="仿宋_GB2312" w:cs="仿宋_GB2312"/>
          <w:b w:val="0"/>
          <w:bCs w:val="0"/>
          <w:color w:val="000000" w:themeColor="text1"/>
          <w:sz w:val="28"/>
          <w:szCs w:val="28"/>
          <w:highlight w:val="none"/>
          <w:u w:val="singl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8"/>
          <w:szCs w:val="28"/>
          <w:highlight w:val="none"/>
          <w:lang w:val="en-US" w:eastAsia="zh-CN"/>
          <w14:textFill>
            <w14:solidFill>
              <w14:schemeClr w14:val="tx1"/>
            </w14:solidFill>
          </w14:textFill>
        </w:rPr>
        <w:t>乙方（承包方）：</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_GB2312" w:hAnsi="仿宋_GB2312" w:eastAsia="仿宋_GB2312" w:cs="仿宋_GB2312"/>
          <w:b w:val="0"/>
          <w:b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8"/>
          <w:szCs w:val="28"/>
          <w:highlight w:val="none"/>
          <w:u w:val="none"/>
          <w:lang w:val="en-US" w:eastAsia="zh-CN"/>
          <w14:textFill>
            <w14:solidFill>
              <w14:schemeClr w14:val="tx1"/>
            </w14:solidFill>
          </w14:textFill>
        </w:rPr>
        <w:t>签订日期：202</w:t>
      </w:r>
      <w:r>
        <w:rPr>
          <w:rFonts w:hint="eastAsia" w:ascii="仿宋_GB2312" w:hAnsi="仿宋_GB2312" w:eastAsia="仿宋_GB2312" w:cs="仿宋_GB2312"/>
          <w:b w:val="0"/>
          <w:bCs w:val="0"/>
          <w:color w:val="000000" w:themeColor="text1"/>
          <w:sz w:val="28"/>
          <w:szCs w:val="28"/>
          <w:highlight w:val="none"/>
          <w:u w:val="single"/>
          <w:lang w:val="en-US" w:eastAsia="zh-CN"/>
          <w14:textFill>
            <w14:solidFill>
              <w14:schemeClr w14:val="tx1"/>
            </w14:solidFill>
          </w14:textFill>
        </w:rPr>
        <w:t xml:space="preserve"> 3 </w:t>
      </w:r>
      <w:r>
        <w:rPr>
          <w:rFonts w:hint="eastAsia" w:ascii="仿宋_GB2312" w:hAnsi="仿宋_GB2312" w:eastAsia="仿宋_GB2312" w:cs="仿宋_GB2312"/>
          <w:b w:val="0"/>
          <w:bCs w:val="0"/>
          <w:color w:val="000000" w:themeColor="text1"/>
          <w:sz w:val="28"/>
          <w:szCs w:val="28"/>
          <w:highlight w:val="none"/>
          <w:u w:val="none"/>
          <w:lang w:val="en-US" w:eastAsia="zh-CN"/>
          <w14:textFill>
            <w14:solidFill>
              <w14:schemeClr w14:val="tx1"/>
            </w14:solidFill>
          </w14:textFill>
        </w:rPr>
        <w:t>年</w:t>
      </w:r>
      <w:r>
        <w:rPr>
          <w:rFonts w:hint="eastAsia" w:ascii="仿宋_GB2312" w:hAnsi="仿宋_GB2312" w:eastAsia="仿宋_GB2312" w:cs="仿宋_GB2312"/>
          <w:b w:val="0"/>
          <w:bCs w:val="0"/>
          <w:color w:val="000000" w:themeColor="text1"/>
          <w:sz w:val="28"/>
          <w:szCs w:val="28"/>
          <w:highlight w:val="none"/>
          <w:u w:val="single"/>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28"/>
          <w:szCs w:val="28"/>
          <w:highlight w:val="none"/>
          <w:u w:val="none"/>
          <w:lang w:val="en-US" w:eastAsia="zh-CN"/>
          <w14:textFill>
            <w14:solidFill>
              <w14:schemeClr w14:val="tx1"/>
            </w14:solidFill>
          </w14:textFill>
        </w:rPr>
        <w:t>月</w:t>
      </w:r>
      <w:r>
        <w:rPr>
          <w:rFonts w:hint="eastAsia" w:ascii="仿宋_GB2312" w:hAnsi="仿宋_GB2312" w:eastAsia="仿宋_GB2312" w:cs="仿宋_GB2312"/>
          <w:b w:val="0"/>
          <w:bCs w:val="0"/>
          <w:color w:val="000000" w:themeColor="text1"/>
          <w:sz w:val="28"/>
          <w:szCs w:val="28"/>
          <w:highlight w:val="none"/>
          <w:u w:val="single"/>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28"/>
          <w:szCs w:val="28"/>
          <w:highlight w:val="none"/>
          <w:u w:val="none"/>
          <w:lang w:val="en-US" w:eastAsia="zh-CN"/>
          <w14:textFill>
            <w14:solidFill>
              <w14:schemeClr w14:val="tx1"/>
            </w14:solidFill>
          </w14:textFill>
        </w:rPr>
        <w:t>日</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_GB2312" w:hAnsi="仿宋_GB2312" w:eastAsia="仿宋_GB2312" w:cs="仿宋_GB2312"/>
          <w:b/>
          <w:bCs/>
          <w:color w:val="000000" w:themeColor="text1"/>
          <w:kern w:val="2"/>
          <w:sz w:val="32"/>
          <w:szCs w:val="32"/>
          <w:highlight w:val="none"/>
          <w:u w:val="none"/>
          <w:lang w:val="en-US" w:eastAsia="zh-CN" w:bidi="ar-SA"/>
          <w14:textFill>
            <w14:solidFill>
              <w14:schemeClr w14:val="tx1"/>
            </w14:solidFill>
          </w14:textFill>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_GB2312" w:hAnsi="仿宋_GB2312" w:eastAsia="仿宋_GB2312" w:cs="仿宋_GB2312"/>
          <w:b w:val="0"/>
          <w:bCs w:val="0"/>
          <w:color w:val="000000" w:themeColor="text1"/>
          <w:sz w:val="28"/>
          <w:szCs w:val="28"/>
          <w:highlight w:val="none"/>
          <w:u w:val="none"/>
          <w:lang w:val="en-US" w:eastAsia="zh-CN"/>
          <w14:textFill>
            <w14:solidFill>
              <w14:schemeClr w14:val="tx1"/>
            </w14:solidFill>
          </w14:textFill>
        </w:rPr>
        <w:t>签订地点：广东东莞南城。</w:t>
      </w:r>
    </w:p>
    <w:sdt>
      <w:sdtPr>
        <w:rPr>
          <w:rFonts w:hint="eastAsia" w:ascii="仿宋_GB2312" w:hAnsi="仿宋_GB2312" w:eastAsia="仿宋_GB2312" w:cs="仿宋_GB2312"/>
          <w:b/>
          <w:bCs/>
          <w:i w:val="0"/>
          <w:iCs w:val="0"/>
          <w:color w:val="000000" w:themeColor="text1"/>
          <w:kern w:val="2"/>
          <w:sz w:val="21"/>
          <w:szCs w:val="22"/>
          <w:highlight w:val="none"/>
          <w:lang w:val="en-US" w:eastAsia="zh-CN" w:bidi="ar-SA"/>
          <w14:textFill>
            <w14:solidFill>
              <w14:schemeClr w14:val="tx1"/>
            </w14:solidFill>
          </w14:textFill>
        </w:rPr>
        <w:id w:val="147469943"/>
        <w15:color w:val="DBDBDB"/>
        <w:docPartObj>
          <w:docPartGallery w:val="Table of Contents"/>
          <w:docPartUnique/>
        </w:docPartObj>
      </w:sdtPr>
      <w:sdtEndPr>
        <w:rPr>
          <w:rFonts w:hint="eastAsia" w:ascii="仿宋_GB2312" w:hAnsi="仿宋_GB2312" w:eastAsia="仿宋_GB2312" w:cs="仿宋_GB2312"/>
          <w:b/>
          <w:bCs w:val="0"/>
          <w:i w:val="0"/>
          <w:iCs w:val="0"/>
          <w:color w:val="000000" w:themeColor="text1"/>
          <w:kern w:val="0"/>
          <w:sz w:val="24"/>
          <w:szCs w:val="24"/>
          <w:highlight w:val="none"/>
          <w:lang w:val="en-US" w:eastAsia="zh-CN" w:bidi="ar-SA"/>
          <w14:textFill>
            <w14:solidFill>
              <w14:schemeClr w14:val="tx1"/>
            </w14:solidFill>
          </w14:textFill>
        </w:rPr>
      </w:sdtEndPr>
      <w:sdtContent>
        <w:p>
          <w:pPr>
            <w:spacing w:before="0" w:beforeLines="0" w:after="0" w:afterLines="0" w:line="240" w:lineRule="auto"/>
            <w:ind w:left="-619" w:leftChars="-295" w:right="-735" w:rightChars="-350" w:firstLine="0" w:firstLineChars="0"/>
            <w:jc w:val="center"/>
            <w:rPr>
              <w:rFonts w:hint="eastAsia" w:ascii="仿宋_GB2312" w:hAnsi="仿宋_GB2312" w:eastAsia="仿宋_GB2312" w:cs="仿宋_GB2312"/>
              <w:b/>
              <w:bCs/>
              <w:i w:val="0"/>
              <w:iCs w:val="0"/>
              <w:color w:val="000000" w:themeColor="text1"/>
              <w:kern w:val="2"/>
              <w:sz w:val="21"/>
              <w:szCs w:val="22"/>
              <w:highlight w:val="none"/>
              <w:lang w:val="en-US" w:eastAsia="zh-CN" w:bidi="ar-SA"/>
              <w14:textFill>
                <w14:solidFill>
                  <w14:schemeClr w14:val="tx1"/>
                </w14:solidFill>
              </w14:textFill>
            </w:rPr>
          </w:pPr>
        </w:p>
        <w:p>
          <w:pPr>
            <w:spacing w:before="0" w:beforeLines="0" w:after="0" w:afterLines="0" w:line="240" w:lineRule="auto"/>
            <w:ind w:left="-619" w:leftChars="-295" w:right="-735" w:rightChars="-350" w:firstLine="0" w:firstLineChars="0"/>
            <w:jc w:val="center"/>
            <w:rPr>
              <w:rFonts w:hint="eastAsia" w:ascii="仿宋_GB2312" w:hAnsi="仿宋_GB2312" w:eastAsia="仿宋_GB2312" w:cs="仿宋_GB2312"/>
              <w:b/>
              <w:bCs/>
              <w:i w:val="0"/>
              <w:iCs w:val="0"/>
              <w:color w:val="000000" w:themeColor="text1"/>
              <w:sz w:val="36"/>
              <w:szCs w:val="36"/>
              <w:highlight w:val="none"/>
              <w14:textFill>
                <w14:solidFill>
                  <w14:schemeClr w14:val="tx1"/>
                </w14:solidFill>
              </w14:textFill>
            </w:rPr>
          </w:pPr>
          <w:r>
            <w:rPr>
              <w:rFonts w:hint="eastAsia" w:ascii="仿宋_GB2312" w:hAnsi="仿宋_GB2312" w:eastAsia="仿宋_GB2312" w:cs="仿宋_GB2312"/>
              <w:b/>
              <w:bCs/>
              <w:i w:val="0"/>
              <w:iCs w:val="0"/>
              <w:color w:val="000000" w:themeColor="text1"/>
              <w:sz w:val="36"/>
              <w:szCs w:val="36"/>
              <w:highlight w:val="none"/>
              <w14:textFill>
                <w14:solidFill>
                  <w14:schemeClr w14:val="tx1"/>
                </w14:solidFill>
              </w14:textFill>
            </w:rPr>
            <w:t>目录</w:t>
          </w:r>
        </w:p>
        <w:p>
          <w:pPr>
            <w:pStyle w:val="8"/>
            <w:tabs>
              <w:tab w:val="right" w:leader="dot" w:pos="8504"/>
            </w:tabs>
            <w:rPr>
              <w:sz w:val="24"/>
              <w:szCs w:val="24"/>
            </w:rPr>
          </w:pPr>
          <w:r>
            <w:rPr>
              <w:rFonts w:hint="eastAsia" w:ascii="仿宋" w:hAnsi="仿宋" w:eastAsia="仿宋" w:cs="仿宋"/>
              <w:b/>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
              <w:bCs/>
              <w:i w:val="0"/>
              <w:iCs w:val="0"/>
              <w:color w:val="000000" w:themeColor="text1"/>
              <w:kern w:val="0"/>
              <w:sz w:val="24"/>
              <w:szCs w:val="24"/>
              <w:highlight w:val="none"/>
              <w14:textFill>
                <w14:solidFill>
                  <w14:schemeClr w14:val="tx1"/>
                </w14:solidFill>
              </w14:textFill>
            </w:rPr>
            <w:instrText xml:space="preserve">TOC \o "1-1" \h \u </w:instrText>
          </w:r>
          <w:r>
            <w:rPr>
              <w:rFonts w:hint="eastAsia" w:ascii="仿宋" w:hAnsi="仿宋" w:eastAsia="仿宋" w:cs="仿宋"/>
              <w:b/>
              <w:bCs/>
              <w:i w:val="0"/>
              <w:iCs w:val="0"/>
              <w:color w:val="000000" w:themeColor="text1"/>
              <w:kern w:val="0"/>
              <w:sz w:val="24"/>
              <w:szCs w:val="24"/>
              <w:highlight w:val="none"/>
              <w14:textFill>
                <w14:solidFill>
                  <w14:schemeClr w14:val="tx1"/>
                </w14:solidFill>
              </w14:textFill>
            </w:rPr>
            <w:fldChar w:fldCharType="separate"/>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_Toc22508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highlight w:val="none"/>
              <w:shd w:val="clear" w:color="auto" w:fill="auto"/>
              <w:lang w:val="en-US" w:eastAsia="zh-CN"/>
            </w:rPr>
            <w:t>第一章</w:t>
          </w:r>
          <w:r>
            <w:rPr>
              <w:rFonts w:hint="eastAsia" w:ascii="仿宋_GB2312" w:hAnsi="仿宋_GB2312" w:eastAsia="仿宋_GB2312" w:cs="仿宋_GB2312"/>
              <w:bCs/>
              <w:i w:val="0"/>
              <w:iCs w:val="0"/>
              <w:sz w:val="24"/>
              <w:szCs w:val="24"/>
              <w:highlight w:val="none"/>
              <w:shd w:val="clear" w:color="auto" w:fill="auto"/>
            </w:rPr>
            <w:t>、项目概况</w:t>
          </w:r>
          <w:r>
            <w:rPr>
              <w:sz w:val="24"/>
              <w:szCs w:val="24"/>
            </w:rPr>
            <w:tab/>
          </w:r>
          <w:r>
            <w:rPr>
              <w:sz w:val="24"/>
              <w:szCs w:val="24"/>
            </w:rPr>
            <w:fldChar w:fldCharType="begin"/>
          </w:r>
          <w:r>
            <w:rPr>
              <w:sz w:val="24"/>
              <w:szCs w:val="24"/>
            </w:rPr>
            <w:instrText xml:space="preserve"> PAGEREF _Toc22508 \h </w:instrText>
          </w:r>
          <w:r>
            <w:rPr>
              <w:sz w:val="24"/>
              <w:szCs w:val="24"/>
            </w:rPr>
            <w:fldChar w:fldCharType="separate"/>
          </w:r>
          <w:r>
            <w:rPr>
              <w:sz w:val="24"/>
              <w:szCs w:val="24"/>
            </w:rPr>
            <w:t>1</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_Toc8911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第二章、 </w:t>
          </w:r>
          <w:r>
            <w:rPr>
              <w:rFonts w:hint="eastAsia" w:ascii="仿宋_GB2312" w:hAnsi="仿宋_GB2312" w:eastAsia="仿宋_GB2312" w:cs="仿宋_GB2312"/>
              <w:bCs/>
              <w:i w:val="0"/>
              <w:iCs w:val="0"/>
              <w:sz w:val="24"/>
              <w:szCs w:val="24"/>
              <w:highlight w:val="none"/>
              <w:shd w:val="clear" w:color="auto" w:fill="auto"/>
              <w:lang w:val="en-US" w:eastAsia="zh-CN"/>
            </w:rPr>
            <w:t>承包方式</w:t>
          </w:r>
          <w:r>
            <w:rPr>
              <w:sz w:val="24"/>
              <w:szCs w:val="24"/>
            </w:rPr>
            <w:tab/>
          </w:r>
          <w:r>
            <w:rPr>
              <w:sz w:val="24"/>
              <w:szCs w:val="24"/>
            </w:rPr>
            <w:fldChar w:fldCharType="begin"/>
          </w:r>
          <w:r>
            <w:rPr>
              <w:sz w:val="24"/>
              <w:szCs w:val="24"/>
            </w:rPr>
            <w:instrText xml:space="preserve"> PAGEREF _Toc8911 \h </w:instrText>
          </w:r>
          <w:r>
            <w:rPr>
              <w:sz w:val="24"/>
              <w:szCs w:val="24"/>
            </w:rPr>
            <w:fldChar w:fldCharType="separate"/>
          </w:r>
          <w:r>
            <w:rPr>
              <w:sz w:val="24"/>
              <w:szCs w:val="24"/>
            </w:rPr>
            <w:t>1</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_Toc2307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第三章、 </w:t>
          </w:r>
          <w:r>
            <w:rPr>
              <w:rFonts w:hint="eastAsia" w:ascii="仿宋_GB2312" w:hAnsi="仿宋_GB2312" w:eastAsia="仿宋_GB2312" w:cs="仿宋_GB2312"/>
              <w:bCs/>
              <w:i w:val="0"/>
              <w:iCs w:val="0"/>
              <w:sz w:val="24"/>
              <w:szCs w:val="24"/>
              <w:highlight w:val="none"/>
              <w:shd w:val="clear" w:color="auto" w:fill="auto"/>
              <w:lang w:val="en-US" w:eastAsia="zh-CN"/>
            </w:rPr>
            <w:t>乙方承包范围及主要工程内容</w:t>
          </w:r>
          <w:r>
            <w:rPr>
              <w:sz w:val="24"/>
              <w:szCs w:val="24"/>
            </w:rPr>
            <w:tab/>
          </w:r>
          <w:r>
            <w:rPr>
              <w:sz w:val="24"/>
              <w:szCs w:val="24"/>
            </w:rPr>
            <w:fldChar w:fldCharType="begin"/>
          </w:r>
          <w:r>
            <w:rPr>
              <w:sz w:val="24"/>
              <w:szCs w:val="24"/>
            </w:rPr>
            <w:instrText xml:space="preserve"> PAGEREF _Toc2307 \h </w:instrText>
          </w:r>
          <w:r>
            <w:rPr>
              <w:sz w:val="24"/>
              <w:szCs w:val="24"/>
            </w:rPr>
            <w:fldChar w:fldCharType="separate"/>
          </w:r>
          <w:r>
            <w:rPr>
              <w:sz w:val="24"/>
              <w:szCs w:val="24"/>
            </w:rPr>
            <w:t>1</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_Toc9088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第四章、 </w:t>
          </w:r>
          <w:r>
            <w:rPr>
              <w:rFonts w:hint="eastAsia" w:ascii="仿宋_GB2312" w:hAnsi="仿宋_GB2312" w:eastAsia="仿宋_GB2312" w:cs="仿宋_GB2312"/>
              <w:bCs/>
              <w:i w:val="0"/>
              <w:iCs w:val="0"/>
              <w:sz w:val="24"/>
              <w:szCs w:val="24"/>
              <w:highlight w:val="none"/>
              <w:shd w:val="clear" w:color="auto" w:fill="auto"/>
              <w:lang w:val="en-US" w:eastAsia="zh-CN"/>
            </w:rPr>
            <w:t>工期</w:t>
          </w:r>
          <w:r>
            <w:rPr>
              <w:sz w:val="24"/>
              <w:szCs w:val="24"/>
            </w:rPr>
            <w:tab/>
          </w:r>
          <w:r>
            <w:rPr>
              <w:sz w:val="24"/>
              <w:szCs w:val="24"/>
            </w:rPr>
            <w:fldChar w:fldCharType="begin"/>
          </w:r>
          <w:r>
            <w:rPr>
              <w:sz w:val="24"/>
              <w:szCs w:val="24"/>
            </w:rPr>
            <w:instrText xml:space="preserve"> PAGEREF _Toc9088 \h </w:instrText>
          </w:r>
          <w:r>
            <w:rPr>
              <w:sz w:val="24"/>
              <w:szCs w:val="24"/>
            </w:rPr>
            <w:fldChar w:fldCharType="separate"/>
          </w:r>
          <w:r>
            <w:rPr>
              <w:sz w:val="24"/>
              <w:szCs w:val="24"/>
            </w:rPr>
            <w:t>3</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_Toc18346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第五章、 </w:t>
          </w:r>
          <w:r>
            <w:rPr>
              <w:rFonts w:hint="eastAsia" w:ascii="仿宋_GB2312" w:hAnsi="仿宋_GB2312" w:eastAsia="仿宋_GB2312" w:cs="仿宋_GB2312"/>
              <w:bCs/>
              <w:i w:val="0"/>
              <w:iCs w:val="0"/>
              <w:sz w:val="24"/>
              <w:szCs w:val="24"/>
              <w:highlight w:val="none"/>
              <w:shd w:val="clear" w:color="auto" w:fill="auto"/>
              <w:lang w:val="en-US" w:eastAsia="zh-CN"/>
            </w:rPr>
            <w:t>工程质量标准</w:t>
          </w:r>
          <w:r>
            <w:rPr>
              <w:sz w:val="24"/>
              <w:szCs w:val="24"/>
            </w:rPr>
            <w:tab/>
          </w:r>
          <w:r>
            <w:rPr>
              <w:sz w:val="24"/>
              <w:szCs w:val="24"/>
            </w:rPr>
            <w:fldChar w:fldCharType="begin"/>
          </w:r>
          <w:r>
            <w:rPr>
              <w:sz w:val="24"/>
              <w:szCs w:val="24"/>
            </w:rPr>
            <w:instrText xml:space="preserve"> PAGEREF _Toc18346 \h </w:instrText>
          </w:r>
          <w:r>
            <w:rPr>
              <w:sz w:val="24"/>
              <w:szCs w:val="24"/>
            </w:rPr>
            <w:fldChar w:fldCharType="separate"/>
          </w:r>
          <w:r>
            <w:rPr>
              <w:sz w:val="24"/>
              <w:szCs w:val="24"/>
            </w:rPr>
            <w:t>4</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_Toc12151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第六章、 </w:t>
          </w:r>
          <w:r>
            <w:rPr>
              <w:rFonts w:hint="eastAsia" w:ascii="仿宋_GB2312" w:hAnsi="仿宋_GB2312" w:eastAsia="仿宋_GB2312" w:cs="仿宋_GB2312"/>
              <w:bCs/>
              <w:i w:val="0"/>
              <w:iCs w:val="0"/>
              <w:sz w:val="24"/>
              <w:szCs w:val="24"/>
              <w:highlight w:val="none"/>
              <w:shd w:val="clear" w:color="auto" w:fill="auto"/>
              <w:lang w:val="en-US" w:eastAsia="zh-CN"/>
            </w:rPr>
            <w:t>合同价款</w:t>
          </w:r>
          <w:r>
            <w:rPr>
              <w:sz w:val="24"/>
              <w:szCs w:val="24"/>
            </w:rPr>
            <w:tab/>
          </w:r>
          <w:r>
            <w:rPr>
              <w:sz w:val="24"/>
              <w:szCs w:val="24"/>
            </w:rPr>
            <w:fldChar w:fldCharType="begin"/>
          </w:r>
          <w:r>
            <w:rPr>
              <w:sz w:val="24"/>
              <w:szCs w:val="24"/>
            </w:rPr>
            <w:instrText xml:space="preserve"> PAGEREF _Toc12151 \h </w:instrText>
          </w:r>
          <w:r>
            <w:rPr>
              <w:sz w:val="24"/>
              <w:szCs w:val="24"/>
            </w:rPr>
            <w:fldChar w:fldCharType="separate"/>
          </w:r>
          <w:r>
            <w:rPr>
              <w:sz w:val="24"/>
              <w:szCs w:val="24"/>
            </w:rPr>
            <w:t>6</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_Toc11681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第七章、 </w:t>
          </w:r>
          <w:r>
            <w:rPr>
              <w:rFonts w:hint="eastAsia" w:ascii="仿宋_GB2312" w:hAnsi="仿宋_GB2312" w:eastAsia="仿宋_GB2312" w:cs="仿宋_GB2312"/>
              <w:bCs/>
              <w:i w:val="0"/>
              <w:iCs w:val="0"/>
              <w:sz w:val="24"/>
              <w:szCs w:val="24"/>
              <w:highlight w:val="none"/>
              <w:shd w:val="clear" w:color="auto" w:fill="auto"/>
              <w:lang w:val="en-US" w:eastAsia="zh-CN"/>
            </w:rPr>
            <w:t>计量计价方式及结算方式</w:t>
          </w:r>
          <w:r>
            <w:rPr>
              <w:sz w:val="24"/>
              <w:szCs w:val="24"/>
            </w:rPr>
            <w:tab/>
          </w:r>
          <w:r>
            <w:rPr>
              <w:sz w:val="24"/>
              <w:szCs w:val="24"/>
            </w:rPr>
            <w:fldChar w:fldCharType="begin"/>
          </w:r>
          <w:r>
            <w:rPr>
              <w:sz w:val="24"/>
              <w:szCs w:val="24"/>
            </w:rPr>
            <w:instrText xml:space="preserve"> PAGEREF _Toc11681 \h </w:instrText>
          </w:r>
          <w:r>
            <w:rPr>
              <w:sz w:val="24"/>
              <w:szCs w:val="24"/>
            </w:rPr>
            <w:fldChar w:fldCharType="separate"/>
          </w:r>
          <w:r>
            <w:rPr>
              <w:sz w:val="24"/>
              <w:szCs w:val="24"/>
            </w:rPr>
            <w:t>9</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_Toc15133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第八章、 </w:t>
          </w:r>
          <w:r>
            <w:rPr>
              <w:rFonts w:hint="eastAsia" w:ascii="仿宋_GB2312" w:hAnsi="仿宋_GB2312" w:eastAsia="仿宋_GB2312" w:cs="仿宋_GB2312"/>
              <w:bCs/>
              <w:i w:val="0"/>
              <w:iCs w:val="0"/>
              <w:sz w:val="24"/>
              <w:szCs w:val="24"/>
              <w:highlight w:val="none"/>
              <w:shd w:val="clear" w:color="auto" w:fill="auto"/>
              <w:lang w:val="en-US" w:eastAsia="zh-CN"/>
            </w:rPr>
            <w:t>付款方式</w:t>
          </w:r>
          <w:r>
            <w:rPr>
              <w:sz w:val="24"/>
              <w:szCs w:val="24"/>
            </w:rPr>
            <w:tab/>
          </w:r>
          <w:r>
            <w:rPr>
              <w:sz w:val="24"/>
              <w:szCs w:val="24"/>
            </w:rPr>
            <w:fldChar w:fldCharType="begin"/>
          </w:r>
          <w:r>
            <w:rPr>
              <w:sz w:val="24"/>
              <w:szCs w:val="24"/>
            </w:rPr>
            <w:instrText xml:space="preserve"> PAGEREF _Toc15133 \h </w:instrText>
          </w:r>
          <w:r>
            <w:rPr>
              <w:sz w:val="24"/>
              <w:szCs w:val="24"/>
            </w:rPr>
            <w:fldChar w:fldCharType="separate"/>
          </w:r>
          <w:r>
            <w:rPr>
              <w:sz w:val="24"/>
              <w:szCs w:val="24"/>
            </w:rPr>
            <w:t>13</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_Toc16560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第九章、 </w:t>
          </w:r>
          <w:r>
            <w:rPr>
              <w:rFonts w:hint="eastAsia" w:ascii="仿宋_GB2312" w:hAnsi="仿宋_GB2312" w:eastAsia="仿宋_GB2312" w:cs="仿宋_GB2312"/>
              <w:bCs/>
              <w:i w:val="0"/>
              <w:iCs w:val="0"/>
              <w:sz w:val="24"/>
              <w:szCs w:val="24"/>
              <w:highlight w:val="none"/>
              <w:shd w:val="clear" w:color="auto" w:fill="auto"/>
              <w:lang w:val="en-US" w:eastAsia="zh-CN"/>
            </w:rPr>
            <w:t>双方责任和权利</w:t>
          </w:r>
          <w:r>
            <w:rPr>
              <w:sz w:val="24"/>
              <w:szCs w:val="24"/>
            </w:rPr>
            <w:tab/>
          </w:r>
          <w:r>
            <w:rPr>
              <w:sz w:val="24"/>
              <w:szCs w:val="24"/>
            </w:rPr>
            <w:fldChar w:fldCharType="begin"/>
          </w:r>
          <w:r>
            <w:rPr>
              <w:sz w:val="24"/>
              <w:szCs w:val="24"/>
            </w:rPr>
            <w:instrText xml:space="preserve"> PAGEREF _Toc16560 \h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_Toc5139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第十章、 </w:t>
          </w:r>
          <w:r>
            <w:rPr>
              <w:rFonts w:hint="eastAsia" w:ascii="仿宋_GB2312" w:hAnsi="仿宋_GB2312" w:eastAsia="仿宋_GB2312" w:cs="仿宋_GB2312"/>
              <w:bCs/>
              <w:i w:val="0"/>
              <w:iCs w:val="0"/>
              <w:sz w:val="24"/>
              <w:szCs w:val="24"/>
              <w:highlight w:val="none"/>
              <w:shd w:val="clear" w:color="auto" w:fill="auto"/>
              <w:lang w:val="en-US" w:eastAsia="zh-CN"/>
            </w:rPr>
            <w:t>安全生产、文明施工要求</w:t>
          </w:r>
          <w:r>
            <w:rPr>
              <w:sz w:val="24"/>
              <w:szCs w:val="24"/>
            </w:rPr>
            <w:tab/>
          </w:r>
          <w:r>
            <w:rPr>
              <w:sz w:val="24"/>
              <w:szCs w:val="24"/>
            </w:rPr>
            <w:fldChar w:fldCharType="begin"/>
          </w:r>
          <w:r>
            <w:rPr>
              <w:sz w:val="24"/>
              <w:szCs w:val="24"/>
            </w:rPr>
            <w:instrText xml:space="preserve"> PAGEREF _Toc5139 \h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_Toc25343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第十一章、 </w:t>
          </w:r>
          <w:r>
            <w:rPr>
              <w:rFonts w:hint="eastAsia" w:ascii="仿宋_GB2312" w:hAnsi="仿宋_GB2312" w:eastAsia="仿宋_GB2312" w:cs="仿宋_GB2312"/>
              <w:bCs/>
              <w:i w:val="0"/>
              <w:iCs w:val="0"/>
              <w:sz w:val="24"/>
              <w:szCs w:val="24"/>
              <w:highlight w:val="none"/>
              <w:shd w:val="clear" w:color="auto" w:fill="auto"/>
              <w:lang w:val="en-US" w:eastAsia="zh-CN"/>
            </w:rPr>
            <w:t>验收及保修</w:t>
          </w:r>
          <w:r>
            <w:rPr>
              <w:sz w:val="24"/>
              <w:szCs w:val="24"/>
            </w:rPr>
            <w:tab/>
          </w:r>
          <w:r>
            <w:rPr>
              <w:sz w:val="24"/>
              <w:szCs w:val="24"/>
            </w:rPr>
            <w:fldChar w:fldCharType="begin"/>
          </w:r>
          <w:r>
            <w:rPr>
              <w:sz w:val="24"/>
              <w:szCs w:val="24"/>
            </w:rPr>
            <w:instrText xml:space="preserve"> PAGEREF _Toc25343 \h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_Toc31409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第十二章、 </w:t>
          </w:r>
          <w:r>
            <w:rPr>
              <w:rFonts w:hint="eastAsia" w:ascii="仿宋_GB2312" w:hAnsi="仿宋_GB2312" w:eastAsia="仿宋_GB2312" w:cs="仿宋_GB2312"/>
              <w:bCs/>
              <w:i w:val="0"/>
              <w:iCs w:val="0"/>
              <w:sz w:val="24"/>
              <w:szCs w:val="24"/>
              <w:highlight w:val="none"/>
              <w:shd w:val="clear" w:color="auto" w:fill="auto"/>
              <w:lang w:val="en-US" w:eastAsia="zh-CN"/>
            </w:rPr>
            <w:t>保险</w:t>
          </w:r>
          <w:r>
            <w:rPr>
              <w:sz w:val="24"/>
              <w:szCs w:val="24"/>
            </w:rPr>
            <w:tab/>
          </w:r>
          <w:r>
            <w:rPr>
              <w:sz w:val="24"/>
              <w:szCs w:val="24"/>
            </w:rPr>
            <w:fldChar w:fldCharType="begin"/>
          </w:r>
          <w:r>
            <w:rPr>
              <w:sz w:val="24"/>
              <w:szCs w:val="24"/>
            </w:rPr>
            <w:instrText xml:space="preserve"> PAGEREF _Toc31409 \h </w:instrText>
          </w:r>
          <w:r>
            <w:rPr>
              <w:sz w:val="24"/>
              <w:szCs w:val="24"/>
            </w:rPr>
            <w:fldChar w:fldCharType="separate"/>
          </w:r>
          <w:r>
            <w:rPr>
              <w:sz w:val="24"/>
              <w:szCs w:val="24"/>
            </w:rPr>
            <w:t>23</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_Toc18224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第十三章、 </w:t>
          </w:r>
          <w:r>
            <w:rPr>
              <w:rFonts w:hint="eastAsia" w:ascii="仿宋_GB2312" w:hAnsi="仿宋_GB2312" w:eastAsia="仿宋_GB2312" w:cs="仿宋_GB2312"/>
              <w:bCs/>
              <w:i w:val="0"/>
              <w:iCs w:val="0"/>
              <w:sz w:val="24"/>
              <w:szCs w:val="24"/>
              <w:highlight w:val="none"/>
              <w:shd w:val="clear" w:color="auto" w:fill="auto"/>
              <w:lang w:val="en-US" w:eastAsia="zh-CN"/>
            </w:rPr>
            <w:t>奖罚条款</w:t>
          </w:r>
          <w:r>
            <w:rPr>
              <w:sz w:val="24"/>
              <w:szCs w:val="24"/>
            </w:rPr>
            <w:tab/>
          </w:r>
          <w:r>
            <w:rPr>
              <w:sz w:val="24"/>
              <w:szCs w:val="24"/>
            </w:rPr>
            <w:fldChar w:fldCharType="begin"/>
          </w:r>
          <w:r>
            <w:rPr>
              <w:sz w:val="24"/>
              <w:szCs w:val="24"/>
            </w:rPr>
            <w:instrText xml:space="preserve"> PAGEREF _Toc18224 \h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_Toc1056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第十四章、 </w:t>
          </w:r>
          <w:r>
            <w:rPr>
              <w:rFonts w:hint="eastAsia" w:ascii="仿宋_GB2312" w:hAnsi="仿宋_GB2312" w:eastAsia="仿宋_GB2312" w:cs="仿宋_GB2312"/>
              <w:bCs/>
              <w:i w:val="0"/>
              <w:iCs w:val="0"/>
              <w:sz w:val="24"/>
              <w:szCs w:val="24"/>
              <w:highlight w:val="none"/>
              <w:shd w:val="clear" w:color="auto" w:fill="auto"/>
              <w:lang w:val="en-US" w:eastAsia="zh-CN"/>
            </w:rPr>
            <w:t>违约条款</w:t>
          </w:r>
          <w:r>
            <w:rPr>
              <w:sz w:val="24"/>
              <w:szCs w:val="24"/>
            </w:rPr>
            <w:tab/>
          </w:r>
          <w:r>
            <w:rPr>
              <w:sz w:val="24"/>
              <w:szCs w:val="24"/>
            </w:rPr>
            <w:fldChar w:fldCharType="begin"/>
          </w:r>
          <w:r>
            <w:rPr>
              <w:sz w:val="24"/>
              <w:szCs w:val="24"/>
            </w:rPr>
            <w:instrText xml:space="preserve"> PAGEREF _Toc1056 \h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_Toc3698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第十五章、 </w:t>
          </w:r>
          <w:r>
            <w:rPr>
              <w:rFonts w:hint="eastAsia" w:ascii="仿宋_GB2312" w:hAnsi="仿宋_GB2312" w:eastAsia="仿宋_GB2312" w:cs="仿宋_GB2312"/>
              <w:bCs/>
              <w:i w:val="0"/>
              <w:iCs w:val="0"/>
              <w:sz w:val="24"/>
              <w:szCs w:val="24"/>
              <w:highlight w:val="none"/>
              <w:shd w:val="clear" w:color="auto" w:fill="auto"/>
              <w:lang w:val="en-US" w:eastAsia="zh-CN"/>
            </w:rPr>
            <w:t>廉洁条款</w:t>
          </w:r>
          <w:r>
            <w:rPr>
              <w:sz w:val="24"/>
              <w:szCs w:val="24"/>
            </w:rPr>
            <w:tab/>
          </w:r>
          <w:r>
            <w:rPr>
              <w:sz w:val="24"/>
              <w:szCs w:val="24"/>
            </w:rPr>
            <w:fldChar w:fldCharType="begin"/>
          </w:r>
          <w:r>
            <w:rPr>
              <w:sz w:val="24"/>
              <w:szCs w:val="24"/>
            </w:rPr>
            <w:instrText xml:space="preserve"> PAGEREF _Toc3698 \h </w:instrText>
          </w:r>
          <w:r>
            <w:rPr>
              <w:sz w:val="24"/>
              <w:szCs w:val="24"/>
            </w:rPr>
            <w:fldChar w:fldCharType="separate"/>
          </w:r>
          <w:r>
            <w:rPr>
              <w:sz w:val="24"/>
              <w:szCs w:val="24"/>
            </w:rPr>
            <w:t>28</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sz w:val="24"/>
              <w:szCs w:val="24"/>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_Toc29384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bCs/>
              <w:i w:val="0"/>
              <w:iCs w:val="0"/>
              <w:sz w:val="24"/>
              <w:szCs w:val="24"/>
              <w:shd w:val="clear" w:fill="auto"/>
              <w:lang w:val="en-US" w:eastAsia="zh-CN"/>
            </w:rPr>
            <w:t xml:space="preserve">第十六章、 </w:t>
          </w:r>
          <w:r>
            <w:rPr>
              <w:rFonts w:hint="eastAsia" w:ascii="仿宋_GB2312" w:hAnsi="仿宋_GB2312" w:eastAsia="仿宋_GB2312" w:cs="仿宋_GB2312"/>
              <w:bCs/>
              <w:i w:val="0"/>
              <w:iCs w:val="0"/>
              <w:sz w:val="24"/>
              <w:szCs w:val="24"/>
              <w:highlight w:val="none"/>
              <w:shd w:val="clear" w:color="auto" w:fill="auto"/>
              <w:lang w:val="en-US" w:eastAsia="zh-CN"/>
            </w:rPr>
            <w:t>其他</w:t>
          </w:r>
          <w:r>
            <w:rPr>
              <w:sz w:val="24"/>
              <w:szCs w:val="24"/>
            </w:rPr>
            <w:tab/>
          </w:r>
          <w:r>
            <w:rPr>
              <w:sz w:val="24"/>
              <w:szCs w:val="24"/>
            </w:rPr>
            <w:fldChar w:fldCharType="begin"/>
          </w:r>
          <w:r>
            <w:rPr>
              <w:sz w:val="24"/>
              <w:szCs w:val="24"/>
            </w:rPr>
            <w:instrText xml:space="preserve"> PAGEREF _Toc29384 \h </w:instrText>
          </w:r>
          <w:r>
            <w:rPr>
              <w:sz w:val="24"/>
              <w:szCs w:val="24"/>
            </w:rPr>
            <w:fldChar w:fldCharType="separate"/>
          </w:r>
          <w:r>
            <w:rPr>
              <w:sz w:val="24"/>
              <w:szCs w:val="24"/>
            </w:rPr>
            <w:t>28</w:t>
          </w:r>
          <w:r>
            <w:rPr>
              <w:sz w:val="24"/>
              <w:szCs w:val="24"/>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p>
        <w:p>
          <w:pPr>
            <w:pStyle w:val="8"/>
            <w:tabs>
              <w:tab w:val="right" w:leader="dot" w:pos="8504"/>
            </w:tabs>
            <w:rPr>
              <w:rFonts w:hint="eastAsia" w:eastAsia="仿宋"/>
              <w:sz w:val="24"/>
              <w:szCs w:val="24"/>
              <w:lang w:val="en-US" w:eastAsia="zh-CN"/>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_Toc10199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i w:val="0"/>
              <w:iCs w:val="0"/>
              <w:sz w:val="24"/>
              <w:szCs w:val="24"/>
              <w:highlight w:val="none"/>
              <w:shd w:val="clear" w:color="auto" w:fill="auto"/>
              <w:lang w:val="en-US" w:eastAsia="zh-CN"/>
            </w:rPr>
            <w:t>附件一《报价清单》</w:t>
          </w:r>
          <w:r>
            <w:rPr>
              <w:sz w:val="24"/>
              <w:szCs w:val="24"/>
            </w:rPr>
            <w:tab/>
          </w:r>
          <w:r>
            <w:rPr>
              <w:rFonts w:hint="eastAsia"/>
              <w:sz w:val="24"/>
              <w:szCs w:val="24"/>
              <w:lang w:val="en-US" w:eastAsia="zh-CN"/>
            </w:rPr>
            <w:t>3</w:t>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r>
            <w:rPr>
              <w:rFonts w:hint="eastAsia" w:ascii="仿宋" w:hAnsi="仿宋" w:eastAsia="仿宋" w:cs="仿宋"/>
              <w:bCs/>
              <w:i w:val="0"/>
              <w:iCs w:val="0"/>
              <w:color w:val="000000" w:themeColor="text1"/>
              <w:kern w:val="0"/>
              <w:sz w:val="24"/>
              <w:szCs w:val="24"/>
              <w:highlight w:val="none"/>
              <w:lang w:val="en-US" w:eastAsia="zh-CN"/>
              <w14:textFill>
                <w14:solidFill>
                  <w14:schemeClr w14:val="tx1"/>
                </w14:solidFill>
              </w14:textFill>
            </w:rPr>
            <w:t>0</w:t>
          </w:r>
        </w:p>
        <w:p>
          <w:pPr>
            <w:pStyle w:val="8"/>
            <w:tabs>
              <w:tab w:val="right" w:leader="dot" w:pos="8504"/>
            </w:tabs>
            <w:rPr>
              <w:rFonts w:hint="eastAsia" w:eastAsia="仿宋"/>
              <w:sz w:val="24"/>
              <w:szCs w:val="24"/>
              <w:lang w:val="en-US" w:eastAsia="zh-CN"/>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_Toc24228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i w:val="0"/>
              <w:iCs w:val="0"/>
              <w:sz w:val="24"/>
              <w:szCs w:val="24"/>
              <w:highlight w:val="none"/>
              <w:shd w:val="clear" w:color="auto" w:fill="auto"/>
              <w:lang w:val="en-US" w:eastAsia="zh-CN"/>
            </w:rPr>
            <w:t>附件二《工完场清交接单》格式</w:t>
          </w:r>
          <w:r>
            <w:rPr>
              <w:sz w:val="24"/>
              <w:szCs w:val="24"/>
            </w:rPr>
            <w:tab/>
          </w:r>
          <w:r>
            <w:rPr>
              <w:rFonts w:hint="eastAsia"/>
              <w:sz w:val="24"/>
              <w:szCs w:val="24"/>
              <w:lang w:val="en-US" w:eastAsia="zh-CN"/>
            </w:rPr>
            <w:t>3</w:t>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r>
            <w:rPr>
              <w:rFonts w:hint="eastAsia" w:ascii="仿宋" w:hAnsi="仿宋" w:eastAsia="仿宋" w:cs="仿宋"/>
              <w:bCs/>
              <w:i w:val="0"/>
              <w:iCs w:val="0"/>
              <w:color w:val="000000" w:themeColor="text1"/>
              <w:kern w:val="0"/>
              <w:sz w:val="24"/>
              <w:szCs w:val="24"/>
              <w:highlight w:val="none"/>
              <w:lang w:val="en-US" w:eastAsia="zh-CN"/>
              <w14:textFill>
                <w14:solidFill>
                  <w14:schemeClr w14:val="tx1"/>
                </w14:solidFill>
              </w14:textFill>
            </w:rPr>
            <w:t>2</w:t>
          </w:r>
        </w:p>
        <w:p>
          <w:pPr>
            <w:pStyle w:val="8"/>
            <w:tabs>
              <w:tab w:val="right" w:leader="dot" w:pos="8504"/>
            </w:tabs>
            <w:rPr>
              <w:rFonts w:hint="eastAsia" w:eastAsia="仿宋"/>
              <w:sz w:val="24"/>
              <w:szCs w:val="24"/>
              <w:lang w:val="en-US" w:eastAsia="zh-CN"/>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_Toc953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i w:val="0"/>
              <w:iCs w:val="0"/>
              <w:sz w:val="24"/>
              <w:szCs w:val="24"/>
              <w:highlight w:val="none"/>
              <w:shd w:val="clear" w:color="auto" w:fill="auto"/>
              <w:lang w:val="en-US" w:eastAsia="zh-CN"/>
            </w:rPr>
            <w:t>附件三《出险声明函》格式</w:t>
          </w:r>
          <w:r>
            <w:rPr>
              <w:sz w:val="24"/>
              <w:szCs w:val="24"/>
            </w:rPr>
            <w:tab/>
          </w:r>
          <w:r>
            <w:rPr>
              <w:rFonts w:hint="eastAsia"/>
              <w:sz w:val="24"/>
              <w:szCs w:val="24"/>
              <w:lang w:val="en-US" w:eastAsia="zh-CN"/>
            </w:rPr>
            <w:t>3</w:t>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r>
            <w:rPr>
              <w:rFonts w:hint="eastAsia" w:ascii="仿宋" w:hAnsi="仿宋" w:eastAsia="仿宋" w:cs="仿宋"/>
              <w:bCs/>
              <w:i w:val="0"/>
              <w:iCs w:val="0"/>
              <w:color w:val="000000" w:themeColor="text1"/>
              <w:kern w:val="0"/>
              <w:sz w:val="24"/>
              <w:szCs w:val="24"/>
              <w:highlight w:val="none"/>
              <w:lang w:val="en-US" w:eastAsia="zh-CN"/>
              <w14:textFill>
                <w14:solidFill>
                  <w14:schemeClr w14:val="tx1"/>
                </w14:solidFill>
              </w14:textFill>
            </w:rPr>
            <w:t>3</w:t>
          </w:r>
        </w:p>
        <w:p>
          <w:pPr>
            <w:pStyle w:val="8"/>
            <w:tabs>
              <w:tab w:val="right" w:leader="dot" w:pos="8504"/>
            </w:tabs>
            <w:rPr>
              <w:rFonts w:hint="eastAsia" w:eastAsia="仿宋"/>
              <w:sz w:val="24"/>
              <w:szCs w:val="24"/>
              <w:lang w:val="en-US" w:eastAsia="zh-CN"/>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_Toc5560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i w:val="0"/>
              <w:iCs w:val="0"/>
              <w:sz w:val="24"/>
              <w:szCs w:val="24"/>
              <w:highlight w:val="none"/>
              <w:shd w:val="clear" w:color="auto" w:fill="auto"/>
              <w:lang w:val="en-US" w:eastAsia="zh-CN"/>
            </w:rPr>
            <w:t>附件四《签证单分包说明》</w:t>
          </w:r>
          <w:r>
            <w:rPr>
              <w:sz w:val="24"/>
              <w:szCs w:val="24"/>
            </w:rPr>
            <w:tab/>
          </w:r>
          <w:r>
            <w:rPr>
              <w:rFonts w:hint="eastAsia"/>
              <w:sz w:val="24"/>
              <w:szCs w:val="24"/>
              <w:lang w:val="en-US" w:eastAsia="zh-CN"/>
            </w:rPr>
            <w:t>3</w:t>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r>
            <w:rPr>
              <w:rFonts w:hint="eastAsia" w:ascii="仿宋" w:hAnsi="仿宋" w:eastAsia="仿宋" w:cs="仿宋"/>
              <w:bCs/>
              <w:i w:val="0"/>
              <w:iCs w:val="0"/>
              <w:color w:val="000000" w:themeColor="text1"/>
              <w:kern w:val="0"/>
              <w:sz w:val="24"/>
              <w:szCs w:val="24"/>
              <w:highlight w:val="none"/>
              <w:lang w:val="en-US" w:eastAsia="zh-CN"/>
              <w14:textFill>
                <w14:solidFill>
                  <w14:schemeClr w14:val="tx1"/>
                </w14:solidFill>
              </w14:textFill>
            </w:rPr>
            <w:t>5</w:t>
          </w:r>
        </w:p>
        <w:p>
          <w:pPr>
            <w:pStyle w:val="8"/>
            <w:tabs>
              <w:tab w:val="right" w:leader="dot" w:pos="8504"/>
            </w:tabs>
            <w:rPr>
              <w:rFonts w:hint="eastAsia" w:ascii="仿宋_GB2312" w:hAnsi="仿宋_GB2312" w:eastAsia="仿宋_GB2312" w:cs="仿宋_GB2312"/>
              <w:color w:val="000000" w:themeColor="text1"/>
              <w:highlight w:val="none"/>
              <w14:textFill>
                <w14:solidFill>
                  <w14:schemeClr w14:val="tx1"/>
                </w14:solidFill>
              </w14:textFill>
            </w:rPr>
          </w:pP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begin"/>
          </w:r>
          <w:r>
            <w:rPr>
              <w:rFonts w:hint="eastAsia" w:ascii="仿宋" w:hAnsi="仿宋" w:eastAsia="仿宋" w:cs="仿宋"/>
              <w:bCs/>
              <w:i w:val="0"/>
              <w:iCs w:val="0"/>
              <w:kern w:val="0"/>
              <w:sz w:val="24"/>
              <w:szCs w:val="24"/>
              <w:highlight w:val="none"/>
            </w:rPr>
            <w:instrText xml:space="preserve"> HYPERLINK \l _Toc757 </w:instrText>
          </w:r>
          <w:r>
            <w:rPr>
              <w:rFonts w:hint="eastAsia" w:ascii="仿宋" w:hAnsi="仿宋" w:eastAsia="仿宋" w:cs="仿宋"/>
              <w:bCs/>
              <w:i w:val="0"/>
              <w:iCs w:val="0"/>
              <w:kern w:val="0"/>
              <w:sz w:val="24"/>
              <w:szCs w:val="24"/>
              <w:highlight w:val="none"/>
            </w:rPr>
            <w:fldChar w:fldCharType="separate"/>
          </w:r>
          <w:r>
            <w:rPr>
              <w:rFonts w:hint="eastAsia" w:ascii="仿宋_GB2312" w:hAnsi="仿宋_GB2312" w:eastAsia="仿宋_GB2312" w:cs="仿宋_GB2312"/>
              <w:i w:val="0"/>
              <w:iCs w:val="0"/>
              <w:sz w:val="24"/>
              <w:szCs w:val="24"/>
              <w:highlight w:val="none"/>
              <w:shd w:val="clear" w:color="auto" w:fill="auto"/>
              <w:lang w:val="en-US" w:eastAsia="zh-CN"/>
            </w:rPr>
            <w:t>附件五《分项工程单价申报审批表》</w:t>
          </w:r>
          <w:r>
            <w:rPr>
              <w:sz w:val="24"/>
              <w:szCs w:val="24"/>
            </w:rPr>
            <w:tab/>
          </w:r>
          <w:r>
            <w:rPr>
              <w:rFonts w:hint="eastAsia"/>
              <w:sz w:val="24"/>
              <w:szCs w:val="24"/>
              <w:lang w:val="en-US" w:eastAsia="zh-CN"/>
            </w:rPr>
            <w:t>3</w:t>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r>
            <w:rPr>
              <w:rFonts w:hint="eastAsia" w:ascii="仿宋" w:hAnsi="仿宋" w:eastAsia="仿宋" w:cs="仿宋"/>
              <w:bCs/>
              <w:i w:val="0"/>
              <w:iCs w:val="0"/>
              <w:color w:val="000000" w:themeColor="text1"/>
              <w:kern w:val="0"/>
              <w:sz w:val="24"/>
              <w:szCs w:val="24"/>
              <w:highlight w:val="none"/>
              <w14:textFill>
                <w14:solidFill>
                  <w14:schemeClr w14:val="tx1"/>
                </w14:solidFill>
              </w14:textFill>
            </w:rPr>
            <w:fldChar w:fldCharType="end"/>
          </w:r>
          <w:r>
            <w:rPr>
              <w:rFonts w:hint="eastAsia" w:ascii="仿宋" w:hAnsi="仿宋" w:eastAsia="仿宋" w:cs="仿宋"/>
              <w:bCs/>
              <w:i w:val="0"/>
              <w:iCs w:val="0"/>
              <w:color w:val="000000" w:themeColor="text1"/>
              <w:kern w:val="0"/>
              <w:sz w:val="24"/>
              <w:szCs w:val="24"/>
              <w:highlight w:val="none"/>
              <w:lang w:val="en-US" w:eastAsia="zh-CN"/>
              <w14:textFill>
                <w14:solidFill>
                  <w14:schemeClr w14:val="tx1"/>
                </w14:solidFill>
              </w14:textFill>
            </w:rPr>
            <w:t>6</w:t>
          </w:r>
        </w:p>
      </w:sdtContent>
    </w:sdt>
    <w:p>
      <w:pPr>
        <w:tabs>
          <w:tab w:val="left" w:pos="6272"/>
        </w:tabs>
        <w:ind w:left="-197" w:leftChars="-94" w:right="-578" w:rightChars="-275" w:firstLine="312" w:firstLineChars="149"/>
        <w:rPr>
          <w:rFonts w:hint="eastAsia" w:ascii="仿宋_GB2312" w:hAnsi="仿宋_GB2312" w:eastAsia="仿宋_GB2312" w:cs="仿宋_GB2312"/>
          <w:i w:val="0"/>
          <w:iCs w:val="0"/>
          <w:color w:val="000000" w:themeColor="text1"/>
          <w:kern w:val="0"/>
          <w:sz w:val="21"/>
          <w:szCs w:val="21"/>
          <w:highlight w:val="none"/>
          <w14:textFill>
            <w14:solidFill>
              <w14:schemeClr w14:val="tx1"/>
            </w14:solidFill>
          </w14:textFill>
        </w:rPr>
        <w:sectPr>
          <w:footerReference r:id="rId5" w:type="default"/>
          <w:pgSz w:w="11906" w:h="16838"/>
          <w:pgMar w:top="1440" w:right="1701" w:bottom="1440" w:left="1701"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keepNext w:val="0"/>
        <w:keepLines w:val="0"/>
        <w:pageBreakBefore w:val="0"/>
        <w:widowControl w:val="0"/>
        <w:tabs>
          <w:tab w:val="left" w:pos="6272"/>
        </w:tabs>
        <w:kinsoku/>
        <w:wordWrap/>
        <w:overflowPunct/>
        <w:topLinePunct w:val="0"/>
        <w:autoSpaceDE/>
        <w:autoSpaceDN/>
        <w:bidi w:val="0"/>
        <w:adjustRightInd/>
        <w:spacing w:line="520" w:lineRule="exact"/>
        <w:ind w:right="-578" w:rightChars="-275" w:firstLine="560" w:firstLineChars="200"/>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highlight w:val="none"/>
          <w14:textFill>
            <w14:solidFill>
              <w14:schemeClr w14:val="tx1"/>
            </w14:solidFill>
          </w14:textFill>
        </w:rPr>
        <w:t>根据《中华人民共</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和国民法典》《中华人民共和国建筑法》《建设工程质量管理条例》及有关法律、法规，甲乙双方在平等、自愿、公平和诚实信用的基础上，就乙方承包</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常平环保专业基地A1-04地块电子工业项目防水工程</w:t>
      </w:r>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防腐</w:t>
      </w:r>
      <w:r>
        <w:rPr>
          <w:rFonts w:hint="eastAsia" w:ascii="仿宋_GB2312" w:hAnsi="仿宋_GB2312" w:eastAsia="仿宋_GB2312" w:cs="仿宋_GB2312"/>
          <w:b/>
          <w:bCs/>
          <w:i w:val="0"/>
          <w:iCs w:val="0"/>
          <w:color w:val="000000" w:themeColor="text1"/>
          <w:sz w:val="28"/>
          <w:szCs w:val="28"/>
          <w:highlight w:val="none"/>
          <w:u w:val="single"/>
          <w:shd w:val="clear" w:color="auto" w:fill="auto"/>
          <w:lang w:val="en-US" w:eastAsia="zh-CN"/>
          <w14:textFill>
            <w14:solidFill>
              <w14:schemeClr w14:val="tx1"/>
            </w14:solidFill>
          </w14:textFill>
        </w:rPr>
        <w:t>防水</w:t>
      </w:r>
      <w:r>
        <w:rPr>
          <w:rFonts w:hint="eastAsia" w:ascii="仿宋_GB2312" w:hAnsi="仿宋_GB2312" w:eastAsia="仿宋_GB2312" w:cs="仿宋_GB2312"/>
          <w:b/>
          <w:bCs/>
          <w:i w:val="0"/>
          <w:iCs w:val="0"/>
          <w:color w:val="000000" w:themeColor="text1"/>
          <w:sz w:val="28"/>
          <w:szCs w:val="28"/>
          <w:highlight w:val="none"/>
          <w:u w:val="single"/>
          <w:shd w:val="clear" w:color="auto" w:fill="auto"/>
          <w14:textFill>
            <w14:solidFill>
              <w14:schemeClr w14:val="tx1"/>
            </w14:solidFill>
          </w14:textFill>
        </w:rPr>
        <w:t>工程</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（以下简称“</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本</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工程</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有关事项协商一致，特签订本合同以共同遵守。</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本合同范围内，对以</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sym w:font="Wingdings 2" w:char="00A3"/>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或</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sym w:font="Wingdings 2" w:char="0052"/>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开头的内容，以</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sym w:font="Wingdings 2" w:char="0052"/>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开头的内容为准。</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before="146" w:beforeLines="50" w:line="520" w:lineRule="exact"/>
        <w:ind w:left="-210" w:leftChars="-100" w:right="-945" w:rightChars="-450" w:firstLine="10" w:firstLineChars="0"/>
        <w:jc w:val="both"/>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pPr>
      <w:bookmarkStart w:id="0" w:name="_Toc26146"/>
      <w:bookmarkStart w:id="1" w:name="_Toc22508"/>
      <w:bookmarkStart w:id="2" w:name="_Toc1208"/>
      <w:bookmarkStart w:id="3" w:name="_Toc2533"/>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第一章</w:t>
      </w:r>
      <w:r>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t>、项目概况</w:t>
      </w:r>
      <w:bookmarkEnd w:id="0"/>
      <w:bookmarkEnd w:id="1"/>
      <w:bookmarkEnd w:id="2"/>
      <w:bookmarkEnd w:id="3"/>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u w:val="singl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1.1项目名称：</w:t>
      </w:r>
      <w:r>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t xml:space="preserve"> 常平环保专业基地A1-04地块电子工业项目</w:t>
      </w:r>
      <w:r>
        <w:rPr>
          <w:rFonts w:hint="eastAsia" w:ascii="仿宋_GB2312" w:hAnsi="仿宋_GB2312" w:eastAsia="仿宋_GB2312" w:cs="仿宋_GB2312"/>
          <w:b w:val="0"/>
          <w:bCs w:val="0"/>
          <w:i w:val="0"/>
          <w:iCs w:val="0"/>
          <w:color w:val="000000" w:themeColor="text1"/>
          <w:sz w:val="28"/>
          <w:szCs w:val="28"/>
          <w:highlight w:val="none"/>
          <w:u w:val="singl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u w:val="single"/>
          <w:shd w:val="clear" w:color="auto" w:fill="auto"/>
          <w:lang w:val="en-US" w:eastAsia="zh-CN"/>
          <w14:textFill>
            <w14:solidFill>
              <w14:schemeClr w14:val="tx1"/>
            </w14:solidFill>
          </w14:textFill>
        </w:rPr>
        <w:t>以下简称“本项目”</w:t>
      </w:r>
      <w:r>
        <w:rPr>
          <w:rFonts w:hint="eastAsia" w:ascii="仿宋_GB2312" w:hAnsi="仿宋_GB2312" w:eastAsia="仿宋_GB2312" w:cs="仿宋_GB2312"/>
          <w:b w:val="0"/>
          <w:bCs w:val="0"/>
          <w:i w:val="0"/>
          <w:iCs w:val="0"/>
          <w:color w:val="000000" w:themeColor="text1"/>
          <w:sz w:val="28"/>
          <w:szCs w:val="28"/>
          <w:highlight w:val="none"/>
          <w:u w:val="singl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1.2项目地址：</w:t>
      </w:r>
      <w:r>
        <w:rPr>
          <w:rFonts w:hint="eastAsia" w:ascii="仿宋_GB2312" w:hAnsi="仿宋_GB2312" w:eastAsia="仿宋_GB2312" w:cs="仿宋_GB2312"/>
          <w:i w:val="0"/>
          <w:iCs w:val="0"/>
          <w:color w:val="000000" w:themeColor="text1"/>
          <w:sz w:val="28"/>
          <w:szCs w:val="28"/>
          <w:highlight w:val="none"/>
          <w:u w:val="single"/>
          <w:shd w:val="clear" w:color="auto" w:fill="auto"/>
          <w14:textFill>
            <w14:solidFill>
              <w14:schemeClr w14:val="tx1"/>
            </w14:solidFill>
          </w14:textFill>
        </w:rPr>
        <w:t xml:space="preserve"> </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东莞市常平镇</w:t>
      </w:r>
      <w:r>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1.3本工程的甲供材料：</w:t>
      </w:r>
      <w:r>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default"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1.4甲方提供施工基础条件及主要设施：</w:t>
      </w:r>
      <w:r>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 w:hAnsi="仿宋" w:eastAsia="仿宋" w:cs="仿宋"/>
          <w:i w:val="0"/>
          <w:iCs w:val="0"/>
          <w:color w:val="000000" w:themeColor="text1"/>
          <w:sz w:val="28"/>
          <w:szCs w:val="28"/>
          <w:highlight w:val="yellow"/>
          <w:u w:val="single"/>
          <w:shd w:val="clear" w:color="auto" w:fill="auto"/>
          <w:lang w:val="en-US" w:eastAsia="zh-CN"/>
          <w14:textFill>
            <w14:solidFill>
              <w14:schemeClr w14:val="tx1"/>
            </w14:solidFill>
          </w14:textFill>
        </w:rPr>
        <w:t>（具体由工程部、项目部填写）</w:t>
      </w:r>
      <w:r>
        <w:rPr>
          <w:rFonts w:hint="eastAsia" w:ascii="仿宋_GB2312" w:hAnsi="仿宋_GB2312" w:eastAsia="仿宋_GB2312" w:cs="仿宋_GB2312"/>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left="-196" w:leftChars="-95" w:right="-578" w:rightChars="-275" w:hanging="3" w:firstLineChars="0"/>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4" w:name="_Toc8911"/>
      <w:bookmarkStart w:id="5" w:name="_Toc15434"/>
      <w:bookmarkStart w:id="6" w:name="_Toc27213"/>
      <w:bookmarkStart w:id="7" w:name="_Toc9670"/>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承包方式</w:t>
      </w:r>
      <w:bookmarkEnd w:id="4"/>
      <w:bookmarkEnd w:id="5"/>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bookmarkStart w:id="8" w:name="_Toc14685"/>
      <w:bookmarkStart w:id="9" w:name="_Toc31503"/>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2.1乙方以</w:t>
      </w:r>
      <w:r>
        <w:rPr>
          <w:rFonts w:hint="eastAsia" w:ascii="仿宋_GB2312" w:hAnsi="仿宋_GB2312" w:eastAsia="仿宋_GB2312" w:cs="仿宋_GB2312"/>
          <w:b/>
          <w:bCs/>
          <w:i w:val="0"/>
          <w:iCs w:val="0"/>
          <w:color w:val="000000" w:themeColor="text1"/>
          <w:sz w:val="28"/>
          <w:szCs w:val="28"/>
          <w:highlight w:val="none"/>
          <w:u w:val="single"/>
          <w:shd w:val="clear" w:color="auto" w:fill="auto"/>
          <w:lang w:val="en-US" w:eastAsia="zh-CN"/>
          <w14:textFill>
            <w14:solidFill>
              <w14:schemeClr w14:val="tx1"/>
            </w14:solidFill>
          </w14:textFill>
        </w:rPr>
        <w:sym w:font="Wingdings 2" w:char="0052"/>
      </w:r>
      <w:r>
        <w:rPr>
          <w:rFonts w:hint="eastAsia" w:ascii="仿宋_GB2312" w:hAnsi="仿宋_GB2312" w:eastAsia="仿宋_GB2312" w:cs="仿宋_GB2312"/>
          <w:b/>
          <w:bCs/>
          <w:i w:val="0"/>
          <w:iCs w:val="0"/>
          <w:color w:val="000000" w:themeColor="text1"/>
          <w:sz w:val="28"/>
          <w:szCs w:val="28"/>
          <w:highlight w:val="none"/>
          <w:u w:val="single"/>
          <w:shd w:val="clear" w:color="auto" w:fill="auto"/>
          <w:lang w:val="en-US" w:eastAsia="zh-CN"/>
          <w14:textFill>
            <w14:solidFill>
              <w14:schemeClr w14:val="tx1"/>
            </w14:solidFill>
          </w14:textFill>
        </w:rPr>
        <w:t>包工、包料/</w:t>
      </w:r>
      <w:r>
        <w:rPr>
          <w:rFonts w:hint="eastAsia" w:ascii="仿宋_GB2312" w:hAnsi="仿宋_GB2312" w:eastAsia="仿宋_GB2312" w:cs="仿宋_GB2312"/>
          <w:b/>
          <w:bCs/>
          <w:i w:val="0"/>
          <w:iCs w:val="0"/>
          <w:color w:val="000000" w:themeColor="text1"/>
          <w:sz w:val="28"/>
          <w:szCs w:val="28"/>
          <w:highlight w:val="none"/>
          <w:u w:val="single"/>
          <w:shd w:val="clear" w:color="auto" w:fill="auto"/>
          <w:lang w:val="en-US" w:eastAsia="zh-CN"/>
          <w14:textFill>
            <w14:solidFill>
              <w14:schemeClr w14:val="tx1"/>
            </w14:solidFill>
          </w14:textFill>
        </w:rPr>
        <w:sym w:font="Wingdings 2" w:char="00A3"/>
      </w:r>
      <w:r>
        <w:rPr>
          <w:rFonts w:hint="eastAsia" w:ascii="仿宋_GB2312" w:hAnsi="仿宋_GB2312" w:eastAsia="仿宋_GB2312" w:cs="仿宋_GB2312"/>
          <w:b/>
          <w:bCs/>
          <w:i w:val="0"/>
          <w:iCs w:val="0"/>
          <w:color w:val="000000" w:themeColor="text1"/>
          <w:sz w:val="28"/>
          <w:szCs w:val="28"/>
          <w:highlight w:val="none"/>
          <w:u w:val="single"/>
          <w:shd w:val="clear" w:color="auto" w:fill="auto"/>
          <w:lang w:val="en-US" w:eastAsia="zh-CN"/>
          <w14:textFill>
            <w14:solidFill>
              <w14:schemeClr w14:val="tx1"/>
            </w14:solidFill>
          </w14:textFill>
        </w:rPr>
        <w:t>包工、包辅材（主材甲供）</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的形式承包本工程。</w:t>
      </w:r>
      <w:bookmarkEnd w:id="8"/>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default"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2.2乙方对本工程包各类辅材及配件、包产品检验检测合格、包安全文明施工、包成品保护、包场地清理、包工期、包各种情形所要求的赶工措施及产生的费用、包质量、包保险、包风险、包保修、包管理、包利润、包税金、包材料上涨、包其他工种配合可能产生的降效及产生的费用及本工程施工过程中所涉及的一切风险因素及全部内容及费用。</w:t>
      </w:r>
    </w:p>
    <w:p>
      <w:pPr>
        <w:keepNext w:val="0"/>
        <w:keepLines w:val="0"/>
        <w:pageBreakBefore w:val="0"/>
        <w:widowControl w:val="0"/>
        <w:numPr>
          <w:ilvl w:val="0"/>
          <w:numId w:val="1"/>
        </w:numPr>
        <w:kinsoku/>
        <w:wordWrap/>
        <w:overflowPunct/>
        <w:topLinePunct w:val="0"/>
        <w:autoSpaceDE/>
        <w:autoSpaceDN/>
        <w:bidi w:val="0"/>
        <w:adjustRightInd/>
        <w:snapToGrid w:val="0"/>
        <w:spacing w:line="520" w:lineRule="exact"/>
        <w:ind w:left="-196" w:leftChars="-95" w:right="-578" w:rightChars="-275" w:hanging="3" w:firstLineChars="0"/>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10" w:name="_Toc2307"/>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乙方承包范围及主要工程内容</w:t>
      </w:r>
      <w:bookmarkEnd w:id="6"/>
      <w:bookmarkEnd w:id="7"/>
      <w:bookmarkEnd w:id="9"/>
      <w:bookmarkEnd w:id="10"/>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 xml:space="preserve">3.1 </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本项目用地红线内所有本工程图纸</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范围</w:t>
      </w:r>
      <w:r>
        <w:rPr>
          <w:rFonts w:hint="eastAsia" w:ascii="仿宋_GB2312" w:hAnsi="仿宋_GB2312" w:eastAsia="仿宋_GB2312" w:cs="仿宋_GB2312"/>
          <w:b w:val="0"/>
          <w:bCs w:val="0"/>
          <w:i w:val="0"/>
          <w:iCs w:val="0"/>
          <w:color w:val="auto"/>
          <w:sz w:val="28"/>
          <w:szCs w:val="28"/>
          <w:highlight w:val="none"/>
          <w:shd w:val="clear" w:color="auto" w:fill="auto"/>
        </w:rPr>
        <w:t>内</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 xml:space="preserve"> 1号厂房、地下水池 </w:t>
      </w:r>
      <w:r>
        <w:rPr>
          <w:rFonts w:hint="eastAsia" w:ascii="仿宋_GB2312" w:hAnsi="仿宋_GB2312" w:eastAsia="仿宋_GB2312" w:cs="仿宋_GB2312"/>
          <w:b w:val="0"/>
          <w:bCs w:val="0"/>
          <w:i w:val="0"/>
          <w:iCs w:val="0"/>
          <w:color w:val="auto"/>
          <w:sz w:val="28"/>
          <w:szCs w:val="28"/>
          <w:highlight w:val="none"/>
          <w:shd w:val="clear" w:color="auto" w:fill="auto"/>
        </w:rPr>
        <w:t>等</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的全部</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防腐</w:t>
      </w:r>
      <w:r>
        <w:rPr>
          <w:rFonts w:hint="eastAsia" w:ascii="仿宋_GB2312" w:hAnsi="仿宋_GB2312" w:eastAsia="仿宋_GB2312" w:cs="仿宋_GB2312"/>
          <w:b w:val="0"/>
          <w:bCs w:val="0"/>
          <w:i w:val="0"/>
          <w:iCs w:val="0"/>
          <w:color w:val="000000" w:themeColor="text1"/>
          <w:sz w:val="28"/>
          <w:szCs w:val="28"/>
          <w:highlight w:val="none"/>
          <w:u w:val="none"/>
          <w:lang w:val="en-US" w:eastAsia="zh-CN"/>
          <w14:textFill>
            <w14:solidFill>
              <w14:schemeClr w14:val="tx1"/>
            </w14:solidFill>
          </w14:textFill>
        </w:rPr>
        <w:t>防水工程由乙方负责（</w:t>
      </w:r>
      <w:r>
        <w:rPr>
          <w:rFonts w:hint="eastAsia" w:ascii="仿宋_GB2312" w:hAnsi="仿宋_GB2312" w:eastAsia="仿宋_GB2312" w:cs="仿宋_GB2312"/>
          <w:b w:val="0"/>
          <w:bCs w:val="0"/>
          <w:i w:val="0"/>
          <w:iCs w:val="0"/>
          <w:color w:val="auto"/>
          <w:sz w:val="28"/>
          <w:szCs w:val="28"/>
          <w:highlight w:val="none"/>
          <w:shd w:val="clear" w:color="auto" w:fill="auto"/>
        </w:rPr>
        <w:t>具体范围</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按甲方</w:t>
      </w:r>
      <w:r>
        <w:rPr>
          <w:rFonts w:hint="eastAsia" w:ascii="仿宋_GB2312" w:hAnsi="仿宋_GB2312" w:eastAsia="仿宋_GB2312" w:cs="仿宋_GB2312"/>
          <w:b w:val="0"/>
          <w:bCs w:val="0"/>
          <w:i w:val="0"/>
          <w:iCs w:val="0"/>
          <w:color w:val="auto"/>
          <w:sz w:val="28"/>
          <w:szCs w:val="28"/>
          <w:highlight w:val="none"/>
          <w:shd w:val="clear" w:color="auto" w:fill="auto"/>
        </w:rPr>
        <w:t>要求</w:t>
      </w:r>
      <w:r>
        <w:rPr>
          <w:rFonts w:hint="eastAsia" w:ascii="仿宋_GB2312" w:hAnsi="仿宋_GB2312" w:eastAsia="仿宋_GB2312" w:cs="仿宋_GB2312"/>
          <w:b w:val="0"/>
          <w:bCs w:val="0"/>
          <w:i w:val="0"/>
          <w:iCs w:val="0"/>
          <w:color w:val="000000" w:themeColor="text1"/>
          <w:sz w:val="28"/>
          <w:szCs w:val="28"/>
          <w:highlight w:val="none"/>
          <w:u w:val="none"/>
          <w:lang w:val="en-US" w:eastAsia="zh-CN"/>
          <w14:textFill>
            <w14:solidFill>
              <w14:schemeClr w14:val="tx1"/>
            </w14:solidFill>
          </w14:textFill>
        </w:rPr>
        <w:t>），包括但不限于：清理基层、刷基层处理剂，防水薄弱处刷聚氨酯涂膜及卷材，附加层、加强层等细部处理，裂缝处理（如采用高压注浆等方式封堵等）贴卷材，卷材搭接处及收头嵌油膏，具体施工范围按图纸、规范及甲方要求施工</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，过程中产生的全部人</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报酬、材料、机具、施工管理等由乙方解决</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w:t>
      </w:r>
    </w:p>
    <w:p>
      <w:pPr>
        <w:keepNext w:val="0"/>
        <w:keepLines w:val="0"/>
        <w:pageBreakBefore w:val="0"/>
        <w:widowControl w:val="0"/>
        <w:tabs>
          <w:tab w:val="left" w:pos="6780"/>
        </w:tabs>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3.</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提供</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的</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图纸</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清单</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所含内容由乙方施工，本合同另有约定的除外</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。甲方有权调整乙方的承包范围及内容，乙方不得以任何理由拒绝</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否则甲方有权单方解除合同。</w:t>
      </w:r>
    </w:p>
    <w:p>
      <w:pPr>
        <w:keepNext w:val="0"/>
        <w:keepLines w:val="0"/>
        <w:pageBreakBefore w:val="0"/>
        <w:widowControl w:val="0"/>
        <w:tabs>
          <w:tab w:val="left" w:pos="6780"/>
        </w:tabs>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3.3</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施工前，须对甲方（或其他施工单位）交付己方施工的界面进行检查，判定是否适于进行施工，如不适于，须书面告知甲方原因并按甲方的决定办理；如乙方不检查（或不书面提出）即施工的，视乙方认为适于施工并作为己方施工前提，因该界面导致乙方施工内容不符合合同要求的，乙方自费返工至符合合同要求且不向甲方（或其他施工单位）索赔。</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3.4</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乙方负责施工的</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主要</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内容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包括但不限于</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3.4.1严格执行甲方发布的质量通病细则，所产生的费用已包含在合同单价内。</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3.4.2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配备本工程所需电工，</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且</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电工须持证上岗</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甲方电工</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仅对乙方电工进行</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监督、检查、管理、指导</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default"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3.4.3</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本工程具体作法以甲方与建设单位书面确认的交楼标准及施工图纸为准。</w:t>
      </w:r>
    </w:p>
    <w:p>
      <w:pPr>
        <w:keepNext w:val="0"/>
        <w:keepLines w:val="0"/>
        <w:pageBreakBefore w:val="0"/>
        <w:widowControl w:val="0"/>
        <w:tabs>
          <w:tab w:val="left" w:pos="6780"/>
        </w:tabs>
        <w:kinsoku/>
        <w:wordWrap/>
        <w:overflowPunct/>
        <w:topLinePunct w:val="0"/>
        <w:autoSpaceDE/>
        <w:autoSpaceDN/>
        <w:bidi w:val="0"/>
        <w:adjustRightInd/>
        <w:snapToGrid w:val="0"/>
        <w:spacing w:line="520" w:lineRule="exact"/>
        <w:ind w:left="-197" w:leftChars="-94" w:right="-578" w:rightChars="-275" w:firstLine="417" w:firstLineChars="149"/>
        <w:rPr>
          <w:rFonts w:hint="default"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3.4.4</w:t>
      </w:r>
      <w:r>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t>其他：</w:t>
      </w:r>
      <w:r>
        <w:rPr>
          <w:rFonts w:hint="eastAsia" w:ascii="仿宋_GB2312" w:hAnsi="仿宋_GB2312" w:eastAsia="仿宋_GB2312" w:cs="仿宋_GB2312"/>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 w:hAnsi="仿宋" w:eastAsia="仿宋" w:cs="仿宋"/>
          <w:i w:val="0"/>
          <w:iCs w:val="0"/>
          <w:color w:val="000000" w:themeColor="text1"/>
          <w:sz w:val="28"/>
          <w:szCs w:val="28"/>
          <w:highlight w:val="yellow"/>
          <w:u w:val="single"/>
          <w:shd w:val="clear" w:color="auto" w:fill="auto"/>
          <w:lang w:val="en-US" w:eastAsia="zh-CN"/>
          <w14:textFill>
            <w14:solidFill>
              <w14:schemeClr w14:val="tx1"/>
            </w14:solidFill>
          </w14:textFill>
        </w:rPr>
        <w:t>（请项目部、工程部根据实际需要补充需乙方施工的内容）</w:t>
      </w:r>
      <w:r>
        <w:rPr>
          <w:rFonts w:hint="eastAsia" w:ascii="宋体" w:hAnsi="宋体" w:eastAsia="宋体" w:cs="宋体"/>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宋体" w:hAnsi="宋体" w:eastAsia="宋体" w:cs="宋体"/>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3.5 乙方自备的施工材料包括但不限于：</w:t>
      </w:r>
      <w:r>
        <w:rPr>
          <w:rFonts w:hint="eastAsia" w:ascii="仿宋_GB2312" w:hAnsi="仿宋_GB2312" w:eastAsia="仿宋_GB2312" w:cs="仿宋_GB2312"/>
          <w:b w:val="0"/>
          <w:bCs w:val="0"/>
          <w:i w:val="0"/>
          <w:iCs w:val="0"/>
          <w:color w:val="000000" w:themeColor="text1"/>
          <w:sz w:val="28"/>
          <w:szCs w:val="28"/>
          <w:highlight w:val="none"/>
          <w:u w:val="none"/>
          <w:lang w:val="en-US" w:eastAsia="zh-CN"/>
          <w14:textFill>
            <w14:solidFill>
              <w14:schemeClr w14:val="tx1"/>
            </w14:solidFill>
          </w14:textFill>
        </w:rPr>
        <w:t>基层处理剂，聚氨酯涂膜，聚氨酯油性灌浆材料，防腐卷材、防水卷材、嵌油膏</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等</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整改</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或</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返工所用材料</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以及完成本工程所涉材料</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jc w:val="both"/>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3.6 乙方自备的机具包括但不限于： 完成本工程所需的手提机具，</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配</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置</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一机一闸一漏开关箱等机具</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开关箱、漏电保护器参数</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必须</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符</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合</w:t>
      </w:r>
      <w:r>
        <w:rPr>
          <w:rFonts w:hint="eastAsia" w:ascii="仿宋_GB2312" w:hAnsi="仿宋_GB2312" w:eastAsia="仿宋_GB2312" w:cs="仿宋_GB2312"/>
          <w:i w:val="0"/>
          <w:iCs w:val="0"/>
          <w:color w:val="000000" w:themeColor="text1"/>
          <w:sz w:val="28"/>
          <w:szCs w:val="28"/>
          <w:highlight w:val="none"/>
          <w:u w:val="none"/>
          <w:shd w:val="clear" w:color="auto" w:fill="auto"/>
          <w:lang w:eastAsia="zh-CN"/>
          <w14:textFill>
            <w14:solidFill>
              <w14:schemeClr w14:val="tx1"/>
            </w14:solidFill>
          </w14:textFill>
        </w:rPr>
        <w:t>《国家电气设备安全技术规范标准》GB19517-2009</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等规范的</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要求</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 xml:space="preserve">3.7 乙方自备机具的维修及养护由乙方自行负责；乙方自备/采购的材料、设备或小型机具必须符合设计规范及施工总包合同的要求。 </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 xml:space="preserve">3.8 </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乙方自行控制施工管理，自行组织</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本工程</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施工的有关质量、安全、进度、成本等现场组织管理工作</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具体施工</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方案以甲方确定</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为准。</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bookmarkStart w:id="11" w:name="_Toc15468"/>
      <w:bookmarkStart w:id="12" w:name="_Toc15548"/>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3.9 乙方承担的风险后果：本工程施工过程中如出现赶工、交叉作业、停工及工人工资、材料费、机具费上涨等风险，相关费用增减已由甲方提前根据本合同应支付给乙方的合同价款中一次性考虑，乙方不得就上述原因要求甲方对合同价款作相应调整。</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 xml:space="preserve">3.10 </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负责解决其</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人</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的社会保险、工伤保险、人身意外伤害保险</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事宜，</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乙方对</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质量</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按合同约定</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承担保修</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责任，</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对</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的施工质量、安全生产、文明施工、工期进度和</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甲供</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材限额使用等相关</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事项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承担全部责任</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3.11 乙方对本工程的施工质量、安全生产、文明施工、工期进度等相关问题承担全部责任。</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12</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本项目</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设计变更引起的增加工程，</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无论工程量大小及施工难度系数高低，如甲方要求</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施工，乙方须按甲方要求施工</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相关费用</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按本合同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约定办理</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3.13 乙方已清楚了解甲方提供的基层情况，结算时不因本工程基层清理困难而要求甲方增补费用。</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3.14 施工现场内本工程所需材料、机具的运输不另计费。材料进、出场时，派工人上、下车，上下车费用已包含在合同单价内。</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3.15 乙方负责</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砂石堆料场、块料堆场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及工作面范围内</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的文明施工工作</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 xml:space="preserve">3.16 </w:t>
      </w:r>
      <w:r>
        <w:rPr>
          <w:rFonts w:hint="eastAsia" w:ascii="仿宋_GB2312" w:hAnsi="仿宋_GB2312" w:eastAsia="仿宋_GB2312" w:cs="仿宋_GB2312"/>
          <w:i w:val="0"/>
          <w:iCs w:val="0"/>
          <w:color w:val="auto"/>
          <w:sz w:val="28"/>
          <w:szCs w:val="28"/>
          <w:highlight w:val="none"/>
          <w:shd w:val="clear" w:color="auto" w:fill="auto"/>
        </w:rPr>
        <w:t>乙方施工过程中，负责本工程工作面上所用材料、机具、垃圾的清理，做到工完场清</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工完场清交接单详见附件二</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3.17其他：</w:t>
      </w:r>
      <w:r>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i w:val="0"/>
          <w:iCs w:val="0"/>
          <w:color w:val="000000" w:themeColor="text1"/>
          <w:sz w:val="28"/>
          <w:szCs w:val="28"/>
          <w:highlight w:val="yellow"/>
          <w:u w:val="single"/>
          <w:shd w:val="clear" w:color="auto" w:fill="auto"/>
          <w:lang w:val="en-US" w:eastAsia="zh-CN"/>
          <w14:textFill>
            <w14:solidFill>
              <w14:schemeClr w14:val="tx1"/>
            </w14:solidFill>
          </w14:textFill>
        </w:rPr>
        <w:t>（请项目部根据具体情况填写</w:t>
      </w:r>
      <w:r>
        <w:rPr>
          <w:rFonts w:hint="eastAsia" w:ascii="仿宋" w:hAnsi="仿宋" w:eastAsia="仿宋" w:cs="仿宋"/>
          <w:b w:val="0"/>
          <w:bCs w:val="0"/>
          <w:i w:val="0"/>
          <w:iCs w:val="0"/>
          <w:color w:val="000000" w:themeColor="text1"/>
          <w:sz w:val="28"/>
          <w:szCs w:val="28"/>
          <w:highlight w:val="yellow"/>
          <w:u w:val="single"/>
          <w:shd w:val="clear" w:color="auto" w:fill="auto"/>
          <w14:textFill>
            <w14:solidFill>
              <w14:schemeClr w14:val="tx1"/>
            </w14:solidFill>
          </w14:textFill>
        </w:rPr>
        <w:t>施工基础条件内容</w:t>
      </w:r>
      <w:r>
        <w:rPr>
          <w:rFonts w:hint="eastAsia" w:ascii="仿宋" w:hAnsi="仿宋" w:eastAsia="仿宋" w:cs="仿宋"/>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等</w:t>
      </w:r>
      <w:r>
        <w:rPr>
          <w:rFonts w:hint="eastAsia" w:ascii="仿宋" w:hAnsi="仿宋" w:eastAsia="仿宋" w:cs="仿宋"/>
          <w:i w:val="0"/>
          <w:iCs w:val="0"/>
          <w:color w:val="000000" w:themeColor="text1"/>
          <w:sz w:val="28"/>
          <w:szCs w:val="28"/>
          <w:highlight w:val="yellow"/>
          <w:u w:val="single"/>
          <w:shd w:val="clear" w:color="auto" w:fill="auto"/>
          <w:lang w:val="en-US" w:eastAsia="zh-CN"/>
          <w14:textFill>
            <w14:solidFill>
              <w14:schemeClr w14:val="tx1"/>
            </w14:solidFill>
          </w14:textFill>
        </w:rPr>
        <w:t>其他需在本合同明确补充的内容，工程部、成本中心进行复核）</w:t>
      </w:r>
      <w:r>
        <w:rPr>
          <w:rFonts w:hint="eastAsia" w:ascii="仿宋_GB2312" w:hAnsi="仿宋_GB2312" w:eastAsia="仿宋_GB2312" w:cs="仿宋_GB2312"/>
          <w:i w:val="0"/>
          <w:iCs w:val="0"/>
          <w:color w:val="000000" w:themeColor="text1"/>
          <w:sz w:val="28"/>
          <w:szCs w:val="28"/>
          <w:highlight w:val="none"/>
          <w:u w:val="single"/>
          <w:lang w:val="en-US" w:eastAsia="zh-CN"/>
          <w14:textFill>
            <w14:solidFill>
              <w14:schemeClr w14:val="tx1"/>
            </w14:solidFill>
          </w14:textFill>
        </w:rPr>
        <w:t xml:space="preserve">    。</w:t>
      </w:r>
    </w:p>
    <w:bookmarkEnd w:id="11"/>
    <w:bookmarkEnd w:id="12"/>
    <w:p>
      <w:pPr>
        <w:keepNext w:val="0"/>
        <w:keepLines w:val="0"/>
        <w:pageBreakBefore w:val="0"/>
        <w:widowControl w:val="0"/>
        <w:numPr>
          <w:ilvl w:val="0"/>
          <w:numId w:val="1"/>
        </w:numPr>
        <w:kinsoku/>
        <w:wordWrap/>
        <w:overflowPunct/>
        <w:topLinePunct w:val="0"/>
        <w:autoSpaceDE/>
        <w:autoSpaceDN/>
        <w:bidi w:val="0"/>
        <w:adjustRightInd/>
        <w:snapToGrid w:val="0"/>
        <w:spacing w:before="294" w:beforeLines="10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13" w:name="_Toc9088"/>
      <w:bookmarkStart w:id="14" w:name="_Toc27175"/>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工期</w:t>
      </w:r>
      <w:bookmarkEnd w:id="13"/>
      <w:bookmarkEnd w:id="14"/>
    </w:p>
    <w:p>
      <w:pPr>
        <w:tabs>
          <w:tab w:val="right" w:pos="8306"/>
        </w:tabs>
        <w:snapToGrid w:val="0"/>
        <w:spacing w:line="360" w:lineRule="auto"/>
        <w:ind w:left="-197" w:leftChars="-94" w:right="-578" w:rightChars="-275" w:firstLine="417" w:firstLineChars="149"/>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sz w:val="28"/>
          <w:szCs w:val="28"/>
          <w:highlight w:val="none"/>
          <w14:textFill>
            <w14:solidFill>
              <w14:schemeClr w14:val="tx1"/>
            </w14:solidFill>
          </w14:textFill>
        </w:rPr>
        <w:t>.1</w:t>
      </w:r>
      <w:r>
        <w:rPr>
          <w:rFonts w:hint="eastAsia" w:ascii="仿宋_GB2312" w:hAnsi="仿宋_GB2312" w:eastAsia="仿宋_GB2312" w:cs="仿宋_GB2312"/>
          <w:i w:val="0"/>
          <w:iCs w:val="0"/>
          <w:color w:val="auto"/>
          <w:sz w:val="28"/>
          <w:szCs w:val="28"/>
          <w:highlight w:val="none"/>
          <w:shd w:val="clear" w:color="auto" w:fill="auto"/>
          <w:lang w:eastAsia="zh-CN"/>
        </w:rPr>
        <w:t>本工程</w:t>
      </w:r>
      <w:r>
        <w:rPr>
          <w:rFonts w:hint="eastAsia" w:ascii="仿宋_GB2312" w:hAnsi="仿宋_GB2312" w:eastAsia="仿宋_GB2312" w:cs="仿宋_GB2312"/>
          <w:i w:val="0"/>
          <w:iCs w:val="0"/>
          <w:color w:val="auto"/>
          <w:sz w:val="28"/>
          <w:szCs w:val="28"/>
          <w:highlight w:val="none"/>
          <w:shd w:val="clear" w:color="auto" w:fill="auto"/>
          <w:lang w:val="en-US" w:eastAsia="zh-CN"/>
        </w:rPr>
        <w:t>合同</w:t>
      </w:r>
      <w:r>
        <w:rPr>
          <w:rFonts w:hint="eastAsia" w:ascii="仿宋_GB2312" w:hAnsi="仿宋_GB2312" w:eastAsia="仿宋_GB2312" w:cs="仿宋_GB2312"/>
          <w:i w:val="0"/>
          <w:iCs w:val="0"/>
          <w:color w:val="auto"/>
          <w:sz w:val="28"/>
          <w:szCs w:val="28"/>
          <w:highlight w:val="none"/>
          <w:shd w:val="clear" w:color="auto" w:fill="auto"/>
        </w:rPr>
        <w:t>工期</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yellow"/>
          <w:shd w:val="clear" w:color="auto" w:fill="auto"/>
          <w:lang w:val="en-US" w:eastAsia="zh-CN"/>
        </w:rPr>
        <w:t>暂定计划进场施工日期为</w:t>
      </w:r>
      <w:r>
        <w:rPr>
          <w:rFonts w:hint="eastAsia" w:ascii="仿宋_GB2312" w:hAnsi="仿宋_GB2312" w:eastAsia="仿宋_GB2312" w:cs="仿宋_GB2312"/>
          <w:i w:val="0"/>
          <w:iCs w:val="0"/>
          <w:color w:val="auto"/>
          <w:sz w:val="28"/>
          <w:szCs w:val="28"/>
          <w:highlight w:val="yellow"/>
          <w:u w:val="single"/>
          <w:shd w:val="clear" w:color="auto" w:fill="auto"/>
          <w:lang w:val="en-US" w:eastAsia="zh-CN"/>
        </w:rPr>
        <w:t xml:space="preserve">20   </w:t>
      </w:r>
      <w:r>
        <w:rPr>
          <w:rFonts w:hint="eastAsia" w:ascii="仿宋_GB2312" w:hAnsi="仿宋_GB2312" w:eastAsia="仿宋_GB2312" w:cs="仿宋_GB2312"/>
          <w:i w:val="0"/>
          <w:iCs w:val="0"/>
          <w:color w:val="auto"/>
          <w:sz w:val="28"/>
          <w:szCs w:val="28"/>
          <w:highlight w:val="yellow"/>
          <w:shd w:val="clear" w:color="auto" w:fill="auto"/>
          <w:lang w:val="en-US" w:eastAsia="zh-CN"/>
        </w:rPr>
        <w:t>年</w:t>
      </w:r>
      <w:r>
        <w:rPr>
          <w:rFonts w:hint="eastAsia" w:ascii="仿宋_GB2312" w:hAnsi="仿宋_GB2312" w:eastAsia="仿宋_GB2312" w:cs="仿宋_GB2312"/>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i w:val="0"/>
          <w:iCs w:val="0"/>
          <w:color w:val="auto"/>
          <w:sz w:val="28"/>
          <w:szCs w:val="28"/>
          <w:highlight w:val="yellow"/>
          <w:shd w:val="clear" w:color="auto" w:fill="auto"/>
          <w:lang w:val="en-US" w:eastAsia="zh-CN"/>
        </w:rPr>
        <w:t>月</w:t>
      </w:r>
      <w:r>
        <w:rPr>
          <w:rFonts w:hint="eastAsia" w:ascii="仿宋_GB2312" w:hAnsi="仿宋_GB2312" w:eastAsia="仿宋_GB2312" w:cs="仿宋_GB2312"/>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i w:val="0"/>
          <w:iCs w:val="0"/>
          <w:color w:val="auto"/>
          <w:sz w:val="28"/>
          <w:szCs w:val="28"/>
          <w:highlight w:val="yellow"/>
          <w:shd w:val="clear" w:color="auto" w:fill="auto"/>
          <w:lang w:val="en-US" w:eastAsia="zh-CN"/>
        </w:rPr>
        <w:t>日，完工日期至本项目移交建设单位之日。</w:t>
      </w:r>
    </w:p>
    <w:p>
      <w:pPr>
        <w:tabs>
          <w:tab w:val="right" w:pos="8306"/>
        </w:tabs>
        <w:snapToGrid w:val="0"/>
        <w:spacing w:line="360" w:lineRule="auto"/>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4.2</w:t>
      </w:r>
      <w:r>
        <w:rPr>
          <w:rFonts w:hint="eastAsia" w:ascii="仿宋_GB2312" w:hAnsi="仿宋_GB2312" w:eastAsia="仿宋_GB2312" w:cs="仿宋_GB2312"/>
          <w:i w:val="0"/>
          <w:iCs w:val="0"/>
          <w:color w:val="auto"/>
          <w:sz w:val="28"/>
          <w:szCs w:val="28"/>
          <w:highlight w:val="none"/>
          <w:shd w:val="clear" w:color="auto" w:fill="auto"/>
          <w:lang w:val="en-US" w:eastAsia="zh-CN"/>
        </w:rPr>
        <w:t>本工程实际开工、竣工时间</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以甲方书面通知为准，甲方书面通知形式包括不限于微信、短信、</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ab/>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传真、电子邮件、纸质文件等。乙方无条件按甲方要求调整开工、竣工时间。同时，乙方自行调整其人员、材料物资、资金的安排，随时配合甲方开工、竣工并按本合同约定价款执行。因甲方变更工期导致乙方损失的已经包含在</w:t>
      </w:r>
      <w:r>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sym w:font="Wingdings 2" w:char="0052"/>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合同单价</w:t>
      </w:r>
      <w:r>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总价</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内，甲方不另补偿或增加任何费用给乙方。因甲方原因导致乙方延迟进场的，经甲方书面确认后工期相应顺延，但甲方不额外支付窝工费、停工费等费用给乙方，乙方同意不因此追究甲方任何责任及赔偿损失。</w:t>
      </w:r>
    </w:p>
    <w:p>
      <w:pPr>
        <w:keepNext w:val="0"/>
        <w:keepLines w:val="0"/>
        <w:pageBreakBefore w:val="0"/>
        <w:widowControl w:val="0"/>
        <w:tabs>
          <w:tab w:val="right" w:pos="8306"/>
        </w:tabs>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4.</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3乙方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严格遵照甲方制订的施工进度计划</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实施并完成相关工作</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接受</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甲方项目部施工任务</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安排，否则甲方可按合同对乙方予以处罚。</w:t>
      </w:r>
    </w:p>
    <w:p>
      <w:pPr>
        <w:keepNext w:val="0"/>
        <w:keepLines w:val="0"/>
        <w:pageBreakBefore w:val="0"/>
        <w:widowControl w:val="0"/>
        <w:tabs>
          <w:tab w:val="right" w:pos="8306"/>
        </w:tabs>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4.4</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乙方已充分考虑天气</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及各种因素、除不可抗力（如：地震、海啸、瘟疫、骚乱、戒严、暴动、战争等法定情形）外其他原因</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可能对工期</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影响，</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乙方同意</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不</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因</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任何</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原因</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要求延长工期。</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4.</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乙方必须满足</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工期要求，</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配合甲方</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随时增加或减少</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人员</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以满足本工程施工要求</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4.6乙方确定在本合同签订前，已勘察本项目现场场地，对本工程特性全部清楚，因甲方原因导致施工计划调整的，乙方积极配合。</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4.7</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乙方认为甲方或其他单位未配合提供</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所需</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工作面</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机具及材料而影响施工进度</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时</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书面</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报</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告甲方并</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按</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要求办理相关事宜</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，否则视为不影响乙方施工，乙方不得</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因此</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要求延</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长</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工期。</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4.8本项目竣工验收移交甲方后、保修期结束前，如甲方在本项目内有新增工程且要求乙方进行报价施工时，乙方须予配合。</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4.9</w:t>
      </w:r>
      <w:r>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t>其他：</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（请项目部、工程部根据具体工程情况填写其他需在本合同里明确补充的内容）</w:t>
      </w:r>
      <w:r>
        <w:rPr>
          <w:rFonts w:hint="eastAsia" w:ascii="仿宋_GB2312" w:hAnsi="仿宋_GB2312" w:eastAsia="仿宋_GB2312" w:cs="仿宋_GB2312"/>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15" w:name="_Toc18346"/>
      <w:bookmarkStart w:id="16" w:name="_Toc9090"/>
      <w:bookmarkStart w:id="17" w:name="_Toc19252"/>
      <w:bookmarkStart w:id="18" w:name="_Toc2060"/>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工程质量标准</w:t>
      </w:r>
      <w:bookmarkEnd w:id="15"/>
      <w:bookmarkEnd w:id="16"/>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1质量标准：</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本工程须</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达到国家</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行业</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相关</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施工质量验收规范的</w:t>
      </w:r>
      <w:r>
        <w:rPr>
          <w:rFonts w:hint="eastAsia" w:ascii="仿宋_GB2312" w:hAnsi="仿宋_GB2312" w:eastAsia="仿宋_GB2312" w:cs="仿宋_GB2312"/>
          <w:i w:val="0"/>
          <w:iCs w:val="0"/>
          <w:color w:val="000000" w:themeColor="text1"/>
          <w:sz w:val="28"/>
          <w:szCs w:val="28"/>
          <w:highlight w:val="none"/>
          <w:u w:val="single"/>
          <w:shd w:val="clear" w:color="auto" w:fill="auto"/>
          <w14:textFill>
            <w14:solidFill>
              <w14:schemeClr w14:val="tx1"/>
            </w14:solidFill>
          </w14:textFill>
        </w:rPr>
        <w:t xml:space="preserve"> 优良 </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标准</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本合同另有约定的亦须同时符合该约定</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甲方（或监理、</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建设单位、政府部门）</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检查</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验收</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本工程或本项目</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时，</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应安排管理人员配合检查</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验收，</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否则每次向甲方承担违约金人民币贰万元。</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乙方施工过程中必须进行质量检查，</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并按甲方要求做好标记及书面资料，严格执行三级检查制度。乙方须坚决落实甲方、政府部门提出的整改要求，凡未按要求落实整改的，甲方有权对乙方罚款贰仟至伍万元/次，整改二次以上的</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甲方有权</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对本工程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按□</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合同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总</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价</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sym w:font="Wingdings 2" w:char="0052"/>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合同单价下浮</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%予以结算</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3质量要求及要点</w:t>
      </w:r>
      <w:bookmarkStart w:id="19" w:name="_Toc11160"/>
      <w:bookmarkStart w:id="20" w:name="_Toc807"/>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5.3.1高压灌浆：</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（1）检查渗漏位置标注后清理表层及附着物，确保需要注浆裂缝干净、清晰。</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（2）根据渗漏点裂向左右交叉布孔，间距300mm，角度为70°，钻孔深度≤结构板的2/3，清理干净裂缝和孔洞内粉尘及松散的砼颗粒。</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（3）灌浆前根据砼强度调试好设备，压力值不得超过砼结构受压范围。单孔逐一连续性进行操作，当相邻的针口开始出浆后，保持压力3-5分钟停止本孔灌浆，改下一针口灌浆。</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（4）灌浆完毕后不得立即拆除灌浆针头，必须待试水完毕不再渗漏后方可拆除针头，清理干净溢出浆液。</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5.3.2防水卷材：</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（1）涂刷冷底子油前，清理基层表面的杂物、尘土、砂石等垃圾，确保表面干净且无尖锐物。</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（2）在基层满刷一遍冷底油，屋面转角及立面应多遍薄涂，不得有流淌和堆积现象。涂刷要均匀、不透底、遮盖率100%，厚度不得小于3mm。</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（3）屋面女儿墙、排风排烟道出屋面。水沟阴阳角附加层宽度不得小于300mm。落水口周围必须用油膏进行密封处理，并加铺一层附加层深入落水斗内不得小于100mm。</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（4）卷材铺贴搭接宽度不小于100mm，搭接必须按顺水方向搭接，相邻两幅应错开1/3~2/3幅搭接，不得同一部位搭接。</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5.3.3 JS防水涂料：</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（1）清理基层凸起物、松动、起砂、油污等影响JS防水涂料的质量隐患。</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（2）所有管道、管线等物品必须安装牢靠，基层不得有开裂、空鼓缺陷存在。</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（3）JS防水涂料必须分层涂刷，（打底→下层→中层→面层）各层用量不得小于0.3kg/㎡;0.9kg/㎡；0.9kg/㎡；0.9kg/㎡；总用量不得少于3kg/㎡，厚度不得小于1.2mm。</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000000" w:themeColor="text1"/>
          <w:sz w:val="28"/>
          <w:szCs w:val="28"/>
          <w:highlight w:val="yellow"/>
          <w:lang w:eastAsia="zh-CN"/>
          <w14:textFill>
            <w14:solidFill>
              <w14:schemeClr w14:val="tx1"/>
            </w14:solidFill>
          </w14:textFill>
        </w:rPr>
      </w:pPr>
      <w:r>
        <w:rPr>
          <w:rFonts w:hint="eastAsia" w:ascii="仿宋" w:hAnsi="仿宋" w:eastAsia="仿宋" w:cs="仿宋"/>
          <w:i w:val="0"/>
          <w:iCs w:val="0"/>
          <w:color w:val="auto"/>
          <w:sz w:val="28"/>
          <w:szCs w:val="28"/>
          <w:highlight w:val="none"/>
          <w:u w:val="none"/>
          <w:lang w:val="en-US" w:eastAsia="zh-CN"/>
        </w:rPr>
        <w:t>5.4</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乙供</w:t>
      </w:r>
      <w:r>
        <w:rPr>
          <w:rFonts w:hint="eastAsia" w:ascii="仿宋" w:hAnsi="仿宋" w:eastAsia="仿宋" w:cs="仿宋"/>
          <w:i w:val="0"/>
          <w:iCs w:val="0"/>
          <w:color w:val="000000" w:themeColor="text1"/>
          <w:sz w:val="28"/>
          <w:szCs w:val="28"/>
          <w:highlight w:val="yellow"/>
          <w14:textFill>
            <w14:solidFill>
              <w14:schemeClr w14:val="tx1"/>
            </w14:solidFill>
          </w14:textFill>
        </w:rPr>
        <w:t>材料收货验收流程及标准</w:t>
      </w:r>
      <w:r>
        <w:rPr>
          <w:rFonts w:hint="eastAsia" w:ascii="仿宋" w:hAnsi="仿宋" w:eastAsia="仿宋" w:cs="仿宋"/>
          <w:i w:val="0"/>
          <w:iCs w:val="0"/>
          <w:color w:val="FF0000"/>
          <w:sz w:val="28"/>
          <w:szCs w:val="28"/>
          <w:highlight w:val="yellow"/>
          <w:lang w:eastAsia="zh-CN"/>
        </w:rPr>
        <w:t>【</w:t>
      </w:r>
      <w:r>
        <w:rPr>
          <w:rFonts w:hint="eastAsia" w:ascii="仿宋" w:hAnsi="仿宋" w:eastAsia="仿宋" w:cs="仿宋"/>
          <w:i w:val="0"/>
          <w:iCs w:val="0"/>
          <w:color w:val="FF0000"/>
          <w:sz w:val="28"/>
          <w:szCs w:val="28"/>
          <w:highlight w:val="yellow"/>
          <w:lang w:val="en-US" w:eastAsia="zh-CN"/>
        </w:rPr>
        <w:t>具体细则由项目、工程提供</w:t>
      </w:r>
      <w:r>
        <w:rPr>
          <w:rFonts w:hint="eastAsia" w:ascii="仿宋" w:hAnsi="仿宋" w:eastAsia="仿宋" w:cs="仿宋"/>
          <w:i w:val="0"/>
          <w:iCs w:val="0"/>
          <w:color w:val="FF0000"/>
          <w:sz w:val="28"/>
          <w:szCs w:val="28"/>
          <w:highlight w:val="yellow"/>
          <w:lang w:eastAsia="zh-CN"/>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FF0000"/>
          <w:sz w:val="28"/>
          <w:szCs w:val="28"/>
          <w:highlight w:val="yellow"/>
        </w:rPr>
      </w:pP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5.4.</w:t>
      </w:r>
      <w:r>
        <w:rPr>
          <w:rFonts w:hint="eastAsia" w:ascii="仿宋" w:hAnsi="仿宋" w:eastAsia="仿宋" w:cs="仿宋"/>
          <w:i w:val="0"/>
          <w:iCs w:val="0"/>
          <w:color w:val="000000" w:themeColor="text1"/>
          <w:sz w:val="28"/>
          <w:szCs w:val="28"/>
          <w:highlight w:val="yellow"/>
          <w14:textFill>
            <w14:solidFill>
              <w14:schemeClr w14:val="tx1"/>
            </w14:solidFill>
          </w14:textFill>
        </w:rPr>
        <w:t>1</w:t>
      </w:r>
      <w:r>
        <w:rPr>
          <w:rFonts w:hint="eastAsia" w:ascii="仿宋" w:hAnsi="仿宋" w:eastAsia="仿宋" w:cs="仿宋"/>
          <w:i w:val="0"/>
          <w:iCs w:val="0"/>
          <w:color w:val="FF0000"/>
          <w:sz w:val="28"/>
          <w:szCs w:val="28"/>
          <w:highlight w:val="yellow"/>
          <w:lang w:val="en-US" w:eastAsia="zh-CN"/>
        </w:rPr>
        <w:t>主要材料、设备进场时乙方向甲方提供</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“产品出厂合格证、原材料检验报告、出厂质量证明书”等有关资料并在当天移交甲方存档</w:t>
      </w:r>
      <w:r>
        <w:rPr>
          <w:rFonts w:hint="eastAsia" w:ascii="仿宋" w:hAnsi="仿宋" w:eastAsia="仿宋" w:cs="仿宋"/>
          <w:i w:val="0"/>
          <w:iCs w:val="0"/>
          <w:color w:val="FF0000"/>
          <w:sz w:val="28"/>
          <w:szCs w:val="28"/>
          <w:highlight w:val="yellow"/>
        </w:rPr>
        <w:t>。</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5.4.</w:t>
      </w:r>
      <w:r>
        <w:rPr>
          <w:rFonts w:hint="eastAsia" w:ascii="仿宋" w:hAnsi="仿宋" w:eastAsia="仿宋" w:cs="仿宋"/>
          <w:i w:val="0"/>
          <w:iCs w:val="0"/>
          <w:color w:val="000000" w:themeColor="text1"/>
          <w:sz w:val="28"/>
          <w:szCs w:val="28"/>
          <w:highlight w:val="yellow"/>
          <w14:textFill>
            <w14:solidFill>
              <w14:schemeClr w14:val="tx1"/>
            </w14:solidFill>
          </w14:textFill>
        </w:rPr>
        <w:t>2</w:t>
      </w:r>
      <w:r>
        <w:rPr>
          <w:rFonts w:hint="eastAsia" w:ascii="仿宋" w:hAnsi="仿宋" w:eastAsia="仿宋" w:cs="仿宋"/>
          <w:i w:val="0"/>
          <w:iCs w:val="0"/>
          <w:color w:val="FF0000"/>
          <w:sz w:val="28"/>
          <w:szCs w:val="28"/>
          <w:highlight w:val="yellow"/>
          <w:lang w:val="en-US" w:eastAsia="zh-CN"/>
        </w:rPr>
        <w:t>甲方项目施工员在</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乙供主要</w:t>
      </w:r>
      <w:r>
        <w:rPr>
          <w:rFonts w:hint="eastAsia" w:ascii="仿宋" w:hAnsi="仿宋" w:eastAsia="仿宋" w:cs="仿宋"/>
          <w:i w:val="0"/>
          <w:iCs w:val="0"/>
          <w:color w:val="000000" w:themeColor="text1"/>
          <w:sz w:val="28"/>
          <w:szCs w:val="28"/>
          <w:highlight w:val="yellow"/>
          <w14:textFill>
            <w14:solidFill>
              <w14:schemeClr w14:val="tx1"/>
            </w14:solidFill>
          </w14:textFill>
        </w:rPr>
        <w:t>材料</w:t>
      </w:r>
      <w:r>
        <w:rPr>
          <w:rFonts w:hint="eastAsia" w:ascii="仿宋" w:hAnsi="仿宋" w:eastAsia="仿宋" w:cs="仿宋"/>
          <w:i w:val="0"/>
          <w:iCs w:val="0"/>
          <w:color w:val="000000" w:themeColor="text1"/>
          <w:sz w:val="28"/>
          <w:szCs w:val="28"/>
          <w:highlight w:val="yellow"/>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设备进场时对品牌、规格、型号、质量等进行抽检并拍照留存。</w:t>
      </w:r>
    </w:p>
    <w:p>
      <w:pPr>
        <w:keepNext w:val="0"/>
        <w:keepLines w:val="0"/>
        <w:pageBreakBefore w:val="0"/>
        <w:widowControl w:val="0"/>
        <w:kinsoku/>
        <w:wordWrap/>
        <w:overflowPunct/>
        <w:topLinePunct w:val="0"/>
        <w:autoSpaceDE/>
        <w:autoSpaceDN/>
        <w:bidi w:val="0"/>
        <w:adjustRightInd/>
        <w:snapToGrid w:val="0"/>
        <w:spacing w:line="540" w:lineRule="exact"/>
        <w:ind w:left="-197" w:leftChars="-94" w:right="-578" w:rightChars="-275" w:firstLine="417" w:firstLineChars="149"/>
        <w:rPr>
          <w:rFonts w:hint="default" w:ascii="仿宋_GB2312" w:hAnsi="仿宋_GB2312" w:eastAsia="仿宋_GB2312" w:cs="仿宋_GB2312"/>
          <w:i w:val="0"/>
          <w:iCs w:val="0"/>
          <w:color w:val="000000" w:themeColor="text1"/>
          <w:sz w:val="28"/>
          <w:szCs w:val="28"/>
          <w:highlight w:val="yellow"/>
          <w:u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5.</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4</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.3对不符合合同要求的</w:t>
      </w:r>
      <w:r>
        <w:rPr>
          <w:rFonts w:hint="eastAsia" w:ascii="仿宋" w:hAnsi="仿宋" w:eastAsia="仿宋" w:cs="仿宋"/>
          <w:i w:val="0"/>
          <w:iCs w:val="0"/>
          <w:color w:val="FF0000"/>
          <w:sz w:val="28"/>
          <w:szCs w:val="28"/>
          <w:highlight w:val="yellow"/>
          <w:lang w:val="en-US" w:eastAsia="zh-CN"/>
        </w:rPr>
        <w:t>甲指乙供</w:t>
      </w:r>
      <w:r>
        <w:rPr>
          <w:rFonts w:hint="eastAsia" w:ascii="仿宋" w:hAnsi="仿宋" w:eastAsia="仿宋" w:cs="仿宋"/>
          <w:i w:val="0"/>
          <w:iCs w:val="0"/>
          <w:color w:val="000000" w:themeColor="text1"/>
          <w:sz w:val="28"/>
          <w:szCs w:val="28"/>
          <w:highlight w:val="yellow"/>
          <w14:textFill>
            <w14:solidFill>
              <w14:schemeClr w14:val="tx1"/>
            </w14:solidFill>
          </w14:textFill>
        </w:rPr>
        <w:t>材料</w:t>
      </w:r>
      <w:r>
        <w:rPr>
          <w:rFonts w:hint="eastAsia" w:ascii="仿宋" w:hAnsi="仿宋" w:eastAsia="仿宋" w:cs="仿宋"/>
          <w:i w:val="0"/>
          <w:iCs w:val="0"/>
          <w:color w:val="FF0000"/>
          <w:sz w:val="28"/>
          <w:szCs w:val="28"/>
          <w:highlight w:val="yellow"/>
          <w:lang w:eastAsia="zh-CN"/>
        </w:rPr>
        <w:t>（</w:t>
      </w:r>
      <w:r>
        <w:rPr>
          <w:rFonts w:hint="eastAsia" w:ascii="仿宋" w:hAnsi="仿宋" w:eastAsia="仿宋" w:cs="仿宋"/>
          <w:i w:val="0"/>
          <w:iCs w:val="0"/>
          <w:color w:val="FF0000"/>
          <w:sz w:val="28"/>
          <w:szCs w:val="28"/>
          <w:highlight w:val="yellow"/>
          <w:lang w:val="en-US" w:eastAsia="zh-CN"/>
        </w:rPr>
        <w:t>如材料的品牌、规格、型号、质量等</w:t>
      </w:r>
      <w:r>
        <w:rPr>
          <w:rFonts w:hint="eastAsia" w:ascii="仿宋" w:hAnsi="仿宋" w:eastAsia="仿宋" w:cs="仿宋"/>
          <w:i w:val="0"/>
          <w:iCs w:val="0"/>
          <w:color w:val="000000" w:themeColor="text1"/>
          <w:sz w:val="28"/>
          <w:szCs w:val="28"/>
          <w:highlight w:val="yellow"/>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yellow"/>
          <w14:textFill>
            <w14:solidFill>
              <w14:schemeClr w14:val="tx1"/>
            </w14:solidFill>
          </w14:textFill>
        </w:rPr>
        <w:t>，</w:t>
      </w:r>
      <w:r>
        <w:rPr>
          <w:rFonts w:hint="eastAsia" w:ascii="仿宋" w:hAnsi="仿宋" w:eastAsia="仿宋" w:cs="仿宋"/>
          <w:i w:val="0"/>
          <w:iCs w:val="0"/>
          <w:strike w:val="0"/>
          <w:dstrike w:val="0"/>
          <w:color w:val="FF0000"/>
          <w:sz w:val="28"/>
          <w:szCs w:val="28"/>
          <w:highlight w:val="yellow"/>
          <w:lang w:val="en-US" w:eastAsia="zh-CN"/>
        </w:rPr>
        <w:t>由甲方本合同执行联系人</w:t>
      </w:r>
      <w:r>
        <w:rPr>
          <w:rFonts w:hint="eastAsia" w:ascii="仿宋" w:hAnsi="仿宋" w:eastAsia="仿宋" w:cs="仿宋"/>
          <w:i w:val="0"/>
          <w:iCs w:val="0"/>
          <w:color w:val="000000" w:themeColor="text1"/>
          <w:sz w:val="28"/>
          <w:szCs w:val="28"/>
          <w:highlight w:val="yellow"/>
          <w14:textFill>
            <w14:solidFill>
              <w14:schemeClr w14:val="tx1"/>
            </w14:solidFill>
          </w14:textFill>
        </w:rPr>
        <w:t>按合同要求直接拒收</w:t>
      </w:r>
      <w:r>
        <w:rPr>
          <w:rFonts w:hint="eastAsia" w:ascii="仿宋" w:hAnsi="仿宋" w:eastAsia="仿宋" w:cs="仿宋"/>
          <w:i w:val="0"/>
          <w:iCs w:val="0"/>
          <w:color w:val="000000" w:themeColor="text1"/>
          <w:sz w:val="28"/>
          <w:szCs w:val="28"/>
          <w:highlight w:val="yellow"/>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yellow"/>
          <w14:textFill>
            <w14:solidFill>
              <w14:schemeClr w14:val="tx1"/>
            </w14:solidFill>
          </w14:textFill>
        </w:rPr>
        <w:t>退场并作好记录备查，不允许</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折价收货</w:t>
      </w:r>
      <w:r>
        <w:rPr>
          <w:rFonts w:hint="eastAsia" w:ascii="仿宋" w:hAnsi="仿宋" w:eastAsia="仿宋" w:cs="仿宋"/>
          <w:i w:val="0"/>
          <w:iCs w:val="0"/>
          <w:color w:val="000000" w:themeColor="text1"/>
          <w:sz w:val="28"/>
          <w:szCs w:val="28"/>
          <w:highlight w:val="yellow"/>
          <w14:textFill>
            <w14:solidFill>
              <w14:schemeClr w14:val="tx1"/>
            </w14:solidFill>
          </w14:textFill>
        </w:rPr>
        <w:t>不符合合同</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要求的材料，且</w:t>
      </w:r>
      <w:r>
        <w:rPr>
          <w:rFonts w:hint="eastAsia" w:ascii="仿宋" w:hAnsi="仿宋" w:eastAsia="仿宋" w:cs="仿宋"/>
          <w:i w:val="0"/>
          <w:iCs w:val="0"/>
          <w:strike w:val="0"/>
          <w:dstrike w:val="0"/>
          <w:color w:val="auto"/>
          <w:sz w:val="28"/>
          <w:szCs w:val="28"/>
          <w:highlight w:val="yellow"/>
          <w:lang w:val="en-US" w:eastAsia="zh-CN"/>
        </w:rPr>
        <w:t>乙方向甲方承担违约金（违约金金额等于</w:t>
      </w:r>
      <w:r>
        <w:rPr>
          <w:rFonts w:hint="eastAsia" w:ascii="仿宋" w:hAnsi="仿宋" w:eastAsia="仿宋" w:cs="仿宋"/>
          <w:i w:val="0"/>
          <w:iCs w:val="0"/>
          <w:strike w:val="0"/>
          <w:dstrike w:val="0"/>
          <w:color w:val="FF0000"/>
          <w:sz w:val="28"/>
          <w:szCs w:val="28"/>
          <w:highlight w:val="yellow"/>
          <w:lang w:val="en-US" w:eastAsia="zh-CN"/>
        </w:rPr>
        <w:t>不符合合同约定的</w:t>
      </w:r>
      <w:r>
        <w:rPr>
          <w:rFonts w:hint="eastAsia" w:ascii="仿宋" w:hAnsi="仿宋" w:eastAsia="仿宋" w:cs="仿宋"/>
          <w:i w:val="0"/>
          <w:iCs w:val="0"/>
          <w:strike w:val="0"/>
          <w:dstrike w:val="0"/>
          <w:color w:val="auto"/>
          <w:sz w:val="28"/>
          <w:szCs w:val="28"/>
          <w:highlight w:val="yellow"/>
          <w:lang w:val="en-US" w:eastAsia="zh-CN"/>
        </w:rPr>
        <w:t>材料金额的三倍但最少不低于五万元/次），甲方有权在任意一笔应付乙方的合同款中自行扣取违约金。</w:t>
      </w:r>
    </w:p>
    <w:bookmarkEnd w:id="19"/>
    <w:bookmarkEnd w:id="20"/>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after="147" w:after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21" w:name="_Toc12151"/>
      <w:bookmarkStart w:id="22" w:name="_Toc14842"/>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合同价款</w:t>
      </w:r>
      <w:bookmarkEnd w:id="17"/>
      <w:bookmarkEnd w:id="18"/>
      <w:bookmarkEnd w:id="21"/>
      <w:bookmarkEnd w:id="22"/>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6.1</w:t>
      </w:r>
      <w:r>
        <w:rPr>
          <w:rFonts w:hint="eastAsia" w:ascii="仿宋_GB2312" w:hAnsi="仿宋_GB2312" w:eastAsia="仿宋_GB2312" w:cs="仿宋_GB2312"/>
          <w:i w:val="0"/>
          <w:iCs w:val="0"/>
          <w:color w:val="000000" w:themeColor="text1"/>
          <w:sz w:val="28"/>
          <w:szCs w:val="28"/>
          <w:highlight w:val="none"/>
          <w14:textFill>
            <w14:solidFill>
              <w14:schemeClr w14:val="tx1"/>
            </w14:solidFill>
          </w14:textFill>
        </w:rPr>
        <w:t>乙方完成</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本</w:t>
      </w:r>
      <w:r>
        <w:rPr>
          <w:rFonts w:hint="eastAsia" w:ascii="仿宋_GB2312" w:hAnsi="仿宋_GB2312" w:eastAsia="仿宋_GB2312" w:cs="仿宋_GB2312"/>
          <w:i w:val="0"/>
          <w:iCs w:val="0"/>
          <w:color w:val="000000" w:themeColor="text1"/>
          <w:sz w:val="28"/>
          <w:szCs w:val="28"/>
          <w:highlight w:val="none"/>
          <w14:textFill>
            <w14:solidFill>
              <w14:schemeClr w14:val="tx1"/>
            </w14:solidFill>
          </w14:textFill>
        </w:rPr>
        <w:t>合同第</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三</w:t>
      </w:r>
      <w:r>
        <w:rPr>
          <w:rFonts w:hint="eastAsia" w:ascii="仿宋_GB2312" w:hAnsi="仿宋_GB2312" w:eastAsia="仿宋_GB2312" w:cs="仿宋_GB2312"/>
          <w:i w:val="0"/>
          <w:iCs w:val="0"/>
          <w:color w:val="000000" w:themeColor="text1"/>
          <w:sz w:val="28"/>
          <w:szCs w:val="28"/>
          <w:highlight w:val="none"/>
          <w:lang w:eastAsia="zh-CN"/>
          <w14:textFill>
            <w14:solidFill>
              <w14:schemeClr w14:val="tx1"/>
            </w14:solidFill>
          </w14:textFill>
        </w:rPr>
        <w:t>章</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承包</w:t>
      </w:r>
      <w:r>
        <w:rPr>
          <w:rFonts w:hint="eastAsia" w:ascii="仿宋_GB2312" w:hAnsi="仿宋_GB2312" w:eastAsia="仿宋_GB2312" w:cs="仿宋_GB2312"/>
          <w:i w:val="0"/>
          <w:iCs w:val="0"/>
          <w:color w:val="000000" w:themeColor="text1"/>
          <w:sz w:val="28"/>
          <w:szCs w:val="28"/>
          <w:highlight w:val="none"/>
          <w14:textFill>
            <w14:solidFill>
              <w14:schemeClr w14:val="tx1"/>
            </w14:solidFill>
          </w14:textFill>
        </w:rPr>
        <w:t>范围内所有工作</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实现第四章工期要求及承担合同义务、责任、风险</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的费用</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已</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包括在下列</w:t>
      </w:r>
      <w:r>
        <w:rPr>
          <w:rFonts w:hint="eastAsia" w:ascii="仿宋_GB2312" w:hAnsi="仿宋_GB2312" w:eastAsia="仿宋_GB2312" w:cs="仿宋_GB2312"/>
          <w:i w:val="0"/>
          <w:iCs w:val="0"/>
          <w:color w:val="000000" w:themeColor="text1"/>
          <w:sz w:val="28"/>
          <w:szCs w:val="28"/>
          <w:highlight w:val="none"/>
          <w14:textFill>
            <w14:solidFill>
              <w14:schemeClr w14:val="tx1"/>
            </w14:solidFill>
          </w14:textFill>
        </w:rPr>
        <w:t>合同价</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以打</w:t>
      </w:r>
      <w:r>
        <w:rPr>
          <w:rFonts w:hint="eastAsia" w:ascii="仿宋_GB2312" w:hAnsi="仿宋_GB2312" w:eastAsia="仿宋_GB2312" w:cs="仿宋_GB2312"/>
          <w:b/>
          <w:bCs/>
          <w:i w:val="0"/>
          <w:iCs w:val="0"/>
          <w:color w:val="000000" w:themeColor="text1"/>
          <w:sz w:val="28"/>
          <w:szCs w:val="28"/>
          <w:highlight w:val="none"/>
          <w14:textFill>
            <w14:solidFill>
              <w14:schemeClr w14:val="tx1"/>
            </w14:solidFill>
          </w14:textFill>
        </w:rPr>
        <w:sym w:font="Wingdings 2" w:char="0052"/>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为准</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14:textFill>
            <w14:solidFill>
              <w14:schemeClr w14:val="tx1"/>
            </w14:solidFill>
          </w14:textFill>
        </w:rPr>
        <w:t>中。</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9" w:firstLineChars="149"/>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14:textFill>
            <w14:solidFill>
              <w14:schemeClr w14:val="tx1"/>
            </w14:solidFill>
          </w14:textFill>
        </w:rPr>
        <w:sym w:font="Wingdings 2" w:char="0052"/>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本合同为固定单价合同，</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工程量按实结算。</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合同单价（详见附件一）为全费用固定综合含税单价，乙方开具税率</w:t>
      </w:r>
      <w:r>
        <w:rPr>
          <w:rFonts w:hint="eastAsia" w:ascii="仿宋_GB2312" w:hAnsi="仿宋_GB2312" w:eastAsia="仿宋_GB2312" w:cs="仿宋_GB2312"/>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%的增值税专用发票（税率按国家政策执行，如税率调整，合同单价随之调整）</w:t>
      </w:r>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，除合同另有约定外，合同单价不作任何调整。</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合同单价适用于本项目用地红线范围内的全部本工程工作内容，已有价格的子目双方无需另行确定单价，均按已确定价格执行。</w:t>
      </w:r>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合同单价包含乙方完成本合同及本合同附件所述内容的全部费用。本合同暂定总价为人民币</w:t>
      </w:r>
      <w:r>
        <w:rPr>
          <w:rFonts w:hint="eastAsia" w:ascii="仿宋" w:hAnsi="仿宋" w:eastAsia="仿宋" w:cs="仿宋"/>
          <w:b/>
          <w:bCs/>
          <w:i w:val="0"/>
          <w:iCs w:val="0"/>
          <w:color w:val="000000" w:themeColor="text1"/>
          <w:sz w:val="28"/>
          <w:szCs w:val="28"/>
          <w:highlight w:val="none"/>
          <w:u w:val="single"/>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w:t>
      </w:r>
      <w:r>
        <w:rPr>
          <w:rFonts w:hint="eastAsia" w:ascii="仿宋" w:hAnsi="仿宋" w:eastAsia="仿宋" w:cs="仿宋"/>
          <w:b/>
          <w:bCs/>
          <w:i w:val="0"/>
          <w:iCs w:val="0"/>
          <w:color w:val="000000" w:themeColor="text1"/>
          <w:sz w:val="28"/>
          <w:szCs w:val="28"/>
          <w:highlight w:val="none"/>
          <w:u w:val="single"/>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），此价仅供参考，不作结算用途。</w:t>
      </w:r>
    </w:p>
    <w:p>
      <w:pPr>
        <w:snapToGrid w:val="0"/>
        <w:spacing w:line="360" w:lineRule="auto"/>
        <w:ind w:left="-197" w:leftChars="-94" w:right="-578" w:rightChars="-275" w:firstLine="419" w:firstLineChars="149"/>
        <w:rPr>
          <w:rFonts w:hint="default" w:ascii="仿宋_GB2312" w:hAnsi="仿宋_GB2312" w:eastAsia="仿宋_GB2312" w:cs="仿宋_GB2312"/>
          <w:b/>
          <w:bCs/>
          <w:i w:val="0"/>
          <w:iCs w:val="0"/>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9"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t xml:space="preserve"> </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乙方完成下述工作及应对下述情况、风险的费用</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已包含在本合同单价中，甲方无需另行付费给乙方：</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完成</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甲方指定的东莞项目用地红线范围内</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的全部</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零星</w:t>
      </w:r>
      <w:r>
        <w:rPr>
          <w:rFonts w:hint="eastAsia" w:ascii="仿宋_GB2312" w:hAnsi="仿宋_GB2312" w:eastAsia="仿宋_GB2312" w:cs="仿宋_GB2312"/>
          <w:b w:val="0"/>
          <w:bCs w:val="0"/>
          <w:i w:val="0"/>
          <w:iCs w:val="0"/>
          <w:color w:val="000000" w:themeColor="text1"/>
          <w:sz w:val="28"/>
          <w:szCs w:val="28"/>
          <w:highlight w:val="none"/>
          <w:u w:val="none"/>
          <w:lang w:val="en-US" w:eastAsia="zh-CN"/>
          <w14:textFill>
            <w14:solidFill>
              <w14:schemeClr w14:val="tx1"/>
            </w14:solidFill>
          </w14:textFill>
        </w:rPr>
        <w:t>防水补漏工程，包括但不限于：清理基层、刷基层处理剂，防水薄弱处刷聚氨酯涂膜及卷材，附加层、加强层等细部处理，裂缝处理（如采用高压注浆等方式封堵等）贴卷材，卷材搭接处及收头嵌油膏，具体施工范围按图纸、规范及甲方要求，工程上使用的材料，因施工环境和场地限制，汽车不能直接运至现场（不能直接原车远到施工组织设计要求的范围内的堆放地点），必须再次运输所发生的二次装运卸而产生的费用</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2</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对相关</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施工机械及</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总分配电</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箱、电缆线</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进</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行维护、保养</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甲方只负责将配电箱接至施工区域附近，乙方自行接至工作面</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开关箱，</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电线、电缆由乙方负责</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确保本工程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满足</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所在地建设安全管理标准化施工</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要求，一次性达到本项目所在地建设行政主管部门的达标要求及本合同要求</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textAlignment w:val="auto"/>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春节、元旦、五一、十一、周末等法定节假日及技术要求或进度计划要求</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进行</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赶工、加班。</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jc w:val="left"/>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参与甲供材料（如有）申报采购、验收和收货，其数量作为乙方使用材料损耗率指标的核算依据。</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jc w:val="left"/>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施工过程出现赶工、交叉作业、停工及工人工资、材料费、机具费上涨等</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导致乙方成本、费用发生</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增</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加</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不因此</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要求甲方对合同价</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格</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进行调整和另行</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增补</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费用</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各种风险费用已包含在本合同价款内</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9" w:firstLineChars="149"/>
        <w:rPr>
          <w:rFonts w:hint="eastAsia"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14:textFill>
            <w14:solidFill>
              <w14:schemeClr w14:val="tx1"/>
            </w14:solidFill>
          </w14:textFill>
        </w:rPr>
        <w:sym w:font="Wingdings 2" w:char="00A3"/>
      </w:r>
      <w:r>
        <w:rPr>
          <w:rFonts w:hint="eastAsia"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t>本合同为固定总价合同，合同总价为人民币</w:t>
      </w:r>
      <w:r>
        <w:rPr>
          <w:rFonts w:hint="eastAsia" w:ascii="仿宋_GB2312" w:hAnsi="仿宋_GB2312" w:eastAsia="仿宋_GB2312" w:cs="仿宋_GB2312"/>
          <w:b/>
          <w:bCs/>
          <w:i w:val="0"/>
          <w:iCs w:val="0"/>
          <w:color w:val="000000" w:themeColor="text1"/>
          <w:sz w:val="28"/>
          <w:szCs w:val="28"/>
          <w:highlight w:val="none"/>
          <w:u w:val="single"/>
          <w:lang w:val="en-US" w:eastAsia="zh-CN"/>
          <w14:textFill>
            <w14:solidFill>
              <w14:schemeClr w14:val="tx1"/>
            </w14:solidFill>
          </w14:textFill>
        </w:rPr>
        <w:t xml:space="preserve"> （大写）元整（¥      ，详见附件一），</w:t>
      </w:r>
      <w:r>
        <w:rPr>
          <w:rFonts w:hint="eastAsia"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t>此价含税，乙方开具税率</w:t>
      </w:r>
      <w:r>
        <w:rPr>
          <w:rFonts w:hint="eastAsia" w:ascii="仿宋_GB2312" w:hAnsi="仿宋_GB2312" w:eastAsia="仿宋_GB2312" w:cs="仿宋_GB2312"/>
          <w:b/>
          <w:bCs/>
          <w:i w:val="0"/>
          <w:iCs w:val="0"/>
          <w:color w:val="000000" w:themeColor="text1"/>
          <w:sz w:val="28"/>
          <w:szCs w:val="28"/>
          <w:highlight w:val="none"/>
          <w:u w:val="single"/>
          <w:lang w:val="en-US" w:eastAsia="zh-CN"/>
          <w14:textFill>
            <w14:solidFill>
              <w14:schemeClr w14:val="tx1"/>
            </w14:solidFill>
          </w14:textFill>
        </w:rPr>
        <w:t xml:space="preserve">   </w:t>
      </w:r>
      <w:r>
        <w:rPr>
          <w:rFonts w:hint="eastAsia"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t>%的增值税专用发票（税率按国家政策执行，如税率调整，合同总价随之调整）</w:t>
      </w:r>
      <w:r>
        <w:rPr>
          <w:rFonts w:hint="eastAsia" w:ascii="仿宋_GB2312" w:hAnsi="仿宋_GB2312" w:eastAsia="仿宋_GB2312" w:cs="仿宋_GB2312"/>
          <w:b w:val="0"/>
          <w:bCs w:val="0"/>
          <w:i w:val="0"/>
          <w:iCs w:val="0"/>
          <w:color w:val="000000" w:themeColor="text1"/>
          <w:sz w:val="28"/>
          <w:szCs w:val="28"/>
          <w:highlight w:val="none"/>
          <w:u w:val="none"/>
          <w:lang w:val="en-US"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合同单价适用于本项目用地红线范围内的全部本工程工作内容，已有价格的子目双方无需另行确定单价，均按已确定价格执行。</w:t>
      </w:r>
      <w:r>
        <w:rPr>
          <w:rFonts w:hint="eastAsia"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t xml:space="preserve">合同总价对应的工程量清单和图纸及相关文件详见附件。合同总价包含乙方完成本合同及本合同附件所述内容的全部费用，除合同另有约定外，不作调整。 </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9"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t xml:space="preserve"> </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乙方完成下述工作及应对下述情况、风险的费用</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已包含在本合同总价中，甲方无需另行付费给乙方：</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完成</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甲方指定的东莞项目用地红线范围内</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的全部</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零星</w:t>
      </w:r>
      <w:r>
        <w:rPr>
          <w:rFonts w:hint="eastAsia" w:ascii="仿宋_GB2312" w:hAnsi="仿宋_GB2312" w:eastAsia="仿宋_GB2312" w:cs="仿宋_GB2312"/>
          <w:b w:val="0"/>
          <w:bCs w:val="0"/>
          <w:i w:val="0"/>
          <w:iCs w:val="0"/>
          <w:color w:val="000000" w:themeColor="text1"/>
          <w:sz w:val="28"/>
          <w:szCs w:val="28"/>
          <w:highlight w:val="none"/>
          <w:u w:val="none"/>
          <w:lang w:val="en-US" w:eastAsia="zh-CN"/>
          <w14:textFill>
            <w14:solidFill>
              <w14:schemeClr w14:val="tx1"/>
            </w14:solidFill>
          </w14:textFill>
        </w:rPr>
        <w:t>防水补漏工程，包括但不限于：清理基层、刷基层处理剂，防水薄弱处刷聚氨酯涂膜及卷材，附加层、加强层等细部处理，裂缝处理（如采用高压注浆等方式封堵等）贴卷材，卷材搭接处及收头嵌油膏，具体施工范围按图纸、规范及甲方要求，工程上使用的材料，因施工环境和场地限制，汽车不能直接运至现场（不能直接原车远到施工组织设计要求的范围内的堆放地点），必须再次运输所发生的二次装运卸而产生的费用。</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2</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对相关</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施工机械及</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总分配电</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箱、电缆线</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进</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行维护、保养</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甲方只负责将配电箱接至施工区域附近，乙方自行接至工作面</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开关箱，</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电线、电缆由乙方负责</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确保本工程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满足</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所在地建设安全管理标准化施工</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要求，一次性达到本项目所在地建设行政主管部门的达标要求及本合同要求</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textAlignment w:val="auto"/>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春节、元旦、五一、十一、周末等法定节假日及技术要求或进度计划要求</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进行</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赶工、加班。</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jc w:val="left"/>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参与甲供材料（如有）申报采购、验收和收货，其数量作为乙方使用材料损耗率指标的核算依据。</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jc w:val="left"/>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施工过程出现赶工、交叉作业、停工及工人工资、材料费、机具费上涨等</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导致乙方成本、费用发生</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增</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加</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不因此</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要求甲方对合同价</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格</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进行调整和另行</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增补</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费用</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各种风险费用已包含在本合同价款内</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jc w:val="left"/>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其他：</w:t>
      </w:r>
      <w:r>
        <w:rPr>
          <w:rFonts w:hint="eastAsia" w:ascii="仿宋_GB2312" w:hAnsi="仿宋_GB2312" w:eastAsia="仿宋_GB2312" w:cs="仿宋_GB2312"/>
          <w:i w:val="0"/>
          <w:iCs w:val="0"/>
          <w:color w:val="000000" w:themeColor="text1"/>
          <w:sz w:val="28"/>
          <w:szCs w:val="28"/>
          <w:highlight w:val="none"/>
          <w:u w:val="single"/>
          <w:lang w:eastAsia="zh-CN"/>
          <w14:textFill>
            <w14:solidFill>
              <w14:schemeClr w14:val="tx1"/>
            </w14:solidFill>
          </w14:textFill>
        </w:rPr>
        <w:t>（请</w:t>
      </w:r>
      <w:r>
        <w:rPr>
          <w:rFonts w:hint="eastAsia" w:ascii="仿宋_GB2312" w:hAnsi="仿宋_GB2312" w:eastAsia="仿宋_GB2312" w:cs="仿宋_GB2312"/>
          <w:i w:val="0"/>
          <w:iCs w:val="0"/>
          <w:color w:val="000000" w:themeColor="text1"/>
          <w:sz w:val="28"/>
          <w:szCs w:val="28"/>
          <w:highlight w:val="none"/>
          <w:u w:val="single"/>
          <w:lang w:val="en-US" w:eastAsia="zh-CN"/>
          <w14:textFill>
            <w14:solidFill>
              <w14:schemeClr w14:val="tx1"/>
            </w14:solidFill>
          </w14:textFill>
        </w:rPr>
        <w:t>成本中心、</w:t>
      </w:r>
      <w:r>
        <w:rPr>
          <w:rFonts w:hint="eastAsia" w:ascii="仿宋_GB2312" w:hAnsi="仿宋_GB2312" w:eastAsia="仿宋_GB2312" w:cs="仿宋_GB2312"/>
          <w:i w:val="0"/>
          <w:iCs w:val="0"/>
          <w:color w:val="000000" w:themeColor="text1"/>
          <w:sz w:val="28"/>
          <w:szCs w:val="28"/>
          <w:highlight w:val="none"/>
          <w:u w:val="single"/>
          <w:lang w:eastAsia="zh-CN"/>
          <w14:textFill>
            <w14:solidFill>
              <w14:schemeClr w14:val="tx1"/>
            </w14:solidFill>
          </w14:textFill>
        </w:rPr>
        <w:t xml:space="preserve">项目部、工程部根据具体工程情况填写其他需在本合同里明确补充的内容） </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jc w:val="left"/>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6.2本合同第6.1</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条所述价格已考虑“COVID-19”疫情等流行疾病影响，乙方不以疫情等疾病防控为由要求甲方对该价格、合同结算办法及工期等合同条款进行调整，疾病防疫措施的一切费用已包含在合同价内，不另计费。</w:t>
      </w:r>
      <w:bookmarkStart w:id="23" w:name="_Toc9761"/>
      <w:bookmarkStart w:id="24" w:name="_Toc32757"/>
      <w:bookmarkStart w:id="25" w:name="_Toc5821"/>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jc w:val="left"/>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6.3对于增加或变更工程，须凭甲方项目经理签认的签证单及相关资料办理结算。甲方签证单须有本合同授权的甲方项目经理亲自签字确认并加盖公章的书面文件方为有效签证。甲方项目经理委托/授权他人代签均为无效签证，</w:t>
      </w:r>
      <w:r>
        <w:rPr>
          <w:rFonts w:hint="eastAsia" w:ascii="仿宋_GB2312" w:hAnsi="仿宋_GB2312" w:eastAsia="仿宋_GB2312" w:cs="仿宋_GB2312"/>
          <w:i w:val="0"/>
          <w:iCs w:val="0"/>
          <w:color w:val="000000" w:themeColor="text1"/>
          <w:sz w:val="28"/>
          <w:szCs w:val="28"/>
          <w:highlight w:val="none"/>
          <w14:textFill>
            <w14:solidFill>
              <w14:schemeClr w14:val="tx1"/>
            </w14:solidFill>
          </w14:textFill>
        </w:rPr>
        <w:t>甲方不予办理</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付款及结算。</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任何人口头指示、通知不作为结算依据。未经甲方盖章书面签证确认或乙方超出图纸、合同清单范围施工的工程量，不属于增加工程，结算时不纳入结算范围。</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jc w:val="left"/>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6.4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bookmarkEnd w:id="23"/>
    <w:bookmarkEnd w:id="24"/>
    <w:bookmarkEnd w:id="25"/>
    <w:p>
      <w:pPr>
        <w:keepNext w:val="0"/>
        <w:keepLines w:val="0"/>
        <w:pageBreakBefore w:val="0"/>
        <w:widowControl w:val="0"/>
        <w:numPr>
          <w:ilvl w:val="0"/>
          <w:numId w:val="1"/>
        </w:numPr>
        <w:kinsoku/>
        <w:wordWrap/>
        <w:overflowPunct/>
        <w:topLinePunct w:val="0"/>
        <w:autoSpaceDE/>
        <w:autoSpaceDN/>
        <w:bidi w:val="0"/>
        <w:adjustRightInd/>
        <w:snapToGrid w:val="0"/>
        <w:spacing w:before="294" w:beforeLines="10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26" w:name="_Toc11681"/>
      <w:bookmarkStart w:id="27" w:name="_Toc27562"/>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计量计价方式及结算方式</w:t>
      </w:r>
      <w:bookmarkEnd w:id="26"/>
      <w:bookmarkEnd w:id="27"/>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7.1工程量计算原则：</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9"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i w:val="0"/>
          <w:iCs w:val="0"/>
          <w:color w:val="auto"/>
          <w:sz w:val="28"/>
          <w:szCs w:val="28"/>
          <w:highlight w:val="none"/>
          <w:shd w:val="clear" w:color="auto" w:fill="auto"/>
        </w:rPr>
        <w:sym w:font="Wingdings 2" w:char="00A3"/>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7.1.1总价包干合同:合同范围内的按合同约定的计算原则执行，合同无约定或合同范围外的签证、变更工程计量方式按第7.1.2.1～7.3.5条规则执行。</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9"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i w:val="0"/>
          <w:iCs w:val="0"/>
          <w:color w:val="auto"/>
          <w:sz w:val="28"/>
          <w:szCs w:val="28"/>
          <w:highlight w:val="none"/>
          <w:shd w:val="clear" w:color="auto" w:fill="auto"/>
        </w:rPr>
        <w:sym w:font="Wingdings 2" w:char="0052"/>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7.1.2固定单价合同：合同范围内的按合同约定的计算原则执行，合同无约定或合同范围外的签证、变更工程计量方式按以下规则执行。</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7.1.2.1工程量计量规则：执行《广东省房屋建筑与装饰工程综合定额（2018）》工程量计算规则、《广东省通用安装工程综合定额(2018)》工程量计算规则、《广东省市政工程综合定额(2018)》工程量计算规则、《广东省园林绿化工程综合定额(2018)》工程量计算规则、《建筑工程建筑面积计算规范（GB50353-2013）》进行计算。</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7.1.2.2计量依据：①甲方签认下发的施工图；②设计变更、甲方与建设方签认的联系单及签证单；③建设方、监理签认的竣工图；④建设方的交楼标准；⑤图纸会审纪要；⑥质监站要求而图纸中没有的报建设方同意施工的内容。</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7.2计价依据</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7.2.1合同范围内的工程，按合同单价执行；</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default"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7.2.2合同范围外的签证、变更、增加工程、按以下办法计价：</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7.2.2.1合同中已有适用于该工程的价格时，按合同已有的价格执行；</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7.2.2.2合同中只有类似于该工程的价格时，可在合理范围内参照类似价格执行；</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7.2.3合同中没有适用或类似于该工程的价格时，按以下计价规则执行。</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7.3计价规则：</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7.3.1执行《2018广东省建筑与装饰工程综合定额》、《2018广东省安装工程综合定额》清单计价程序取费，绿化部分执行《2018广东省园林绿化工程综合定额》清单计价程序取费。采用清单计价，执行《建设工程工程量清单计价规范》（GB50500—2013）；同时执行《广东省建设工程计价依据（2018）》： 《广东省建筑工程与装饰工程计价定额（2018）》、《广东省通用安装工程综合定额(2018)》、《广东省市政工程综合定额(2018)》、《广东省园林绿化工程综合定额(2018)》、《广东省建设工程施工机具台班费用编制规则（2018）》、《广东省工程量清单计价指引（2013)》等以及国家行政主管部门颁布的相关规定文件。</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7.3.2材料价、人工价：执行施工当地建设工程主管部门颁布的施工同期信息价。信息价上没有颁布的材料，由乙方按施工同期的市场价格提出合理的市场报价，市场报价须提供相关证明文件（含材料的厂家、品牌、型号、规格等），经甲方确认综合单价后作为独立费计入总价（计取税金），不参与任何取费及上下浮。</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7.3.3计价中除仅计取人工费、材料费、机具费、管理费、利润作为直接工程费外，其余按系数计取的各类取费均不计取。</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7.3.4税率：按国家建设行政主管部门及国家税务部门的最新规定执行。</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7.3.5按上述计费方式得出的价款后（甲方直接确认的综合价不参与上下浮的除外）：</w:t>
      </w:r>
      <w:r>
        <w:rPr>
          <w:rFonts w:hint="eastAsia" w:ascii="仿宋_GB2312" w:hAnsi="仿宋_GB2312" w:eastAsia="仿宋_GB2312" w:cs="仿宋_GB2312"/>
          <w:b/>
          <w:bCs/>
          <w:i w:val="0"/>
          <w:iCs w:val="0"/>
          <w:color w:val="auto"/>
          <w:sz w:val="28"/>
          <w:szCs w:val="28"/>
          <w:highlight w:val="none"/>
          <w:shd w:val="clear" w:color="auto" w:fill="auto"/>
        </w:rPr>
        <w:sym w:font="Wingdings 2" w:char="00A3"/>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包人工包辅材的工程按以上计价方式（仅计取人工费和分包提供的辅材和机械费）下浮</w:t>
      </w:r>
      <w:r>
        <w:rPr>
          <w:rFonts w:hint="eastAsia" w:ascii="仿宋_GB2312" w:hAnsi="仿宋_GB2312" w:eastAsia="仿宋_GB2312" w:cs="仿宋_GB2312"/>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8 </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%后计取税金；</w:t>
      </w:r>
      <w:r>
        <w:rPr>
          <w:rFonts w:hint="eastAsia" w:ascii="仿宋_GB2312" w:hAnsi="仿宋_GB2312" w:eastAsia="仿宋_GB2312" w:cs="仿宋_GB2312"/>
          <w:b/>
          <w:bCs/>
          <w:i w:val="0"/>
          <w:iCs w:val="0"/>
          <w:color w:val="auto"/>
          <w:sz w:val="28"/>
          <w:szCs w:val="28"/>
          <w:highlight w:val="none"/>
          <w:shd w:val="clear" w:color="auto" w:fill="auto"/>
        </w:rPr>
        <w:sym w:font="Wingdings 2" w:char="0052"/>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包工包料的工程按以上计价方式下浮</w:t>
      </w:r>
      <w:r>
        <w:rPr>
          <w:rFonts w:hint="eastAsia" w:ascii="仿宋_GB2312" w:hAnsi="仿宋_GB2312" w:eastAsia="仿宋_GB2312" w:cs="仿宋_GB2312"/>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35 </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%后计取税金。（结算时，如乙方已请款部分开具的发票税率与合同约定不同时，须提供已请款金额及相应税率，且须甲方财务签字确认）</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default"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7.4结算规定</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7.4.1经甲方项目部验收合格的工程，按合同约定的计价方式结算</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7.4.1.1固定单价合同结算方式：结算总价=完成达到合同标准的实际工程量×合同单价-合同约定扣除费用。</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7.4.1.2固定总价合同结算方式：结算总价=固定合同总价-合同内未施工内容+合同外增加内容（需有甲方联系函或设计变更确认）-合同约定扣除费用。</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7.4.2未经甲方项目部验收或验收达不到合同标准、在整改中的产品不予结算。</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7.4.3因设计变更或现场签证引起的工程量变化，经甲方项目部签证上报公司审批后，结算时按合同约定的计价方式执行。</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7.4.4因合同中已有施工方案的变化引起的工程价款变化，结算时不再调整（合同中未明确的施工方案除外）。</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7.4.5零星时工计价规定：</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7.4.5.1零星用人工以时工派工单的方式结算（现用白、红、黄三联单）；</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7.4.5.2零星时工填写派工单时，应根据时工发生的责任分别写单。属甲方承担的，用甲方内部现场签证单；属扣“XX班组”的单独写单，并注明扣“XX班组”；属建设单位签证的（不属甲方范围的零星用工）必须附建设单位签证单复印件；</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7.4.5.3当月发生的零星用工，必须在当月25日后5天内交甲方工程部审核，否则过期的派工单一律作废；</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7.4.5.4零星用工单价：230元/工日（含税）。</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7.4.6乙方办理结算时必须按甲方要求对合同范围内每个项目或每个地块或每栋楼单独结算，否则甲方有权不予结算且不承担任何违约责任。</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7.4.7乙方提交的竣工资料、签证单（须附建设方联系函或变更单和签证单分包说明）、工程量确认单等（以甲方要求的格式为准，详见《结算申请表》、《工程结算资料审查表》）必须为签章齐全的原件，否则甲方不予结算相关费用。</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7.4.8乙方办理工程进度款申请书、结算书时必须提供甲方主管施工员和项目经理签名的“工完场清交接单”，否则甲方有权不予办理付款及结算。</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7.4.9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同意甲方单方确定的结算价格。</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7.4.10 结算书由乙方自行遵守实事求是的原则编制并向甲方申报，一旦申报结算后不得再另行增补结算资料和增加结算金额。申报格式及表格等相关要求按照甲方统一要求执行，否则甲方有权不予结算。如乙方所报结算工程量少于实际工程量，视为乙方放弃少报、漏报部分的权利和款项，结算时不予计算，甲方无需承担费用。乙方所报结算总价高出甲方最终审定价（即本工程甲乙双方确认的竣工结算价）10%以上时，甲方在支付结算款时按（乙方所报结算总价-甲方最终审定价）*20%对乙方处以不诚信处罚，即甲方将在结算款中一次性扣除（乙方所报结算总价-甲方最终审定价）*20%的金额。</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7.5结算资料要求</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7.5.1 递交完整的结算书一式两份（正副本各一份）。</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7.5.1.1装订要求：胶装、盖骑缝章、法人签章；</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default"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7.5.1.2结算资料排序：封面、目录、结算申请表、工程结算资料审查表、工程合同、工程验收单、工程结算书、签证预算书、变更单、签证联系函及签证单、照片及相关图纸、记录文件等。</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7.5.2 递交结算资料的前提，甲方需有建设单位完整的签字版竣工图；</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7.5.3 递交结算资料须按《结算申请表》、《工程结算资料审查表》要求；</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7.5.4 签证资料要求:7天内乙方必须提交完整的签证资料到项目部，超期后甲方不再受理该部分工程签证内容；30天内乙方必须提交签证内容完整的报价到甲方，超期后甲方不再受理该部分工程签证结算，且全部责任由乙方自行承担。</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i w:val="0"/>
          <w:iCs w:val="0"/>
          <w:color w:val="000000" w:themeColor="text1"/>
          <w:sz w:val="28"/>
          <w:szCs w:val="28"/>
          <w:highlight w:val="none"/>
          <w:shd w:val="clear" w:color="auto" w:fill="auto"/>
          <w:lang w:eastAsia="zh-CN"/>
          <w14:textFill>
            <w14:solidFill>
              <w14:schemeClr w14:val="tx1"/>
            </w14:solidFill>
          </w14:textFill>
        </w:rPr>
        <w:t>7.</w:t>
      </w:r>
      <w:r>
        <w:rPr>
          <w:rFonts w:hint="eastAsia" w:ascii="仿宋_GB2312" w:hAnsi="仿宋_GB2312" w:eastAsia="仿宋_GB2312" w:cs="仿宋_GB2312"/>
          <w:b w:val="0"/>
          <w:bCs/>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b w:val="0"/>
          <w:bCs/>
          <w:i w:val="0"/>
          <w:iCs w:val="0"/>
          <w:color w:val="000000" w:themeColor="text1"/>
          <w:sz w:val="28"/>
          <w:szCs w:val="28"/>
          <w:highlight w:val="none"/>
          <w:shd w:val="clear" w:color="auto" w:fill="auto"/>
          <w14:textFill>
            <w14:solidFill>
              <w14:schemeClr w14:val="tx1"/>
            </w14:solidFill>
          </w14:textFill>
        </w:rPr>
        <w:t>本工程合同内未施工内容和合同外增加内容工程结算金额的申报约定如下：</w:t>
      </w:r>
    </w:p>
    <w:p>
      <w:pPr>
        <w:snapToGrid w:val="0"/>
        <w:spacing w:line="360" w:lineRule="auto"/>
        <w:ind w:left="-197" w:leftChars="-94" w:right="-578" w:rightChars="-275" w:firstLine="417" w:firstLineChars="149"/>
        <w:rPr>
          <w:rFonts w:hint="eastAsia" w:ascii="仿宋_GB2312" w:hAnsi="仿宋_GB2312" w:eastAsia="仿宋_GB2312" w:cs="仿宋_GB2312"/>
          <w:b w:val="0"/>
          <w:bCs/>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i w:val="0"/>
          <w:iCs w:val="0"/>
          <w:color w:val="auto"/>
          <w:sz w:val="28"/>
          <w:szCs w:val="28"/>
          <w:highlight w:val="none"/>
          <w:shd w:val="clear" w:color="auto" w:fill="auto"/>
        </w:rPr>
        <w:t>乙方应本着实事求是的精神对工程做出结算，若乙方虚报工程结算，甲方对工程竣工结算的特殊要求：合同内未施工的清单分项、图纸内容，乙方在申报结算书中未扣减其相应费用的，甲方有权要求乙方按其未施工项目金额的200%支付违约金，违约金可在任一期结算金额中扣除。</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i w:val="0"/>
          <w:iCs w:val="0"/>
          <w:color w:val="000000" w:themeColor="text1"/>
          <w:sz w:val="28"/>
          <w:szCs w:val="28"/>
          <w:highlight w:val="none"/>
          <w:shd w:val="clear" w:color="auto" w:fill="auto"/>
          <w:lang w:eastAsia="zh-CN"/>
          <w14:textFill>
            <w14:solidFill>
              <w14:schemeClr w14:val="tx1"/>
            </w14:solidFill>
          </w14:textFill>
        </w:rPr>
        <w:t>7.</w:t>
      </w:r>
      <w:r>
        <w:rPr>
          <w:rFonts w:hint="eastAsia" w:ascii="仿宋_GB2312" w:hAnsi="仿宋_GB2312" w:eastAsia="仿宋_GB2312" w:cs="仿宋_GB2312"/>
          <w:b w:val="0"/>
          <w:bCs/>
          <w:i w:val="0"/>
          <w:iCs w:val="0"/>
          <w:color w:val="000000" w:themeColor="text1"/>
          <w:sz w:val="28"/>
          <w:szCs w:val="28"/>
          <w:highlight w:val="none"/>
          <w:shd w:val="clear" w:color="auto" w:fill="auto"/>
          <w:lang w:val="en-US" w:eastAsia="zh-CN"/>
          <w14:textFill>
            <w14:solidFill>
              <w14:schemeClr w14:val="tx1"/>
            </w14:solidFill>
          </w14:textFill>
        </w:rPr>
        <w:t>7</w:t>
      </w:r>
      <w:r>
        <w:rPr>
          <w:rFonts w:hint="eastAsia" w:ascii="仿宋_GB2312" w:hAnsi="仿宋_GB2312" w:eastAsia="仿宋_GB2312" w:cs="仿宋_GB2312"/>
          <w:b w:val="0"/>
          <w:bCs/>
          <w:i w:val="0"/>
          <w:iCs w:val="0"/>
          <w:color w:val="000000" w:themeColor="text1"/>
          <w:sz w:val="28"/>
          <w:szCs w:val="28"/>
          <w:highlight w:val="none"/>
          <w:shd w:val="clear" w:color="auto" w:fill="auto"/>
          <w14:textFill>
            <w14:solidFill>
              <w14:schemeClr w14:val="tx1"/>
            </w14:solidFill>
          </w14:textFill>
        </w:rPr>
        <w:t>合同内未施工的清单分项，图纸内容，乙方在申报结算书中未扣减其相应费用的，按其申报的未施工项的金额的200%扣减乙方，作为对乙方不诚信的处罚。</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b w:val="0"/>
          <w:bCs w:val="0"/>
          <w:i w:val="0"/>
          <w:iCs w:val="0"/>
          <w:color w:val="auto"/>
          <w:sz w:val="28"/>
          <w:szCs w:val="28"/>
          <w:highlight w:val="yellow"/>
          <w:shd w:val="clear" w:color="auto" w:fill="auto"/>
          <w:lang w:val="en-US" w:eastAsia="zh-CN"/>
        </w:rPr>
      </w:pPr>
      <w:r>
        <w:rPr>
          <w:rFonts w:hint="eastAsia" w:ascii="仿宋_GB2312" w:hAnsi="仿宋_GB2312" w:eastAsia="仿宋_GB2312" w:cs="仿宋_GB2312"/>
          <w:b w:val="0"/>
          <w:bCs/>
          <w:i w:val="0"/>
          <w:iCs w:val="0"/>
          <w:color w:val="000000" w:themeColor="text1"/>
          <w:sz w:val="28"/>
          <w:szCs w:val="28"/>
          <w:highlight w:val="none"/>
          <w:shd w:val="clear" w:color="auto" w:fill="auto"/>
          <w:lang w:eastAsia="zh-CN"/>
          <w14:textFill>
            <w14:solidFill>
              <w14:schemeClr w14:val="tx1"/>
            </w14:solidFill>
          </w14:textFill>
        </w:rPr>
        <w:t>7.</w:t>
      </w:r>
      <w:r>
        <w:rPr>
          <w:rFonts w:hint="eastAsia" w:ascii="仿宋_GB2312" w:hAnsi="仿宋_GB2312" w:eastAsia="仿宋_GB2312" w:cs="仿宋_GB2312"/>
          <w:b w:val="0"/>
          <w:bCs/>
          <w:i w:val="0"/>
          <w:iCs w:val="0"/>
          <w:color w:val="000000" w:themeColor="text1"/>
          <w:sz w:val="28"/>
          <w:szCs w:val="28"/>
          <w:highlight w:val="none"/>
          <w:shd w:val="clear" w:color="auto" w:fill="auto"/>
          <w:lang w:val="en-US" w:eastAsia="zh-CN"/>
          <w14:textFill>
            <w14:solidFill>
              <w14:schemeClr w14:val="tx1"/>
            </w14:solidFill>
          </w14:textFill>
        </w:rPr>
        <w:t>8</w:t>
      </w:r>
      <w:r>
        <w:rPr>
          <w:rFonts w:hint="eastAsia" w:ascii="仿宋_GB2312" w:hAnsi="仿宋_GB2312" w:eastAsia="仿宋_GB2312" w:cs="仿宋_GB2312"/>
          <w:b w:val="0"/>
          <w:bCs/>
          <w:i w:val="0"/>
          <w:iCs w:val="0"/>
          <w:color w:val="auto"/>
          <w:sz w:val="28"/>
          <w:szCs w:val="28"/>
          <w:highlight w:val="none"/>
          <w:shd w:val="clear" w:color="auto" w:fill="auto"/>
        </w:rPr>
        <w:t>乙方必须认真实事求是编制申报结算费用，若经甲方审核的结算工程量与乙方申报的结算工程量对比导致核减的金额在乙方申报结算价10%以内（含10%），则以双方共同确认工程量办理结算；若经甲方审核的结算工程量与乙方申报的结算工程量对比导致核减金额超过乙方申报结算价10%，则核减超过乙方申报结算价10%以外的金额全部作为违约金在结算中扣除。</w:t>
      </w:r>
    </w:p>
    <w:p>
      <w:pPr>
        <w:keepNext w:val="0"/>
        <w:keepLines w:val="0"/>
        <w:pageBreakBefore w:val="0"/>
        <w:widowControl w:val="0"/>
        <w:kinsoku/>
        <w:wordWrap/>
        <w:overflowPunct/>
        <w:topLinePunct w:val="0"/>
        <w:autoSpaceDE/>
        <w:autoSpaceDN/>
        <w:bidi w:val="0"/>
        <w:adjustRightInd/>
        <w:snapToGrid w:val="0"/>
        <w:spacing w:line="520" w:lineRule="exact"/>
        <w:ind w:right="-578" w:rightChars="-275" w:firstLine="560" w:firstLineChars="200"/>
        <w:jc w:val="left"/>
        <w:textAlignment w:val="auto"/>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7.9对于增加或变更工程，须凭甲方项目经理签认的签证单及相关资料办理结算。甲方签证单须有本合同授权的甲方项目经理亲自签字确认并加盖公章的书面文件方为有效签证。甲方项目经理委托/授权他人代签均为无效签证，</w:t>
      </w:r>
      <w:r>
        <w:rPr>
          <w:rFonts w:hint="eastAsia" w:ascii="仿宋_GB2312" w:hAnsi="仿宋_GB2312" w:eastAsia="仿宋_GB2312" w:cs="仿宋_GB2312"/>
          <w:i w:val="0"/>
          <w:iCs w:val="0"/>
          <w:color w:val="000000" w:themeColor="text1"/>
          <w:sz w:val="28"/>
          <w:szCs w:val="28"/>
          <w:highlight w:val="none"/>
          <w14:textFill>
            <w14:solidFill>
              <w14:schemeClr w14:val="tx1"/>
            </w14:solidFill>
          </w14:textFill>
        </w:rPr>
        <w:t>甲方不予办理</w:t>
      </w:r>
      <w:r>
        <w:rPr>
          <w:rFonts w:hint="eastAsia" w:ascii="仿宋_GB2312" w:hAnsi="仿宋_GB2312" w:eastAsia="仿宋_GB2312" w:cs="仿宋_GB2312"/>
          <w:i w:val="0"/>
          <w:iCs w:val="0"/>
          <w:color w:val="000000" w:themeColor="text1"/>
          <w:sz w:val="28"/>
          <w:szCs w:val="28"/>
          <w:highlight w:val="none"/>
          <w:lang w:val="en-US" w:eastAsia="zh-CN"/>
          <w14:textFill>
            <w14:solidFill>
              <w14:schemeClr w14:val="tx1"/>
            </w14:solidFill>
          </w14:textFill>
        </w:rPr>
        <w:t>付款及结算。</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任何人口头指示、通知不作为结算依据。未经甲方盖章书面签证确认或乙方超出图纸、合同清单范围施工的工程量，不属于增加工程，结算时不予计费。</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jc w:val="left"/>
        <w:textAlignment w:val="auto"/>
        <w:rPr>
          <w:rFonts w:hint="default" w:ascii="仿宋_GB2312" w:hAnsi="仿宋_GB2312" w:eastAsia="仿宋_GB2312" w:cs="仿宋_GB2312"/>
          <w:b w:val="0"/>
          <w:bCs w:val="0"/>
          <w:i w:val="0"/>
          <w:iCs w:val="0"/>
          <w:color w:val="auto"/>
          <w:sz w:val="28"/>
          <w:szCs w:val="28"/>
          <w:highlight w:val="none"/>
          <w:lang w:val="en-US" w:eastAsia="zh-CN"/>
        </w:rPr>
      </w:pP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7.10</w:t>
      </w:r>
      <w:r>
        <w:rPr>
          <w:rFonts w:hint="eastAsia" w:ascii="仿宋_GB2312" w:hAnsi="仿宋_GB2312" w:eastAsia="仿宋_GB2312" w:cs="仿宋_GB2312"/>
          <w:b w:val="0"/>
          <w:bCs w:val="0"/>
          <w:i w:val="0"/>
          <w:iCs w:val="0"/>
          <w:color w:val="auto"/>
          <w:sz w:val="28"/>
          <w:szCs w:val="28"/>
          <w:highlight w:val="none"/>
          <w:lang w:val="en-US" w:eastAsia="zh-CN"/>
        </w:rPr>
        <w:t>对签证工程的结算工程量，如“甲乙双方之间的签证单确认量”与“甲方与本工程建设单位的签证单确认量”不相同时，以两份签证单中最小的确认量作为甲乙双方的结算量。</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bookmarkStart w:id="28" w:name="_Toc16700"/>
      <w:bookmarkStart w:id="29" w:name="_Toc26012"/>
      <w:bookmarkStart w:id="30" w:name="_Toc15133"/>
      <w:bookmarkStart w:id="31" w:name="_Toc317"/>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付款方式</w:t>
      </w:r>
      <w:bookmarkEnd w:id="28"/>
      <w:bookmarkEnd w:id="29"/>
      <w:bookmarkEnd w:id="30"/>
      <w:bookmarkEnd w:id="31"/>
    </w:p>
    <w:p>
      <w:pPr>
        <w:keepNext w:val="0"/>
        <w:keepLines w:val="0"/>
        <w:pageBreakBefore w:val="0"/>
        <w:widowControl w:val="0"/>
        <w:kinsoku/>
        <w:wordWrap/>
        <w:overflowPunct/>
        <w:topLinePunct w:val="0"/>
        <w:autoSpaceDE/>
        <w:autoSpaceDN/>
        <w:bidi w:val="0"/>
        <w:adjustRightInd/>
        <w:snapToGrid w:val="0"/>
        <w:spacing w:before="147" w:beforeLines="50" w:line="520" w:lineRule="exact"/>
        <w:ind w:left="-197" w:leftChars="-94" w:right="-578" w:rightChars="-275" w:firstLine="419" w:firstLineChars="149"/>
        <w:textAlignment w:val="auto"/>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sym w:font="Wingdings 2" w:char="0052"/>
      </w:r>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8.1付款方式一</w:t>
      </w:r>
    </w:p>
    <w:p>
      <w:pPr>
        <w:pStyle w:val="3"/>
        <w:keepNext w:val="0"/>
        <w:keepLines w:val="0"/>
        <w:pageBreakBefore w:val="0"/>
        <w:widowControl w:val="0"/>
        <w:shd w:val="clear"/>
        <w:kinsoku/>
        <w:wordWrap/>
        <w:overflowPunct/>
        <w:topLinePunct w:val="0"/>
        <w:autoSpaceDE/>
        <w:autoSpaceDN/>
        <w:bidi w:val="0"/>
        <w:adjustRightInd/>
        <w:spacing w:line="52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8.</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1.1</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任一</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组团</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全部完工后，</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乙方于次月10日前提供本月及次月《建筑工人工资表》等相关进度款审批文件给甲方，甲方审核完成后支付至本工程该组团已</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完成合格工程量造价的</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7</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0%</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作为进度款。该进度款支付分配安排如下：</w:t>
      </w:r>
    </w:p>
    <w:p>
      <w:pPr>
        <w:pStyle w:val="3"/>
        <w:keepNext w:val="0"/>
        <w:keepLines w:val="0"/>
        <w:pageBreakBefore w:val="0"/>
        <w:widowControl w:val="0"/>
        <w:shd w:val="clear"/>
        <w:kinsoku/>
        <w:wordWrap/>
        <w:overflowPunct/>
        <w:topLinePunct w:val="0"/>
        <w:autoSpaceDE/>
        <w:autoSpaceDN/>
        <w:bidi w:val="0"/>
        <w:adjustRightInd/>
        <w:spacing w:line="52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乙方本月和次月的工人工资款从甲方工人工资专用账户支付，余款由甲方账户直接支付至本合同约定的乙方收款账户。</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例：乙方申请3月份进度款时，须在4月10日前报3月份《建筑工人工资表》、乙方3月发放工人工资金额和4月份《建筑工人工资表》、乙方预计4月发放的工人工资金额作为附件资料给甲方项目部，该部分款额由甲方工人工资专用账户直接付至乙方《建筑工人工资表》中的工人工资卡。）乙方对工人工资的再次发放资料及凭证清单（加盖乙方公章的复印件）须于甲方支付余款给乙方之日起10个日历天内报甲方项目部，否则甲方有权中止后续付款且不违约。</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none"/>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8.1.2</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任一</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组团</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的全部工作内容施工完成，经建设行政主管部门、建设单位及监理、甲方等竣工综合验收合格并移交建设单位后，甲乙双方办理该</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组团</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的工程结算，双方就结算金额达成书面一致</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且乙方开具金额等于结算总价100%的发票给甲方</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后，甲方付至</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该组团</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结算总价的</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97</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含乙方工人工资</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w:t>
      </w:r>
      <w:r>
        <w:rPr>
          <w:rFonts w:hint="eastAsia" w:ascii="仿宋" w:hAnsi="仿宋" w:eastAsia="仿宋" w:cs="仿宋"/>
          <w:i w:val="0"/>
          <w:iCs w:val="0"/>
          <w:color w:val="000000" w:themeColor="text1"/>
          <w:kern w:val="2"/>
          <w:sz w:val="28"/>
          <w:szCs w:val="28"/>
          <w:highlight w:val="none"/>
          <w:lang w:val="en-US" w:eastAsia="zh-CN" w:bidi="ar-SA"/>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若该组团非乙方原因不能进行建设行政主管部门参与的竣工综合验收，甲乙双方则在该组团全面竣工完成之日起4个月后启动该组团竣工结算工作</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before="147" w:beforeLines="50" w:line="52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none"/>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8.</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1.3</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任一</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组团</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结算总价的</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3</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％作为该</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组团内容的</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质保金</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含乙方工人工资</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，质保期满</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五</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年且乙方</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如实</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履行保修义务、责任后无息结清。</w:t>
      </w:r>
    </w:p>
    <w:p>
      <w:pPr>
        <w:keepNext w:val="0"/>
        <w:keepLines w:val="0"/>
        <w:pageBreakBefore w:val="0"/>
        <w:widowControl w:val="0"/>
        <w:kinsoku/>
        <w:wordWrap/>
        <w:overflowPunct/>
        <w:topLinePunct w:val="0"/>
        <w:autoSpaceDE/>
        <w:autoSpaceDN/>
        <w:bidi w:val="0"/>
        <w:adjustRightInd/>
        <w:snapToGrid w:val="0"/>
        <w:spacing w:before="147" w:beforeLines="50" w:line="520" w:lineRule="exact"/>
        <w:ind w:left="-197" w:leftChars="-94" w:right="-578" w:rightChars="-275" w:firstLine="419" w:firstLineChars="149"/>
        <w:textAlignment w:val="auto"/>
        <w:rPr>
          <w:rFonts w:hint="default"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14:textFill>
            <w14:solidFill>
              <w14:schemeClr w14:val="tx1"/>
            </w14:solidFill>
          </w14:textFill>
        </w:rPr>
        <w:sym w:font="Wingdings 2" w:char="00A3"/>
      </w:r>
      <w:r>
        <w:rPr>
          <w:rFonts w:hint="eastAsia" w:ascii="仿宋_GB2312" w:hAnsi="仿宋_GB2312" w:eastAsia="仿宋_GB2312" w:cs="仿宋_GB2312"/>
          <w:b/>
          <w:bCs/>
          <w:i w:val="0"/>
          <w:iCs w:val="0"/>
          <w:color w:val="000000" w:themeColor="text1"/>
          <w:sz w:val="28"/>
          <w:szCs w:val="28"/>
          <w:highlight w:val="none"/>
          <w:lang w:val="en-US" w:eastAsia="zh-CN"/>
          <w14:textFill>
            <w14:solidFill>
              <w14:schemeClr w14:val="tx1"/>
            </w14:solidFill>
          </w14:textFill>
        </w:rPr>
        <w:t>8.2付款方式二</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9" w:firstLineChars="149"/>
        <w:textAlignment w:val="auto"/>
        <w:rPr>
          <w:rFonts w:hint="eastAsia" w:ascii="仿宋_GB2312" w:hAnsi="仿宋_GB2312" w:eastAsia="仿宋_GB2312" w:cs="仿宋_GB2312"/>
          <w:b/>
          <w:bCs/>
          <w:i w:val="0"/>
          <w:iCs w:val="0"/>
          <w:color w:val="000000" w:themeColor="text1"/>
          <w:sz w:val="28"/>
          <w:szCs w:val="28"/>
          <w:highlight w:val="none"/>
          <w:u w:val="single"/>
          <w:lang w:val="en-US" w:eastAsia="zh-CN"/>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u w:val="single"/>
          <w:shd w:val="clear" w:color="auto" w:fill="auto"/>
          <w:lang w:val="en-US" w:eastAsia="zh-CN"/>
          <w14:textFill>
            <w14:solidFill>
              <w14:schemeClr w14:val="tx1"/>
            </w14:solidFill>
          </w14:textFill>
        </w:rPr>
        <w:t>（如定标结果的付款方式与上述“8.1条付款方式一”不一致，则将定标结果的付款方式填写在此处作为合同付款方式。 ）</w:t>
      </w:r>
      <w:r>
        <w:rPr>
          <w:rFonts w:hint="eastAsia" w:ascii="仿宋_GB2312" w:hAnsi="仿宋_GB2312" w:eastAsia="仿宋_GB2312" w:cs="仿宋_GB2312"/>
          <w:b/>
          <w:bCs/>
          <w:i w:val="0"/>
          <w:iCs w:val="0"/>
          <w:color w:val="000000" w:themeColor="text1"/>
          <w:sz w:val="28"/>
          <w:szCs w:val="28"/>
          <w:highlight w:val="none"/>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pPr>
      <w:bookmarkStart w:id="32" w:name="_Toc31665"/>
      <w:bookmarkStart w:id="33" w:name="_Toc26423"/>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8.3付款形式：优先使用网银、银行承兑汇票等，支票、电汇视情况而定。甲方选择其中任意一种支付形式给乙方合同款，均视为乙方收到该笔合同款。</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8.</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4</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乙方每次收款</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前</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必须提供甲方认可</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且符合合同约定</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的等额合法增值税专用发票（开票内容须与合同内容一致，</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按甲方要求分项目、分地块</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独立开具发票），否则甲方有权不付款</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甲方以实际收到乙方请款资料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拒付合同款</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且不</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违约。</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8.5</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乙方必须按税法规定的四流合一执行合同，即合同流、货物流、发票流、资金流一致，否则视为乙方违约，且由乙方承担所有责任及损失，直至满足四流合一，甲方方才付款。</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8.</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6</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乙方每次向甲方请款时，</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应</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按甲方要求注明该次请款所含的</w:t>
      </w:r>
      <w:r>
        <w:rPr>
          <w:rFonts w:hint="eastAsia" w:ascii="仿宋_GB2312" w:hAnsi="仿宋_GB2312" w:eastAsia="仿宋_GB2312" w:cs="仿宋_GB2312"/>
          <w:b w:val="0"/>
          <w:bCs w:val="0"/>
          <w:i w:val="0"/>
          <w:iCs w:val="0"/>
          <w:color w:val="000000" w:themeColor="text1"/>
          <w:sz w:val="28"/>
          <w:szCs w:val="28"/>
          <w:highlight w:val="none"/>
          <w:lang w:val="en-US" w:eastAsia="zh-CN"/>
          <w14:textFill>
            <w14:solidFill>
              <w14:schemeClr w14:val="tx1"/>
            </w14:solidFill>
          </w14:textFill>
        </w:rPr>
        <w:t>每个地块、每栋楼</w:t>
      </w:r>
      <w:r>
        <w:rPr>
          <w:rFonts w:hint="eastAsia" w:ascii="仿宋_GB2312" w:hAnsi="仿宋_GB2312" w:eastAsia="仿宋_GB2312" w:cs="仿宋_GB2312"/>
          <w:b w:val="0"/>
          <w:bCs w:val="0"/>
          <w:i w:val="0"/>
          <w:iCs w:val="0"/>
          <w:color w:val="000000" w:themeColor="text1"/>
          <w:sz w:val="28"/>
          <w:szCs w:val="28"/>
          <w:highlight w:val="none"/>
          <w14:textFill>
            <w14:solidFill>
              <w14:schemeClr w14:val="tx1"/>
            </w14:solidFill>
          </w14:textFill>
        </w:rPr>
        <w:t>具体金额，否则甲方有权不付款且不违约。</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default" w:ascii="仿宋_GB2312" w:hAnsi="仿宋_GB2312" w:eastAsia="仿宋_GB2312" w:cs="仿宋_GB2312"/>
          <w:bCs/>
          <w:i w:val="0"/>
          <w:iCs w:val="0"/>
          <w:color w:val="auto"/>
          <w:sz w:val="28"/>
          <w:szCs w:val="28"/>
          <w:highlight w:val="none"/>
          <w:lang w:val="en-US" w:eastAsia="zh-CN"/>
        </w:rPr>
      </w:pPr>
      <w:r>
        <w:rPr>
          <w:rFonts w:hint="eastAsia" w:ascii="仿宋_GB2312" w:hAnsi="仿宋_GB2312" w:eastAsia="仿宋_GB2312" w:cs="仿宋_GB2312"/>
          <w:bCs/>
          <w:i w:val="0"/>
          <w:iCs w:val="0"/>
          <w:color w:val="000000" w:themeColor="text1"/>
          <w:sz w:val="28"/>
          <w:szCs w:val="28"/>
          <w:highlight w:val="none"/>
          <w:lang w:eastAsia="zh-CN"/>
          <w14:textFill>
            <w14:solidFill>
              <w14:schemeClr w14:val="tx1"/>
            </w14:solidFill>
          </w14:textFill>
        </w:rPr>
        <w:t>8.</w:t>
      </w: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7</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甲方在乙方每次请款时直接扣除乙方按实发生的房租、水电费、空调使用费等款项。乙方每次请款时需向甲方财务部确认乙方未支付的房租、水电费、空调使用费等应付款项，按扣除这些应付款项后的金额开具发票请款，并在付款申请书中写明本次申请的工程款金额、扣除的应付款项数据，实际开票金额等相关信息。</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Cs/>
          <w:i w:val="0"/>
          <w:iCs w:val="0"/>
          <w:color w:val="000000" w:themeColor="text1"/>
          <w:sz w:val="28"/>
          <w:szCs w:val="28"/>
          <w:highlight w:val="none"/>
          <w14:textFill>
            <w14:solidFill>
              <w14:schemeClr w14:val="tx1"/>
            </w14:solidFill>
          </w14:textFill>
        </w:rPr>
      </w:pP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8.8</w:t>
      </w:r>
      <w:r>
        <w:rPr>
          <w:rFonts w:hint="eastAsia" w:ascii="仿宋_GB2312" w:hAnsi="仿宋_GB2312" w:eastAsia="仿宋_GB2312" w:cs="仿宋_GB2312"/>
          <w:bCs/>
          <w:i w:val="0"/>
          <w:iCs w:val="0"/>
          <w:color w:val="000000" w:themeColor="text1"/>
          <w:sz w:val="28"/>
          <w:szCs w:val="28"/>
          <w:highlight w:val="none"/>
          <w14:textFill>
            <w14:solidFill>
              <w14:schemeClr w14:val="tx1"/>
            </w14:solidFill>
          </w14:textFill>
        </w:rPr>
        <w:t>如</w:t>
      </w: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甲乙</w:t>
      </w:r>
      <w:r>
        <w:rPr>
          <w:rFonts w:hint="eastAsia" w:ascii="仿宋_GB2312" w:hAnsi="仿宋_GB2312" w:eastAsia="仿宋_GB2312" w:cs="仿宋_GB2312"/>
          <w:bCs/>
          <w:i w:val="0"/>
          <w:iCs w:val="0"/>
          <w:color w:val="000000" w:themeColor="text1"/>
          <w:sz w:val="28"/>
          <w:szCs w:val="28"/>
          <w:highlight w:val="none"/>
          <w14:textFill>
            <w14:solidFill>
              <w14:schemeClr w14:val="tx1"/>
            </w14:solidFill>
          </w14:textFill>
        </w:rPr>
        <w:t>双方对</w:t>
      </w: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应</w:t>
      </w:r>
      <w:r>
        <w:rPr>
          <w:rFonts w:hint="eastAsia" w:ascii="仿宋_GB2312" w:hAnsi="仿宋_GB2312" w:eastAsia="仿宋_GB2312" w:cs="仿宋_GB2312"/>
          <w:bCs/>
          <w:i w:val="0"/>
          <w:iCs w:val="0"/>
          <w:color w:val="000000" w:themeColor="text1"/>
          <w:sz w:val="28"/>
          <w:szCs w:val="28"/>
          <w:highlight w:val="none"/>
          <w14:textFill>
            <w14:solidFill>
              <w14:schemeClr w14:val="tx1"/>
            </w14:solidFill>
          </w14:textFill>
        </w:rPr>
        <w:t>付款金额、结算金额产生争议，甲方有权暂缓付款</w:t>
      </w: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且</w:t>
      </w:r>
      <w:r>
        <w:rPr>
          <w:rFonts w:hint="eastAsia" w:ascii="仿宋_GB2312" w:hAnsi="仿宋_GB2312" w:eastAsia="仿宋_GB2312" w:cs="仿宋_GB2312"/>
          <w:bCs/>
          <w:i w:val="0"/>
          <w:iCs w:val="0"/>
          <w:color w:val="000000" w:themeColor="text1"/>
          <w:sz w:val="28"/>
          <w:szCs w:val="28"/>
          <w:highlight w:val="none"/>
          <w14:textFill>
            <w14:solidFill>
              <w14:schemeClr w14:val="tx1"/>
            </w14:solidFill>
          </w14:textFill>
        </w:rPr>
        <w:t>不违约，甲方无需向乙方支付违约金或利息</w:t>
      </w:r>
      <w:r>
        <w:rPr>
          <w:rFonts w:hint="eastAsia" w:ascii="仿宋_GB2312" w:hAnsi="仿宋_GB2312" w:eastAsia="仿宋_GB2312" w:cs="仿宋_GB2312"/>
          <w:bCs/>
          <w:i w:val="0"/>
          <w:iCs w:val="0"/>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直至双方达成一致意见</w:t>
      </w:r>
      <w:r>
        <w:rPr>
          <w:rFonts w:hint="eastAsia" w:ascii="仿宋_GB2312" w:hAnsi="仿宋_GB2312" w:eastAsia="仿宋_GB2312" w:cs="仿宋_GB2312"/>
          <w:b w:val="0"/>
          <w:bCs/>
          <w:i w:val="0"/>
          <w:iCs w:val="0"/>
          <w:color w:val="000000" w:themeColor="text1"/>
          <w:sz w:val="28"/>
          <w:szCs w:val="28"/>
          <w:highlight w:val="none"/>
          <w:lang w:val="en-US" w:eastAsia="zh-CN"/>
          <w14:textFill>
            <w14:solidFill>
              <w14:schemeClr w14:val="tx1"/>
            </w14:solidFill>
          </w14:textFill>
        </w:rPr>
        <w:t>后</w:t>
      </w: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方可按甲方相应流程办理付款手续</w:t>
      </w:r>
      <w:r>
        <w:rPr>
          <w:rFonts w:hint="eastAsia" w:ascii="仿宋_GB2312" w:hAnsi="仿宋_GB2312" w:eastAsia="仿宋_GB2312" w:cs="仿宋_GB2312"/>
          <w:bCs/>
          <w:i w:val="0"/>
          <w:iCs w:val="0"/>
          <w:color w:val="000000" w:themeColor="text1"/>
          <w:sz w:val="28"/>
          <w:szCs w:val="28"/>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8.9甲乙双方完成本工程结算且结算款（扣除预留的质保金）支付完毕后，视为乙方关于除质保金外的合同款支付事宜的全部权利全部消灭，乙方不得再基于合同款支付事宜向甲方提出任何权利主张或追索其他任何费用。</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default" w:ascii="仿宋_GB2312" w:hAnsi="仿宋_GB2312" w:eastAsia="仿宋_GB2312" w:cs="仿宋_GB2312"/>
          <w:bCs/>
          <w:i w:val="0"/>
          <w:iCs w:val="0"/>
          <w:color w:val="auto"/>
          <w:sz w:val="28"/>
          <w:szCs w:val="28"/>
          <w:highlight w:val="none"/>
          <w:lang w:val="en-US" w:eastAsia="zh-CN"/>
        </w:rPr>
      </w:pPr>
      <w:r>
        <w:rPr>
          <w:rFonts w:hint="eastAsia" w:ascii="仿宋_GB2312" w:hAnsi="仿宋_GB2312" w:eastAsia="仿宋_GB2312" w:cs="仿宋_GB2312"/>
          <w:bCs/>
          <w:i w:val="0"/>
          <w:iCs w:val="0"/>
          <w:color w:val="000000" w:themeColor="text1"/>
          <w:sz w:val="28"/>
          <w:szCs w:val="28"/>
          <w:highlight w:val="none"/>
          <w:lang w:val="en-US" w:eastAsia="zh-CN"/>
          <w14:textFill>
            <w14:solidFill>
              <w14:schemeClr w14:val="tx1"/>
            </w14:solidFill>
          </w14:textFill>
        </w:rPr>
        <w:t>8.10</w:t>
      </w:r>
      <w:r>
        <w:rPr>
          <w:rFonts w:hint="eastAsia" w:ascii="仿宋_GB2312" w:hAnsi="仿宋_GB2312" w:eastAsia="仿宋_GB2312" w:cs="仿宋_GB2312"/>
          <w:bCs/>
          <w:i w:val="0"/>
          <w:iCs w:val="0"/>
          <w:color w:val="auto"/>
          <w:sz w:val="28"/>
          <w:szCs w:val="28"/>
          <w:highlight w:val="none"/>
          <w:shd w:val="clear" w:color="auto" w:fill="auto"/>
          <w:lang w:val="en-US" w:eastAsia="zh-CN"/>
        </w:rPr>
        <w:t>履行本合同过程中，凡甲方收取的款项（包括但不限于：各类押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34" w:name="_Toc25291"/>
      <w:bookmarkStart w:id="35" w:name="_Toc16560"/>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双方责任和权利</w:t>
      </w:r>
      <w:bookmarkEnd w:id="34"/>
      <w:bookmarkEnd w:id="35"/>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9" w:firstLineChars="149"/>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t>1甲方责任和权利</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1.1提供给乙方施工</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图纸</w:t>
      </w:r>
      <w:r>
        <w:rPr>
          <w:rFonts w:hint="eastAsia" w:ascii="仿宋_GB2312" w:hAnsi="仿宋_GB2312" w:eastAsia="仿宋_GB2312" w:cs="仿宋_GB2312"/>
          <w:i w:val="0"/>
          <w:iCs w:val="0"/>
          <w:color w:val="000000" w:themeColor="text1"/>
          <w:sz w:val="28"/>
          <w:szCs w:val="28"/>
          <w:highlight w:val="none"/>
          <w:u w:val="single"/>
          <w:shd w:val="clear" w:color="auto" w:fill="auto"/>
          <w14:textFill>
            <w14:solidFill>
              <w14:schemeClr w14:val="tx1"/>
            </w14:solidFill>
          </w14:textFill>
        </w:rPr>
        <w:t xml:space="preserve"> 壹 </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套（含图纸变更通知</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图纸会审记录等</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）；对乙方进行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本工程</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技术交底及质量、安全、进度、文明施工、成本控制等管理。</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1.2按国家工程质量标准对乙方施工成品进行内部核验，并办理过程验收手续和完工后总体验收手续。在验收合格情况下按照合同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约定</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及时</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办理</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结算</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和</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付</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款</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1.3提供乙方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施工工人在本项目</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现场住宿</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设施</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并向乙方收取费用</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1.4提供给乙方工作面</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及本合同约定的甲供材、机具</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1.5为乙方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员工办理人脸识别进场资料。</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1.6督促乙方及其工人遵章守纪、按章操作，强化现场安全防护工作。</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1.7根据</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总体情况安排</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调整本工程</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工期，规定乙方先做某部位后做某部位，何时增加工人何时减少工人，乙方必须服从调动及安排。</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1.8对乙方在施工中出现的不符合设计图纸、违反施工规范和安全操作规程、材料浪费等违规行为强行制止，并要求乙方在规定时间内按要求整改，同时根据具体情况对乙方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计取违约金</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1.9对乙方及其人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进行技术考核</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考核不合格人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员禁止</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上岗</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且乙方按甲方要求调换合格人员接替上岗</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1.10对乙方向</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发放报酬</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情况有知情权，</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工人工资金额由</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乙方提供书面文件给甲方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项目部及</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工程部核实确定</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有权知</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晓乙方本工程施工</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的工资分</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发</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制度和实施情况，对不合理、违规的分</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发</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甲方有权制止及干预。乙方应及时支付工人工资及材料款，如乙方欠款导致甲方被追索</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或被处罚</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，甲方有权</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自</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应付乙方的款项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中扣款</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代付，</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但此举</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不视为甲方同意对乙方债务承担责任</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乙方对甲方代付行为及</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金</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额</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无</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异议，如</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应付给乙方的工程款</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不足代付导致甲方需</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另行</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垫付费用，乙方在</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甲方发出书面通知起</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个</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日</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历天</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内还清</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垫付</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款并自</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垫付之日起按年利率15%的标准支付利息</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给甲方，其他相应处罚按本合同第十五章执行</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1.1</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对乙方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进行</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管理</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有权要求</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乙方管理人员必须坚守岗位，在施工现场组织指导工人作业。</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1.12对乙方违反规范</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设计要求的行为</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，甲方有权要求乙方整改，乙方拒不整改或整改二次后仍不能满足</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要求的，甲方有权单方解除本合同并</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在乙方退场后，</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按乙</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方已完工甲方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验收合格</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工程量</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对应结算价*2</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0%</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与</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办理</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结算，同时乙方赔偿甲方损失（包括</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但</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不限于</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因</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逾期完工而需对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承担的违约责任、损失赔偿责任等）。</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1.13</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凡</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甲方认为会影响</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工程质量或可能</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导致</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安全事故的</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乙方自备</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材料</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机具等</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不得用于本项目</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否则乙方无条件更换且每次向甲方承担违约金贰万元及不延长工期</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1.14甲方因参与本合同履行而发出、或与乙方达成合意所形成的一切相关文件，均须同时具备甲方公章及法定代表人（或授权代表人）签名，否则均不对甲方产生约束力，除非事后获得甲方另行追认。</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9.1.15对乙方不按合同约定时间向甲方申报其工人工资资料等行为，甲方有权对乙方收取违约金，违约金不少于伍仟元/天/人（按乙方在本工程施工工人人数计）。</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9.1.16若乙方原因导致其工人工资不能及时发放，工人发生停工或静坐、闹事等不良行为的，甲方有权按本合同相关条款（如第十四章等）向</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收取违约金</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9" w:firstLineChars="149"/>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shd w:val="clear" w:color="auto" w:fill="auto"/>
          <w:lang w:eastAsia="zh-CN"/>
          <w14:textFill>
            <w14:solidFill>
              <w14:schemeClr w14:val="tx1"/>
            </w14:solidFill>
          </w14:textFill>
        </w:rPr>
        <w:t>9.</w:t>
      </w:r>
      <w:r>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t>2、乙方责任和权利</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9.2.1按设计图纸和施工规范施工，保证施工成品质量满足合同要求。因乙方原因导致的质量事故，由乙方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赔偿甲方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损失，乙方未经甲方书面同意而脱离原定图纸擅自施工的，无论是否影响工程质量或工期，乙方除每次向甲方支付违约金人民币贰万元外，因此导致的一切后果</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甲方有权追责到底</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9.2.2按时完成</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本工程</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阶段性施工任务，保证</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符合</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甲方工期</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要求，</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因乙方原因导致的工期延误</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及</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遭受的</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损失均由乙方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赔偿甲方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9.2.3遵守安全生产、文明施工法规。</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违规操作发生的安全</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或质量</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事故</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所</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造成的甲方损失均由乙方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赔偿甲方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9.2.4遵守甲方管理制度，服从甲方管理。</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9.2.5</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对完成的每一</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道</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工序及时、认真进行自检，自检合格后提请甲方验收。</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对甲方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提出的问题</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按甲方要求</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彻底整改，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每延误一天完成整改，向甲方承担违约金伍仟元</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9.2.6加强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自身团队</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建设。乙方管理人员</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经常对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下属</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工人进行技术交底、安全教育，作业人员必须持证上岗。乙方管理人员必须坚守岗位，特殊情况需离开工地</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时</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，经甲方项目部批准后方能离开。</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9.2.7如实向甲方提供《</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建筑工人工资表</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每月第十个日历天前向甲方完成申报工人工资，否则甲方有权中止支付任何款项且不违约。乙方全部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9.2.8</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在甲方的监督下</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办理</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工人工资发放专户，由银行代发</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工人工资。</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9.2.9</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任意一</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组团</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进场开工之日三天前，</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须向甲方提交所有进场人员（包括但不限于施工人员）花名册、身份证复印件及联系电话、乙方与进场人员签订的劳动合同（加盖乙方公章）</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作实名登记</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，否则甲方有权按逾期天数认定乙方延迟开工计收违约金。乙方与进场人员签订</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了</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劳动合同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而未提供在</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花名册内或未提供</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该人员</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身份证复印件及联系电话</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不得进入施工现场，如有发现，乙方向甲方支付违约金贰仟元/人/次</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且甲方不发放该人员的工资</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9.2.10乙方须</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如实</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主动</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申报及发放工人工资，甲方有权核对，如发现乙方弄虚作假，甲方暂停支付乙方工程款。</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11乙方有权</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要求甲方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按合同约定</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提供充足的</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甲供</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施工材料、机具。乙方自备的机具、</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材料</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经甲方验收合格后方可进场使用。甲</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供</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材料、机具十天以上（不含十天）不到位，或其它非乙方原因造成的阶段性、区域停工十天以上（不含十天），乙方有权调离多余工人，因此形成的短期怠工（十天以内）及进出场的费用已包括在本合同第</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六</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章约定的合同价中，</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不另计价</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12</w:t>
      </w:r>
      <w:r>
        <w:rPr>
          <w:rFonts w:hint="eastAsia" w:ascii="仿宋_GB2312" w:hAnsi="仿宋_GB2312" w:eastAsia="仿宋_GB2312" w:cs="仿宋_GB2312"/>
          <w:i w:val="0"/>
          <w:iCs w:val="0"/>
          <w:color w:val="000000" w:themeColor="text1"/>
          <w:kern w:val="0"/>
          <w:sz w:val="28"/>
          <w:szCs w:val="28"/>
          <w:highlight w:val="none"/>
          <w:u w:val="none"/>
          <w:lang w:val="en-US" w:eastAsia="zh-CN" w:bidi="ar"/>
          <w14:textFill>
            <w14:solidFill>
              <w14:schemeClr w14:val="tx1"/>
            </w14:solidFill>
          </w14:textFill>
        </w:rPr>
        <w:t>合同履行过程中，如乙方中途自行退场，甲方不支付任何款项，因此造成甲方损失的由乙方赔偿</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3乙方须</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合理使用</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甲供</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材，在保证质量的情况下，按</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相应规范</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控制使用。</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4乙方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施工中</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与其他</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分包单位</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积极配合，保护所有成品。</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default"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如</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乙方人员</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使用甲方提供的宿舍，住宿按7人/间配置，</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凡按乙方人员分配房间</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超过数量的，甲方将按1000元/间/月（</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税金另计</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）向乙方收取房租，乙方必须每月按</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实</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缴纳</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水</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电费【线路损耗按装表计量实际量加10%损耗计（</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税金另计</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）】和空调使用费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按1.3元/间/天计（</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税金另计</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），未安装空调的此项不计】</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和房租</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给甲方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。乙方每次向甲方请款时，甲方合同执行联系人可直接扣除乙方上月产生的房租、水电费及空调使用费，并按扣除后的金额申请进度款。</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对违章指挥，乙方有权拒绝服从。</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7</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因乙方材料</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或</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施工质量问题引起的返工、维修、更换、损失及工期延误等造成的一切费用由乙方承担。</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供应的每批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材料必须经甲方现场管理人员（或</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施工员）确认是否符合</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合同要求及本</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工程所需，如不符合，一律不准进场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并按甲方要求更换且不得因此延长工期</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同时乙方每次向甲方承担违约金伍万元</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19乙方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确保本工程的质量和进度一次性</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达到</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合同要求，否则造成的一切损失由乙方承担</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且每次向甲方承担违约金伍万元</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20乙方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充分了解</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工程现场实际情况，确定</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第六章约定的</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合同单价</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/总价</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已包含处理现场各种因素导致的多次进退场、怠工、误工等不能正常开工情形的费用，</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甲方无需另行计费给乙方。</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21</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乙方人员进场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前</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须提供本项目所在地三甲医院出具的体检健康证明，否则甲方有权将无证人员驱逐</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出本项目</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无论乙方是否</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提供该证明，乙方人员</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身体健康，无妨碍从事工作的疾病和生理缺陷，符合进场及该工种的操作要求。因乙方人员自身疾病或生理缺陷等原因导致的伤亡均由乙方自行承担全责，甲方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无需承担</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责任及赔偿</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任何费用</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22</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乙方及其人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的社会保险费、人身意外伤害保险费及乙方对本</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工程</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成果承担</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质量</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保修工作的有关费用等已包含在本合同第</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六章</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约定的合同价</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格</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中，甲方无需另行支付费用给乙方。</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9.2.2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9.2.24乙方须</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按甲方书面确定的图纸、设计变更通知单施工，未经甲方书面同意而擅自施工的，无论是否影响本项目质量或工期，</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每次须支付违约金人民币壹万元给甲方，并</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承担</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因此导致的一切后果，同时甲方不补偿由此增加的费用，由此节约的费用（以甲方计算的为准）则由甲方享有。（因乙方擅自施工系单方变更合同的违约行为，节约的费用视同支付给甲方的违约金。）</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9.2.25乙方原因导致的一切安全事故，属乙方责任，所有损失及费用由乙方承担。</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9.2.26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9.2.27乙方人员（包括乙方家属、朋友等人员）在本项目地点发生的所有安全事故均与甲方无关，甲方不承担任何责任和费用，一切责任和费用均由乙方承担。</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9.2.28乙方应严格遵照甲方制订的施工进度计划开展具体施工工作，每 10 天必须到甲方项目部在《施工任务表》上签认施工任务并保证完成，违者主动接受相应的扣款处罚。</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9.2.29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baseline"/>
        <w:rPr>
          <w:rFonts w:hint="default"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9.2.30</w:t>
      </w:r>
      <w:r>
        <w:rPr>
          <w:rFonts w:hint="eastAsia" w:ascii="仿宋_GB2312" w:hAnsi="仿宋_GB2312" w:eastAsia="仿宋_GB2312" w:cs="仿宋_GB2312"/>
          <w:i w:val="0"/>
          <w:iCs w:val="0"/>
          <w:color w:val="auto"/>
          <w:sz w:val="28"/>
          <w:szCs w:val="28"/>
          <w:highlight w:val="yellow"/>
          <w:shd w:val="clear" w:color="auto" w:fill="auto"/>
          <w:lang w:val="en-US" w:eastAsia="zh-CN"/>
        </w:rPr>
        <w:t>乙方在甲方领料，使用甲方提供的各种材料和设备机具前，有检查甲方提供的材料，机具设备是否合格的义务和拒绝使用不合格甲供材料，机具设备的权利。乙方发现甲方提供的材料，机具设备有不合格的情行时须书面告知甲方。如因为乙方没书面形式通知甲方不合格材料，机具设备拒绝使用的要求，乙方就直接使用了不合格的材料，机具设备施工，即视为乙方认为该批甲供材料，机具设备质量合格、符合工程要求，使用该批材料的工程部位发生的任何质量问题、工期延误及所有损失，乙方自愿承担不低于10%以上的费用。</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36" w:name="_Toc12475"/>
      <w:bookmarkStart w:id="37" w:name="_Toc5139"/>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安全生产、文明施工要求</w:t>
      </w:r>
      <w:bookmarkEnd w:id="36"/>
      <w:bookmarkEnd w:id="37"/>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10.1乙方施工行为须符合《建筑施工安全检查标准》JGJ59-2011标</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准</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有更新版本则按最新版本执行</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本项目所在地政府主管部门</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及甲方的安全生产、</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文明施工管理</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要求</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10.2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乙方负责本工程工作面上所用材料、机具、垃圾的清理，做到工完场清，并自行负责有机物垃圾的处置，相关费用已含于第六章约定的</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sym w:font="Wingdings 2" w:char="0052"/>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合同单价/</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sym w:font="Wingdings 2" w:char="00A3"/>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合同总价中，甲方无需另行计费给乙方。</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10.3甲方应对乙方进场的施工人员进行安全教育。</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10.4甲方不得违反《建设工程安全生产管理条例》的规定要求乙方违章施工。因甲方指挥失误导致的安全事故由甲方承担相应责任和费用。</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10.5乙方应严格遵守《建设工程安全生产管理条例》及有关文件安全管理规定，组织安排工人施工，消除安全隐患。乙方保证甲方不承担任何</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因乙方原因导致的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人身伤亡或财产损失</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或赔偿</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责任，保障甲方不承担任何</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因</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乙方及其人员引起的诉讼、控告、索赔责任及发生的相关费用，否则甲方的全部损失由乙方赔偿。</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10.6乙方施工过程中，上道工序完成与下道工序必须进行工作面交接并以书面形式</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确认</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甲方及相关单位签字确认的“隐蔽验收表</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”作为工程进度款申请书</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及</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结算书的附件。</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38" w:name="_Toc24023"/>
      <w:bookmarkStart w:id="39" w:name="_Toc25343"/>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验收及保修</w:t>
      </w:r>
      <w:bookmarkEnd w:id="38"/>
      <w:bookmarkEnd w:id="39"/>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w:t>
      </w:r>
    </w:p>
    <w:p>
      <w:pPr>
        <w:keepNext w:val="0"/>
        <w:keepLines w:val="0"/>
        <w:widowControl/>
        <w:suppressLineNumbers w:val="0"/>
        <w:jc w:val="left"/>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sym w:font="Wingdings 2" w:char="0052"/>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本</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工程</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任一</w:t>
      </w:r>
      <w:r>
        <w:rPr>
          <w:rFonts w:hint="eastAsia" w:ascii="仿宋_GB2312" w:hAnsi="仿宋_GB2312" w:eastAsia="仿宋_GB2312" w:cs="仿宋_GB2312"/>
          <w:b w:val="0"/>
          <w:bCs w:val="0"/>
          <w:i w:val="0"/>
          <w:iCs w:val="0"/>
          <w:color w:val="auto"/>
          <w:sz w:val="28"/>
          <w:szCs w:val="28"/>
          <w:highlight w:val="none"/>
          <w:shd w:val="clear" w:color="auto" w:fill="auto"/>
        </w:rPr>
        <w:t>地块/项目</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内容全部完工，乙方自检符合质量要求后提请甲方及</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组织验收，经</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建设行政主管部门、监理、</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甲方及</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验收合格后，</w:t>
      </w:r>
      <w:r>
        <w:rPr>
          <w:rFonts w:ascii="仿宋" w:hAnsi="仿宋" w:eastAsia="仿宋" w:cs="仿宋"/>
          <w:color w:val="000000"/>
          <w:kern w:val="0"/>
          <w:sz w:val="28"/>
          <w:szCs w:val="28"/>
          <w:highlight w:val="none"/>
          <w:lang w:val="en-US" w:eastAsia="zh-CN" w:bidi="ar"/>
        </w:rPr>
        <w:t>共同</w:t>
      </w:r>
      <w:r>
        <w:rPr>
          <w:rFonts w:hint="eastAsia" w:ascii="仿宋" w:hAnsi="仿宋" w:eastAsia="仿宋" w:cs="仿宋"/>
          <w:color w:val="000000"/>
          <w:kern w:val="0"/>
          <w:sz w:val="28"/>
          <w:szCs w:val="28"/>
          <w:highlight w:val="none"/>
          <w:lang w:val="en-US" w:eastAsia="zh-CN" w:bidi="ar"/>
        </w:rPr>
        <w:t>签认</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工程竣工验收报告</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及</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工程验收移交证明书</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起第二日开始计算保修期。</w:t>
      </w:r>
    </w:p>
    <w:p>
      <w:pPr>
        <w:keepNext w:val="0"/>
        <w:keepLines w:val="0"/>
        <w:widowControl/>
        <w:suppressLineNumbers w:val="0"/>
        <w:jc w:val="left"/>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本</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工程</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全部完工，乙方自检符合质量要求后提请甲方及</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组织验收，经</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建设行政主管部门、监理、</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甲方及</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验收合格后，</w:t>
      </w:r>
      <w:r>
        <w:rPr>
          <w:rFonts w:ascii="仿宋" w:hAnsi="仿宋" w:eastAsia="仿宋" w:cs="仿宋"/>
          <w:color w:val="000000"/>
          <w:kern w:val="0"/>
          <w:sz w:val="28"/>
          <w:szCs w:val="28"/>
          <w:highlight w:val="none"/>
          <w:lang w:val="en-US" w:eastAsia="zh-CN" w:bidi="ar"/>
        </w:rPr>
        <w:t>共同签认</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工程竣工验收报告</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及</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工程验收移交证明书</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起第二日开始计算保修期。</w:t>
      </w:r>
    </w:p>
    <w:p>
      <w:pPr>
        <w:keepNext w:val="0"/>
        <w:keepLines w:val="0"/>
        <w:widowControl/>
        <w:suppressLineNumbers w:val="0"/>
        <w:jc w:val="left"/>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保修期内，乙方对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出现的质量问题免费</w:t>
      </w:r>
      <w:r>
        <w:rPr>
          <w:rFonts w:ascii="仿宋" w:hAnsi="仿宋" w:eastAsia="仿宋" w:cs="仿宋"/>
          <w:color w:val="000000"/>
          <w:kern w:val="0"/>
          <w:sz w:val="28"/>
          <w:szCs w:val="28"/>
          <w:highlight w:val="none"/>
          <w:lang w:val="en-US" w:eastAsia="zh-CN" w:bidi="ar"/>
        </w:rPr>
        <w:t>履行保修义务</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保修内容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包括合同价款所包含的工程项目、设计变更或修改、现场签证或双方或多方会议纪要约定的全部内容；凡因乙方原因造成的质量事故和缺陷，如</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各部位、部件、整体或单件的损坏、脱落、开裂、变形等，均</w:t>
      </w:r>
      <w:r>
        <w:rPr>
          <w:rFonts w:ascii="仿宋" w:hAnsi="仿宋" w:eastAsia="仿宋" w:cs="仿宋"/>
          <w:color w:val="000000"/>
          <w:kern w:val="0"/>
          <w:sz w:val="28"/>
          <w:szCs w:val="28"/>
          <w:highlight w:val="none"/>
          <w:lang w:val="en-US" w:eastAsia="zh-CN" w:bidi="ar"/>
        </w:rPr>
        <w:t>属</w:t>
      </w:r>
      <w:r>
        <w:rPr>
          <w:rFonts w:hint="eastAsia" w:ascii="仿宋" w:hAnsi="仿宋" w:eastAsia="仿宋" w:cs="仿宋"/>
          <w:color w:val="000000"/>
          <w:kern w:val="0"/>
          <w:sz w:val="28"/>
          <w:szCs w:val="28"/>
          <w:highlight w:val="none"/>
          <w:lang w:val="en-US" w:eastAsia="zh-CN" w:bidi="ar"/>
        </w:rPr>
        <w:t>乙方保修范围。</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sym w:font="Wingdings 2" w:char="0052"/>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任一</w:t>
      </w:r>
      <w:r>
        <w:rPr>
          <w:rFonts w:hint="eastAsia" w:ascii="仿宋_GB2312" w:hAnsi="仿宋_GB2312" w:eastAsia="仿宋_GB2312" w:cs="仿宋_GB2312"/>
          <w:b w:val="0"/>
          <w:bCs w:val="0"/>
          <w:i w:val="0"/>
          <w:iCs w:val="0"/>
          <w:color w:val="auto"/>
          <w:sz w:val="28"/>
          <w:szCs w:val="28"/>
          <w:highlight w:val="none"/>
          <w:shd w:val="clear" w:color="auto" w:fill="auto"/>
        </w:rPr>
        <w:t>地块/项目</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内容/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全部</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内容的保修期为</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年</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（政府有更长保修期限规定的，从其规定）</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保修期</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从</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sym w:font="Wingdings 2" w:char="0052"/>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该</w:t>
      </w:r>
      <w:r>
        <w:rPr>
          <w:rFonts w:hint="eastAsia" w:ascii="仿宋_GB2312" w:hAnsi="仿宋_GB2312" w:eastAsia="仿宋_GB2312" w:cs="仿宋_GB2312"/>
          <w:b w:val="0"/>
          <w:bCs w:val="0"/>
          <w:i w:val="0"/>
          <w:iCs w:val="0"/>
          <w:color w:val="auto"/>
          <w:sz w:val="28"/>
          <w:szCs w:val="28"/>
          <w:highlight w:val="none"/>
          <w:shd w:val="clear" w:color="auto" w:fill="auto"/>
        </w:rPr>
        <w:t>地块/项目</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内容/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sym w:font="Wingdings 2" w:char="00A3"/>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全部</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内容经甲方及</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验收合格后，</w:t>
      </w:r>
      <w:r>
        <w:rPr>
          <w:rFonts w:ascii="仿宋" w:hAnsi="仿宋" w:eastAsia="仿宋" w:cs="仿宋"/>
          <w:color w:val="000000"/>
          <w:kern w:val="0"/>
          <w:sz w:val="28"/>
          <w:szCs w:val="28"/>
          <w:highlight w:val="none"/>
          <w:lang w:val="en-US" w:eastAsia="zh-CN" w:bidi="ar"/>
        </w:rPr>
        <w:t>共同签认</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工程竣工验收报告</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及</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工程验收移交证明书</w:t>
      </w:r>
      <w:r>
        <w:rPr>
          <w:rFonts w:hint="eastAsia" w:ascii="宋体" w:hAnsi="宋体" w:eastAsia="宋体" w:cs="宋体"/>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起第二日开始计算保修期。</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3保修期内，</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如因</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原因出现质量问题，乙方须在接到甲方通知后24小时内派人到达现场处理解决，紧急有安全隐患的须4小时内到达，发生乙方连续两次维保验收不合格的，甲方可委派第三方直接进行维保处置，所产生的所有费用200%从乙方质保金中扣除。如本工程质保金不足以支付的，在甲方有多个合作项目的，甲方有权从其任意的工程款中扣除，在甲方无其他合作项目的，按合同要求承担所有因质量缺陷造成的全部费用，对据不按合同执行的列入黑名单，并由法务部门采取法律手段进行相关费用的追讨；经甲、乙双方检查如非乙方原因所致，乙方仍应提供维修服务，但费用经双方商定后由责任方承担。</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4 保修期内，乙方出现较大质量缺陷，乙方履行保修义务至验收合格后，工程质保期自此时间开始顺延。</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yellow"/>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5 工程保修期满前，由甲方工程部按照规定组织主导乙方、物业、业主单位人员验收，验收合格的由工程部出具《保修验收合格报告》作为质保金支付凭证；验收不合格的，</w:t>
      </w:r>
      <w:r>
        <w:rPr>
          <w:rFonts w:hint="eastAsia" w:ascii="仿宋_GB2312" w:hAnsi="仿宋_GB2312" w:eastAsia="仿宋_GB2312" w:cs="仿宋_GB2312"/>
          <w:i w:val="0"/>
          <w:iCs w:val="0"/>
          <w:color w:val="000000" w:themeColor="text1"/>
          <w:sz w:val="28"/>
          <w:szCs w:val="28"/>
          <w:highlight w:val="yellow"/>
          <w:shd w:val="clear" w:color="auto" w:fill="auto"/>
          <w14:textFill>
            <w14:solidFill>
              <w14:schemeClr w14:val="tx1"/>
            </w14:solidFill>
          </w14:textFill>
        </w:rPr>
        <w:t>乙方单位按本合同第五章工程质量标准要求维修完成，并要经过48小时试水试验自检合格后，再由甲方工程部组织主导乙方、物业、业主单位人员验收，为确保维修质量验收合格后该渗漏部位再续延12个月的质保期。</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6 工程质保期满，乙方书面申请质保金的结算，如出现下列问题暂不拨付质保金，直至处理完毕达成一致意见</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11.6.1未按照规定和合同约定全面、及时履行维修责任与义务，仍有问题未处理的。</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11.6.2未按照规定和合同约定履行维修责任和义务，而对公司代为履行维修责任及相关费用又不予认可和承担的。</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11.6.3施工质量存在明显瑕疵的，出现业主因本工程引起的严重投诉或群发性事件的。</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default"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11.6.4分包单位/供应商保修期间发生应由分包单位/供应商承担递延的相关责任类、赔偿类、处罚类、连带类等问题未处理完毕或分包单位不认同的。</w:t>
      </w:r>
      <w:bookmarkEnd w:id="32"/>
      <w:bookmarkEnd w:id="33"/>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40" w:name="_Toc7101"/>
      <w:bookmarkStart w:id="41" w:name="_Toc31409"/>
      <w:bookmarkStart w:id="42" w:name="_Toc8898"/>
      <w:bookmarkStart w:id="43" w:name="_Toc18983"/>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保险</w:t>
      </w:r>
      <w:bookmarkEnd w:id="40"/>
      <w:bookmarkEnd w:id="41"/>
      <w:bookmarkEnd w:id="42"/>
      <w:bookmarkEnd w:id="43"/>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由于不可抗力</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自然灾害或意外事故等情形</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造成</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在本项目的乙方人员</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出险时，甲方如已办理</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本项目“</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建筑工程社会保险--工伤保险</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且乙方向甲方申报工伤得到甲方确认的，</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则须</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及时向甲方提交索赔资料</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并签订《出险声明函》（格式详见附件三）</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同时</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配合保险公司调查并无条件接受保险公司的</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处理结果。甲方确认乙方申报的工伤仅指甲方将为乙方伤亡者申报保险，其伤亡的责任和费用由乙方承担。</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如</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本工程因乙方原因</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出现损失、损害或损坏</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乙方须立即修复、补救及更换或维修任何受破坏或损坏之</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部位</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同时按甲方要求</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清理及弃置任何残骸</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如</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无</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建筑工程社会保险--工伤保险</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的，其责任及相关所有费用由乙方承担。</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须为其属下</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人员</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财产、现场各种施工设施、设备、材料</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购买</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保险，</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相关</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费用已含在</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合同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约定的合同</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价</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格</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中</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无需甲方另行支付给乙方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。因</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各种</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原因</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导致乙方需要</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延长保险期所需增加的保险费由乙方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自行</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承担</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其费用已包含在本合同约定价格内，乙方人员或</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因乙方原因造成任何事故(包括第三方人员在内)</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导致的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损失、赔偿、补偿等责任</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和费用</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由乙方承担。</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3甲乙双方在签</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订</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各自的保险合同时，其第三方责任险应将对方互相视为第三方。</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乙方须对本工程涉及的乙方人员购买人身意外伤害险等保险，保额不低于死亡赔偿人民币100万元/人及伤害赔偿人民币15万元/人，相关费用已含于本合同约定的合同价中甲方无需另行支付给乙方。乙方须自保险合同生效之日起5个日历天内将保险合同复印件（加盖乙方公章）提交甲方项目部留存。</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12.5无论甲乙任何一方有无按照本合同约定办理相关保险事宜，乙方人员或因乙方原因导致在本项目范围内发生的伤亡事故，均由乙方承担责任和费用。</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44" w:name="_Toc31086"/>
      <w:bookmarkStart w:id="45" w:name="_Toc18224"/>
      <w:bookmarkStart w:id="46" w:name="_Toc12559"/>
      <w:bookmarkStart w:id="47" w:name="_Toc7926"/>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奖罚条款</w:t>
      </w:r>
      <w:bookmarkEnd w:id="44"/>
      <w:bookmarkEnd w:id="45"/>
      <w:bookmarkEnd w:id="46"/>
      <w:bookmarkEnd w:id="47"/>
    </w:p>
    <w:p>
      <w:pPr>
        <w:keepNext w:val="0"/>
        <w:keepLines w:val="0"/>
        <w:pageBreakBefore w:val="0"/>
        <w:widowControl w:val="0"/>
        <w:kinsoku/>
        <w:wordWrap/>
        <w:overflowPunct/>
        <w:topLinePunct w:val="0"/>
        <w:autoSpaceDE/>
        <w:autoSpaceDN/>
        <w:bidi w:val="0"/>
        <w:adjustRightInd/>
        <w:snapToGrid w:val="0"/>
        <w:spacing w:before="147" w:beforeLines="50" w:line="520" w:lineRule="exact"/>
        <w:ind w:left="-197" w:leftChars="-94" w:right="-578" w:rightChars="-275" w:firstLine="419" w:firstLineChars="149"/>
        <w:textAlignment w:val="auto"/>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b/>
          <w:bCs/>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t>1奖励</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1.1如乙方施工的产品质量优质，施工进度快，安全生产、文明施工达标，作业队</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伍</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整体形象受各方好评</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且</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有下列情况之一</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，甲方给</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予</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乙方一定</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的奖励（奖励额度按有关规定执行，最终解释权在甲方，甲方亦有权取消奖励，本条款不视为甲方对乙方作出的承诺</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1.1.1甲方组织的各类检查验收中，乙方组建的施工队伍被评为优质作业队。</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1.1.2乙方负责施工的成品受到省、市有关部门表彰。</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1.1.3乙方负责施工的成品受到</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、监理好评。</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1.1.4特定情况下，由于乙方的主观努力使甲方避免遭受巨大损失。</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1.1.5乙方工人安全生产、文明施工、节约用料、质量优、进度快。</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9" w:firstLineChars="149"/>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b/>
          <w:bCs/>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bCs/>
          <w:i w:val="0"/>
          <w:iCs w:val="0"/>
          <w:color w:val="000000" w:themeColor="text1"/>
          <w:sz w:val="28"/>
          <w:szCs w:val="28"/>
          <w:highlight w:val="none"/>
          <w:shd w:val="clear" w:color="auto" w:fill="auto"/>
          <w14:textFill>
            <w14:solidFill>
              <w14:schemeClr w14:val="tx1"/>
            </w14:solidFill>
          </w14:textFill>
        </w:rPr>
        <w:t>2惩罚</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2.1如乙方出现下列任一情况，甲方有权单方解除本合同，并在乙方全部人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退场后仅按乙方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已</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完成</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经甲方验收</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合格工程量</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对应结算价</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的</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0%结算，同时乙方赔偿甲方损失（包括但不限于因</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工期延误</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使得</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承担的违约责任、损失赔偿责任等）</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2.1.1乙方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在</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质量、进度、安全、管理等方面经甲方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三</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次警告</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或</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处罚</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后</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仍不能明显改善</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2.1.2乙方将</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以各种形式转包</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分包给</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他人</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因下列情况导致的甲方损失均由乙方赔偿（包括但不限于因逾期完工而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使得</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承担的违约责任、损失赔偿责任等）：</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①因乙方施工质量事故造成的</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损失</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②因乙方中途退场造成的损失</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13.2.3</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因乙方导致工程质量或工期达不到合同要求或使用材料用量超标</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，均属乙方违约，甲方有权单方解除合同且不违约，工程量结算只按乙方完成</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的经甲方验收</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合格工程量的</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0％计，剩余</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0％工程量作为后续班组帮工收尾、收口的人工费，同时乙方承担由此造成的损失责任及费用。</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或其</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人</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有下列情况之一</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的，造成甲方损失的由乙方全额赔偿甲方，同时</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甲方有权</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对乙方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采取每人或每次</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收取</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违约金</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伍佰至叁万</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元的措施：</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.1隐蔽工程一次验收不合格</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.2不能按甲方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确定的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周进度计划完成施工作业延误工期一天</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.3出现因质量、安全</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不满足本合同约定需</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整改</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.4聚众赌博，影响他人休息</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.5聚众闹事、打人、打架、偷抢行为</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.6容留非</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本工程现场</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人员在</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宿舍住宿</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.7不按</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要求加班或人员不足</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导致</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延误工期一天</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.8浪费材料、损坏机具或破坏其它设施</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及成品</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.9在</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生活区</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存放易燃易爆物品或其它危险品</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.10收留、聘用未成年人</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罚款</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同时驱逐</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未成年人</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离开</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13.2.4.11在宿舍内做饭、使用大功率电器设备，如电磁炉、电饭煲、电热棒等。</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或</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其人员有下列情况之一</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的，造成甲方损失的由乙方全额赔偿给甲方，同时</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，甲方有权</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对乙方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采取每人或每次</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收取</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违约金</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拾</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至叁万</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元的措施：</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.1管理人员未经</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甲方同意</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离开工地两天以内</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.2未戴好安全帽、穿拖鞋或赤脚、赤膊进入作业区</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.3不戴工卡上岗</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.4施工人员进场三天内不办理工作卡</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.5未经</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批准擅带家属及小孩进入施工现场或在宿舍居住</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.6工棚内乱拉乱接电线，违反生活区管理制度</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.7宿舍卫生不合格</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.2.5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.8材料</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机具未按</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要求堆放</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建筑垃圾未按</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要求处理</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随地大小便</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随意吸烟</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在墙上乱涂乱画</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eastAsia="zh-CN"/>
        </w:rPr>
        <w:t>1</w:t>
      </w:r>
      <w:r>
        <w:rPr>
          <w:rFonts w:hint="eastAsia" w:ascii="仿宋_GB2312" w:hAnsi="仿宋_GB2312" w:eastAsia="仿宋_GB2312" w:cs="仿宋_GB2312"/>
          <w:i w:val="0"/>
          <w:iCs w:val="0"/>
          <w:color w:val="auto"/>
          <w:sz w:val="28"/>
          <w:szCs w:val="28"/>
          <w:highlight w:val="none"/>
          <w:shd w:val="clear" w:color="auto" w:fill="auto"/>
          <w:lang w:val="en-US" w:eastAsia="zh-CN"/>
        </w:rPr>
        <w:t>3</w:t>
      </w:r>
      <w:r>
        <w:rPr>
          <w:rFonts w:hint="eastAsia" w:ascii="仿宋_GB2312" w:hAnsi="仿宋_GB2312" w:eastAsia="仿宋_GB2312" w:cs="仿宋_GB2312"/>
          <w:i w:val="0"/>
          <w:iCs w:val="0"/>
          <w:color w:val="auto"/>
          <w:sz w:val="28"/>
          <w:szCs w:val="28"/>
          <w:highlight w:val="none"/>
          <w:shd w:val="clear" w:color="auto" w:fill="auto"/>
          <w:lang w:eastAsia="zh-CN"/>
        </w:rPr>
        <w:t>.2.5</w:t>
      </w:r>
      <w:r>
        <w:rPr>
          <w:rFonts w:hint="eastAsia" w:ascii="仿宋_GB2312" w:hAnsi="仿宋_GB2312" w:eastAsia="仿宋_GB2312" w:cs="仿宋_GB2312"/>
          <w:i w:val="0"/>
          <w:iCs w:val="0"/>
          <w:color w:val="auto"/>
          <w:sz w:val="28"/>
          <w:szCs w:val="28"/>
          <w:highlight w:val="none"/>
          <w:shd w:val="clear" w:color="auto" w:fill="auto"/>
        </w:rPr>
        <w:t>.</w:t>
      </w:r>
      <w:r>
        <w:rPr>
          <w:rFonts w:hint="eastAsia" w:ascii="仿宋_GB2312" w:hAnsi="仿宋_GB2312" w:eastAsia="仿宋_GB2312" w:cs="仿宋_GB2312"/>
          <w:i w:val="0"/>
          <w:iCs w:val="0"/>
          <w:color w:val="auto"/>
          <w:sz w:val="28"/>
          <w:szCs w:val="28"/>
          <w:highlight w:val="none"/>
          <w:shd w:val="clear" w:color="auto" w:fill="auto"/>
          <w:lang w:val="en-US" w:eastAsia="zh-CN"/>
        </w:rPr>
        <w:t>9乙方人员必须无条件接受甲方门岗保卫检查。</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auto"/>
        <w:rPr>
          <w:rFonts w:hint="default"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13.2.6合同履行期间，如建设单位因施工质量问题对甲方进行处罚扣款，甲方则以建设单位处罚甲方的金额为基数，处罚乙方2倍以上。</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48" w:name="_Toc1056"/>
      <w:bookmarkStart w:id="49" w:name="_Toc28593"/>
      <w:bookmarkStart w:id="50" w:name="_Toc27044"/>
      <w:bookmarkStart w:id="51" w:name="_Toc6486"/>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违约条款</w:t>
      </w:r>
      <w:bookmarkEnd w:id="48"/>
      <w:bookmarkEnd w:id="49"/>
      <w:bookmarkEnd w:id="50"/>
      <w:bookmarkEnd w:id="51"/>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baseline"/>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乙方延迟开工或</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不能按合同约定的工期完成</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任一节点</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内容</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，每延迟一个日历天，乙方向甲方支付违约金人民币壹万元整，延迟超过三个日历天的，甲方有权单方解除合同，已完工工程无偿归甲方，甲方无需支付工程款并有权委托其他单位继续完成</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i w:val="0"/>
          <w:iCs w:val="0"/>
          <w:color w:val="auto"/>
          <w:kern w:val="0"/>
          <w:sz w:val="28"/>
          <w:szCs w:val="28"/>
          <w:highlight w:val="none"/>
          <w:shd w:val="clear" w:color="auto" w:fill="auto"/>
        </w:rPr>
        <w:t>乙方还需按甲方要求准时</w:t>
      </w:r>
      <w:r>
        <w:rPr>
          <w:rFonts w:hint="eastAsia" w:ascii="仿宋_GB2312" w:hAnsi="仿宋_GB2312" w:eastAsia="仿宋_GB2312" w:cs="仿宋_GB2312"/>
          <w:b w:val="0"/>
          <w:bCs w:val="0"/>
          <w:i w:val="0"/>
          <w:iCs w:val="0"/>
          <w:color w:val="auto"/>
          <w:kern w:val="0"/>
          <w:sz w:val="28"/>
          <w:szCs w:val="28"/>
          <w:highlight w:val="none"/>
          <w:shd w:val="clear" w:color="auto" w:fill="auto"/>
        </w:rPr>
        <w:t>退场，</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每延迟一个日历天退场，乙方向甲方另行支付违约金人民币壹万元整，甲方的损失</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（包括但不限于因逾期而</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使得</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甲方需对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承担的违约责任、损失赔偿责任等）</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由乙方赔偿。</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baseline"/>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2乙</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方原因造成</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质量达不到约定的质量标准的，乙方</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无条件返工</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至合格</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为止</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。甲方</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要求之日起</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3个日历天内</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仍未采取</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有效</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返工措施或未在甲方要求的期限内</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完成</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整改并通过甲方验收的，每延迟一个日历天，乙方向甲方支付违约金人民币壹万元整</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并赔偿</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甲方损失</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（包括但不限于因逾期完工而</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使得</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甲方需对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承担的违约责任、损失赔偿责任等）</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同时</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甲方有权：①</w:t>
      </w:r>
      <w:r>
        <w:rPr>
          <w:rFonts w:hint="eastAsia" w:ascii="仿宋_GB2312" w:hAnsi="仿宋_GB2312" w:eastAsia="仿宋_GB2312" w:cs="仿宋_GB2312"/>
          <w:i w:val="0"/>
          <w:iCs w:val="0"/>
          <w:color w:val="auto"/>
          <w:kern w:val="0"/>
          <w:sz w:val="28"/>
          <w:szCs w:val="28"/>
          <w:highlight w:val="none"/>
          <w:shd w:val="clear" w:color="auto" w:fill="auto"/>
        </w:rPr>
        <w:t>单方解除合同并要求乙方期限内无条件撤场，乙方向甲方支付违约金和赔偿甲方全部损失，</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已完工工程无偿归甲方，甲方无需支付工程款；②另行委托其他单位对</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本工程</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进行返修，乙方须无条件接受并配合，由此产生的一切费用乙方承担</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baseline"/>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3经甲方验核达不到约定质量标准的检验批（分项或分部），</w:t>
      </w:r>
      <w:r>
        <w:rPr>
          <w:rFonts w:hint="eastAsia" w:ascii="仿宋_GB2312" w:hAnsi="仿宋_GB2312" w:eastAsia="仿宋_GB2312" w:cs="仿宋_GB2312"/>
          <w:i w:val="0"/>
          <w:iCs w:val="0"/>
          <w:color w:val="auto"/>
          <w:kern w:val="0"/>
          <w:sz w:val="28"/>
          <w:szCs w:val="28"/>
          <w:highlight w:val="none"/>
          <w:shd w:val="clear" w:color="auto" w:fill="auto"/>
        </w:rPr>
        <w:t>甲方有权对乙方按相应检验批的工程量处以</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每次两万元</w:t>
      </w:r>
      <w:r>
        <w:rPr>
          <w:rFonts w:hint="eastAsia" w:ascii="仿宋_GB2312" w:hAnsi="仿宋_GB2312" w:eastAsia="仿宋_GB2312" w:cs="仿宋_GB2312"/>
          <w:i w:val="0"/>
          <w:iCs w:val="0"/>
          <w:color w:val="auto"/>
          <w:kern w:val="0"/>
          <w:sz w:val="28"/>
          <w:szCs w:val="28"/>
          <w:highlight w:val="none"/>
          <w:shd w:val="clear" w:color="auto" w:fill="auto"/>
        </w:rPr>
        <w:t>的违约金处理</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，如果甲方被政府部门或</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建设单位</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处罚</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而</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需承担违约、赔偿责任</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或费用的</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，则由乙方全部承担，同时甲方保留对乙方追偿的权利。</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baseline"/>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4合同履行期间，因乙方原因造成甲</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方或本工程或本项目</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被</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政府部门</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停工、整改导致扣分的，按贰万元/分由乙方支付给甲方</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甲方亦可从任意合同款中扣款</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baseline"/>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5乙方及</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其人员</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、供应商不得以任何理由去政府部门上访、投诉，</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不得</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去建设单位投诉、静坐，否则视情节轻重</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向</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甲方</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支付</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违约金壹万至壹拾万元/次。</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baseline"/>
        <w:rPr>
          <w:rFonts w:hint="eastAsia" w:ascii="仿宋_GB2312" w:hAnsi="仿宋_GB2312" w:eastAsia="仿宋_GB2312" w:cs="仿宋_GB2312"/>
          <w:b w:val="0"/>
          <w:bCs w:val="0"/>
          <w:i w:val="0"/>
          <w:iCs w:val="0"/>
          <w:color w:val="auto"/>
          <w:kern w:val="0"/>
          <w:sz w:val="28"/>
          <w:szCs w:val="28"/>
          <w:highlight w:val="none"/>
          <w:shd w:val="clear" w:color="auto" w:fill="auto"/>
          <w:lang w:eastAsia="zh-CN"/>
        </w:rPr>
      </w:pP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6乙方无正当理由停工或不履行合同</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或</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拖延工期</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或</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不能正常开展工作连续3天以上或无力将</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本工程</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顺利开展下去的，</w:t>
      </w:r>
      <w:r>
        <w:rPr>
          <w:rFonts w:hint="eastAsia" w:ascii="仿宋_GB2312" w:hAnsi="仿宋_GB2312" w:eastAsia="仿宋_GB2312" w:cs="仿宋_GB2312"/>
          <w:i w:val="0"/>
          <w:iCs w:val="0"/>
          <w:color w:val="auto"/>
          <w:kern w:val="0"/>
          <w:sz w:val="28"/>
          <w:szCs w:val="28"/>
          <w:highlight w:val="none"/>
          <w:shd w:val="clear" w:color="auto" w:fill="auto"/>
        </w:rPr>
        <w:t>甲方有权单方解除合同且对乙方</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收取</w:t>
      </w:r>
      <w:r>
        <w:rPr>
          <w:rFonts w:hint="eastAsia" w:ascii="仿宋_GB2312" w:hAnsi="仿宋_GB2312" w:eastAsia="仿宋_GB2312" w:cs="仿宋_GB2312"/>
          <w:b w:val="0"/>
          <w:bCs w:val="0"/>
          <w:i w:val="0"/>
          <w:iCs w:val="0"/>
          <w:color w:val="auto"/>
          <w:kern w:val="0"/>
          <w:sz w:val="28"/>
          <w:szCs w:val="28"/>
          <w:highlight w:val="none"/>
          <w:shd w:val="clear" w:color="auto" w:fill="auto"/>
        </w:rPr>
        <w:t>违约金</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伍万元</w:t>
      </w:r>
      <w:r>
        <w:rPr>
          <w:rFonts w:hint="eastAsia" w:ascii="宋体" w:hAnsi="宋体" w:eastAsia="宋体" w:cs="宋体"/>
          <w:b w:val="0"/>
          <w:bCs w:val="0"/>
          <w:i w:val="0"/>
          <w:iCs w:val="0"/>
          <w:color w:val="auto"/>
          <w:kern w:val="0"/>
          <w:sz w:val="28"/>
          <w:szCs w:val="28"/>
          <w:highlight w:val="none"/>
          <w:shd w:val="clear" w:color="auto" w:fill="auto"/>
          <w:lang w:val="en-US" w:eastAsia="zh-CN"/>
        </w:rPr>
        <w:t>/次</w:t>
      </w:r>
      <w:r>
        <w:rPr>
          <w:rFonts w:hint="eastAsia" w:ascii="仿宋_GB2312" w:hAnsi="仿宋_GB2312" w:eastAsia="仿宋_GB2312" w:cs="仿宋_GB2312"/>
          <w:b w:val="0"/>
          <w:bCs w:val="0"/>
          <w:i w:val="0"/>
          <w:iCs w:val="0"/>
          <w:color w:val="auto"/>
          <w:kern w:val="0"/>
          <w:sz w:val="28"/>
          <w:szCs w:val="28"/>
          <w:highlight w:val="none"/>
          <w:shd w:val="clear" w:color="auto" w:fill="auto"/>
        </w:rPr>
        <w:t>，乙方则按甲方要求限时退场</w:t>
      </w:r>
      <w:r>
        <w:rPr>
          <w:rFonts w:hint="eastAsia" w:ascii="仿宋_GB2312" w:hAnsi="仿宋_GB2312" w:eastAsia="仿宋_GB2312" w:cs="仿宋_GB2312"/>
          <w:b w:val="0"/>
          <w:bCs w:val="0"/>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textAlignment w:val="baseline"/>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7乙方</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未及时发放</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工人工资</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或及时支付</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货款，导致影响甲方</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或本项目或本工程</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的，甲方有权对乙方进行处罚，每发生一次劳资纠纷</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或货款纠纷</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事件，乙方向甲方另行支付违约金叁万元</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若因乙方拖欠工人工资</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lang w:val="en-US" w:eastAsia="zh-CN"/>
          <w14:textFill>
            <w14:solidFill>
              <w14:schemeClr w14:val="tx1"/>
            </w14:solidFill>
          </w14:textFill>
        </w:rPr>
        <w:t>或货款</w:t>
      </w:r>
      <w:r>
        <w:rPr>
          <w:rFonts w:hint="eastAsia" w:ascii="仿宋_GB2312" w:hAnsi="仿宋_GB2312" w:eastAsia="仿宋_GB2312" w:cs="仿宋_GB2312"/>
          <w:b w:val="0"/>
          <w:bCs w:val="0"/>
          <w:i w:val="0"/>
          <w:iCs w:val="0"/>
          <w:color w:val="000000" w:themeColor="text1"/>
          <w:kern w:val="0"/>
          <w:sz w:val="28"/>
          <w:szCs w:val="28"/>
          <w:highlight w:val="none"/>
          <w:shd w:val="clear" w:color="auto" w:fill="auto"/>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导致媒体曝光或政府部门介入的，乙方</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另</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向甲方支付违约金</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不少于</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壹拾万元/次。</w:t>
      </w:r>
    </w:p>
    <w:p>
      <w:pPr>
        <w:keepNext w:val="0"/>
        <w:keepLines w:val="0"/>
        <w:pageBreakBefore w:val="0"/>
        <w:widowControl w:val="0"/>
        <w:tabs>
          <w:tab w:val="left" w:pos="-200"/>
        </w:tabs>
        <w:kinsoku/>
        <w:wordWrap/>
        <w:overflowPunct/>
        <w:topLinePunct w:val="0"/>
        <w:autoSpaceDE/>
        <w:autoSpaceDN/>
        <w:bidi w:val="0"/>
        <w:adjustRightInd/>
        <w:snapToGrid w:val="0"/>
        <w:spacing w:line="520" w:lineRule="exact"/>
        <w:ind w:left="-199" w:leftChars="-95" w:right="-578" w:rightChars="-275" w:firstLine="560" w:firstLineChars="200"/>
        <w:textAlignment w:val="baseline"/>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8凡乙方发生偷工减料行为，甲方视情节轻重计收乙方贰万至壹拾万元/次</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违约金</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p>
    <w:p>
      <w:pPr>
        <w:snapToGrid w:val="0"/>
        <w:spacing w:line="360" w:lineRule="auto"/>
        <w:ind w:left="-193" w:leftChars="-92" w:right="-578" w:rightChars="-275" w:firstLine="613" w:firstLineChars="219"/>
        <w:textAlignment w:val="baseline"/>
        <w:rPr>
          <w:rFonts w:hint="eastAsia" w:ascii="仿宋_GB2312" w:hAnsi="仿宋_GB2312" w:eastAsia="仿宋_GB2312" w:cs="仿宋_GB2312"/>
          <w:i w:val="0"/>
          <w:iCs w:val="0"/>
          <w:color w:val="auto"/>
          <w:kern w:val="0"/>
          <w:sz w:val="28"/>
          <w:szCs w:val="28"/>
          <w:highlight w:val="none"/>
          <w:shd w:val="clear" w:color="auto" w:fill="auto"/>
          <w:lang w:eastAsia="zh-CN"/>
        </w:rPr>
      </w:pP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9乙方出现</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上述第</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条~第</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8条</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所述</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任一行为或</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未履行合同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任一</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义务</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olor w:val="auto"/>
          <w:sz w:val="28"/>
          <w:szCs w:val="28"/>
          <w:highlight w:val="none"/>
          <w:shd w:val="clear" w:color="auto" w:fill="auto"/>
          <w:lang w:val="en-US" w:eastAsia="zh-CN"/>
        </w:rPr>
        <w:t>，</w:t>
      </w:r>
      <w:r>
        <w:rPr>
          <w:rFonts w:hint="eastAsia" w:ascii="仿宋_GB2312" w:hAnsi="仿宋_GB2312" w:eastAsia="仿宋_GB2312" w:cs="仿宋_GB2312"/>
          <w:i w:val="0"/>
          <w:iCs w:val="0"/>
          <w:color w:val="auto"/>
          <w:kern w:val="0"/>
          <w:sz w:val="28"/>
          <w:szCs w:val="28"/>
          <w:highlight w:val="none"/>
          <w:shd w:val="clear" w:color="auto" w:fill="auto"/>
        </w:rPr>
        <w:t>均属乙方严重违约，乙方除按上述条款承担包括但不限于以上所述的违约责任外，甲方可随时单方解除本合同，所产生的损失由乙方赔偿甲方。</w:t>
      </w:r>
    </w:p>
    <w:p>
      <w:pPr>
        <w:keepNext w:val="0"/>
        <w:keepLines w:val="0"/>
        <w:pageBreakBefore w:val="0"/>
        <w:widowControl w:val="0"/>
        <w:kinsoku/>
        <w:wordWrap/>
        <w:overflowPunct/>
        <w:topLinePunct w:val="0"/>
        <w:autoSpaceDE/>
        <w:autoSpaceDN/>
        <w:bidi w:val="0"/>
        <w:adjustRightInd/>
        <w:snapToGrid w:val="0"/>
        <w:spacing w:line="520" w:lineRule="exact"/>
        <w:ind w:left="-193" w:leftChars="-92" w:right="-578" w:rightChars="-275" w:firstLine="613" w:firstLineChars="219"/>
        <w:textAlignment w:val="baseline"/>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10因建设单位、设计变更或非甲方原因导致本合同不能履行的，甲、乙双方互不追究违约责任，</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按照乙方已完成且经甲方验收合格的工程量进行结算，</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同时双方各自承担自身损失。</w:t>
      </w:r>
    </w:p>
    <w:p>
      <w:pPr>
        <w:keepNext w:val="0"/>
        <w:keepLines w:val="0"/>
        <w:pageBreakBefore w:val="0"/>
        <w:widowControl w:val="0"/>
        <w:kinsoku/>
        <w:wordWrap/>
        <w:overflowPunct/>
        <w:topLinePunct w:val="0"/>
        <w:autoSpaceDE/>
        <w:autoSpaceDN/>
        <w:bidi w:val="0"/>
        <w:adjustRightInd/>
        <w:snapToGrid w:val="0"/>
        <w:spacing w:line="520" w:lineRule="exact"/>
        <w:ind w:left="-193" w:leftChars="-92" w:right="-578" w:rightChars="-275" w:firstLine="613" w:firstLineChars="219"/>
        <w:textAlignment w:val="baseline"/>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kern w:val="0"/>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kern w:val="0"/>
          <w:sz w:val="28"/>
          <w:szCs w:val="28"/>
          <w:highlight w:val="none"/>
          <w:shd w:val="clear" w:color="auto" w:fill="auto"/>
          <w14:textFill>
            <w14:solidFill>
              <w14:schemeClr w14:val="tx1"/>
            </w14:solidFill>
          </w14:textFill>
        </w:rPr>
        <w:t>11乙方不得因停工损失向甲方索赔，同意</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不追究甲方在本合同履行过程中因付款延迟、停工而产生的违约责任。</w:t>
      </w:r>
    </w:p>
    <w:p>
      <w:pPr>
        <w:keepNext w:val="0"/>
        <w:keepLines w:val="0"/>
        <w:pageBreakBefore w:val="0"/>
        <w:widowControl w:val="0"/>
        <w:kinsoku/>
        <w:wordWrap/>
        <w:overflowPunct/>
        <w:topLinePunct w:val="0"/>
        <w:autoSpaceDE/>
        <w:autoSpaceDN/>
        <w:bidi w:val="0"/>
        <w:adjustRightInd/>
        <w:snapToGrid w:val="0"/>
        <w:spacing w:line="520" w:lineRule="exact"/>
        <w:ind w:left="-193" w:leftChars="-92" w:right="-578" w:rightChars="-275" w:firstLine="613" w:firstLineChars="219"/>
        <w:textAlignment w:val="baseline"/>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14.12</w:t>
      </w:r>
      <w:r>
        <w:rPr>
          <w:rFonts w:hint="default"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乙方应支付的赔偿及违约金，甲方有权从应付未付款中直接扣除。货款不足以支付违约金的由乙方在甲方规定期限内另行缴纳。</w:t>
      </w:r>
    </w:p>
    <w:p>
      <w:pPr>
        <w:keepNext w:val="0"/>
        <w:keepLines w:val="0"/>
        <w:pageBreakBefore w:val="0"/>
        <w:widowControl w:val="0"/>
        <w:kinsoku/>
        <w:wordWrap/>
        <w:overflowPunct/>
        <w:topLinePunct w:val="0"/>
        <w:autoSpaceDE/>
        <w:autoSpaceDN/>
        <w:bidi w:val="0"/>
        <w:adjustRightInd/>
        <w:snapToGrid w:val="0"/>
        <w:spacing w:line="520" w:lineRule="exact"/>
        <w:ind w:left="-193" w:leftChars="-92" w:right="-578" w:rightChars="-275" w:firstLine="613" w:firstLineChars="219"/>
        <w:textAlignment w:val="baseline"/>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14.13基于本项目的特殊性，乙方已充分了解其责任义务并自愿承担相应风</w:t>
      </w:r>
      <w:r>
        <w:rPr>
          <w:rFonts w:hint="eastAsia" w:ascii="仿宋_GB2312" w:hAnsi="仿宋_GB2312" w:eastAsia="仿宋_GB2312" w:cs="仿宋_GB2312"/>
          <w:i w:val="0"/>
          <w:iCs w:val="0"/>
          <w:color w:val="auto"/>
          <w:sz w:val="28"/>
          <w:szCs w:val="28"/>
          <w:highlight w:val="none"/>
          <w:shd w:val="clear" w:color="auto" w:fill="auto"/>
          <w:lang w:val="en-US" w:eastAsia="zh-CN"/>
        </w:rPr>
        <w:t>险，合同所约定的违约金标准经双方友好协商确定，乙方同意日后不得对违约金标准提出任何主张或抗辩。</w:t>
      </w:r>
    </w:p>
    <w:p>
      <w:pPr>
        <w:keepNext w:val="0"/>
        <w:keepLines w:val="0"/>
        <w:pageBreakBefore w:val="0"/>
        <w:widowControl w:val="0"/>
        <w:kinsoku/>
        <w:wordWrap/>
        <w:overflowPunct/>
        <w:topLinePunct w:val="0"/>
        <w:autoSpaceDE/>
        <w:autoSpaceDN/>
        <w:bidi w:val="0"/>
        <w:adjustRightInd/>
        <w:snapToGrid w:val="0"/>
        <w:spacing w:line="520" w:lineRule="exact"/>
        <w:ind w:left="-193" w:leftChars="-92" w:right="-578" w:rightChars="-275" w:firstLine="613" w:firstLineChars="219"/>
        <w:textAlignment w:val="baseline"/>
        <w:rPr>
          <w:rFonts w:hint="default"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14.14在本合同履行过程中，非乙方原因造成施工质量、安全文明等无法满足甲方及规范要求的，乙方须提供不属于其责任的证明并得到甲方的书面认可，否则视为乙方违约，责任及相关的全部费用和损失由乙方承担。</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52" w:name="_Toc20177"/>
      <w:bookmarkStart w:id="53" w:name="_Toc2734"/>
      <w:bookmarkStart w:id="54" w:name="_Toc3698"/>
      <w:bookmarkStart w:id="55" w:name="_Toc10430"/>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廉洁条款</w:t>
      </w:r>
      <w:bookmarkEnd w:id="52"/>
      <w:bookmarkEnd w:id="53"/>
      <w:bookmarkEnd w:id="54"/>
      <w:bookmarkEnd w:id="55"/>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1乙方在与甲方合作期间（包括本</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招标、签订、履行期间），不得向甲方职员提供请吃、送礼、旅游、色情服务、行贿、回扣或其他好处，如有违反，</w:t>
      </w:r>
      <w:r>
        <w:rPr>
          <w:rFonts w:hint="eastAsia" w:ascii="仿宋_GB2312" w:hAnsi="仿宋_GB2312" w:eastAsia="仿宋_GB2312" w:cs="仿宋_GB2312"/>
          <w:i w:val="0"/>
          <w:iCs w:val="0"/>
          <w:color w:val="auto"/>
          <w:sz w:val="28"/>
          <w:szCs w:val="28"/>
          <w:highlight w:val="none"/>
          <w:shd w:val="clear" w:color="auto" w:fill="auto"/>
        </w:rPr>
        <w:t>乙方每次向甲方支付</w:t>
      </w:r>
      <w:r>
        <w:rPr>
          <w:rFonts w:hint="eastAsia" w:ascii="仿宋_GB2312" w:hAnsi="仿宋_GB2312" w:eastAsia="仿宋_GB2312" w:cs="仿宋_GB2312"/>
          <w:i w:val="0"/>
          <w:iCs w:val="0"/>
          <w:color w:val="auto"/>
          <w:kern w:val="0"/>
          <w:sz w:val="28"/>
          <w:szCs w:val="28"/>
          <w:highlight w:val="none"/>
          <w:u w:val="none"/>
          <w:shd w:val="clear" w:color="auto" w:fill="auto"/>
          <w:lang w:val="en-US" w:eastAsia="zh-CN"/>
        </w:rPr>
        <w:t>壹拾万元</w:t>
      </w:r>
      <w:r>
        <w:rPr>
          <w:rFonts w:hint="eastAsia" w:ascii="仿宋_GB2312" w:hAnsi="仿宋_GB2312" w:eastAsia="仿宋_GB2312" w:cs="仿宋_GB2312"/>
          <w:i w:val="0"/>
          <w:iCs w:val="0"/>
          <w:color w:val="auto"/>
          <w:sz w:val="28"/>
          <w:szCs w:val="28"/>
          <w:highlight w:val="none"/>
          <w:u w:val="none"/>
          <w:shd w:val="clear" w:color="auto" w:fill="auto"/>
        </w:rPr>
        <w:t>作为</w:t>
      </w:r>
      <w:r>
        <w:rPr>
          <w:rFonts w:hint="eastAsia" w:ascii="仿宋_GB2312" w:hAnsi="仿宋_GB2312" w:eastAsia="仿宋_GB2312" w:cs="仿宋_GB2312"/>
          <w:i w:val="0"/>
          <w:iCs w:val="0"/>
          <w:color w:val="auto"/>
          <w:sz w:val="28"/>
          <w:szCs w:val="28"/>
          <w:highlight w:val="none"/>
          <w:shd w:val="clear" w:color="auto" w:fill="auto"/>
        </w:rPr>
        <w:t>违约金</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（甲方可从任意一笔合同款中扣款），造成甲方经济或其他损失的，乙方全额赔偿</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keepNext w:val="0"/>
        <w:keepLines w:val="0"/>
        <w:pageBreakBefore w:val="0"/>
        <w:widowControl w:val="0"/>
        <w:kinsoku/>
        <w:wordWrap/>
        <w:overflowPunct/>
        <w:topLinePunct w:val="0"/>
        <w:autoSpaceDE/>
        <w:autoSpaceDN/>
        <w:bidi w:val="0"/>
        <w:adjustRightInd/>
        <w:snapToGrid w:val="0"/>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3 如甲方发现乙方可能存在违反本廉洁条款的行为时，甲方有权暂扣违约金/争议工程款/处罚款等对应等额的工程款，直至调查完毕后根据调查结果再作处理，甲方暂不付款的行为不视为甲方违约。</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20" w:lineRule="exact"/>
        <w:ind w:left="-193" w:leftChars="-95" w:right="-578" w:rightChars="-275" w:hanging="6" w:firstLineChars="0"/>
        <w:textAlignment w:val="auto"/>
        <w:outlineLvl w:val="0"/>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56" w:name="_Toc29384"/>
      <w:bookmarkStart w:id="57" w:name="_Toc7932"/>
      <w:bookmarkStart w:id="58" w:name="_Toc15001"/>
      <w:bookmarkStart w:id="59" w:name="_Toc11790"/>
      <w:bookmarkStart w:id="60" w:name="_Toc18674"/>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其他</w:t>
      </w:r>
      <w:bookmarkEnd w:id="56"/>
      <w:bookmarkEnd w:id="57"/>
      <w:bookmarkEnd w:id="58"/>
      <w:bookmarkEnd w:id="59"/>
      <w:bookmarkEnd w:id="60"/>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1甲乙双方联系人</w:t>
      </w:r>
    </w:p>
    <w:p>
      <w:pPr>
        <w:keepNext w:val="0"/>
        <w:keepLines w:val="0"/>
        <w:pageBreakBefore w:val="0"/>
        <w:widowControl w:val="0"/>
        <w:kinsoku/>
        <w:wordWrap/>
        <w:overflowPunct/>
        <w:topLinePunct w:val="0"/>
        <w:autoSpaceDE/>
        <w:autoSpaceDN/>
        <w:bidi w:val="0"/>
        <w:spacing w:line="336" w:lineRule="auto"/>
        <w:ind w:left="-197" w:leftChars="-94" w:right="-578" w:rightChars="-275" w:firstLine="417" w:firstLineChars="149"/>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1.1</w:t>
      </w:r>
      <w:r>
        <w:rPr>
          <w:rFonts w:hint="eastAsia" w:ascii="仿宋_GB2312" w:hAnsi="仿宋_GB2312" w:eastAsia="仿宋_GB2312" w:cs="仿宋_GB2312"/>
          <w:i w:val="0"/>
          <w:iCs w:val="0"/>
          <w:color w:val="auto"/>
          <w:sz w:val="28"/>
          <w:szCs w:val="28"/>
          <w:highlight w:val="none"/>
          <w:shd w:val="clear" w:color="auto" w:fill="auto"/>
        </w:rPr>
        <w:t>甲方指定</w:t>
      </w:r>
      <w:r>
        <w:rPr>
          <w:rFonts w:hint="eastAsia" w:ascii="仿宋_GB2312" w:hAnsi="仿宋_GB2312" w:eastAsia="仿宋_GB2312" w:cs="仿宋_GB2312"/>
          <w:i w:val="0"/>
          <w:iCs w:val="0"/>
          <w:color w:val="auto"/>
          <w:sz w:val="28"/>
          <w:szCs w:val="28"/>
          <w:highlight w:val="none"/>
          <w:u w:val="single"/>
          <w:shd w:val="clear" w:color="auto" w:fill="auto"/>
        </w:rPr>
        <w:t xml:space="preserve"> </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i w:val="0"/>
          <w:iCs w:val="0"/>
          <w:color w:val="auto"/>
          <w:sz w:val="28"/>
          <w:szCs w:val="28"/>
          <w:highlight w:val="none"/>
          <w:u w:val="single"/>
          <w:shd w:val="clear" w:color="auto" w:fill="auto"/>
        </w:rPr>
        <w:t xml:space="preserve"> </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i w:val="0"/>
          <w:iCs w:val="0"/>
          <w:color w:val="auto"/>
          <w:sz w:val="28"/>
          <w:szCs w:val="28"/>
          <w:highlight w:val="none"/>
          <w:shd w:val="clear" w:color="auto" w:fill="auto"/>
        </w:rPr>
        <w:t>为本合同项目的负责人及甲方执行联系人，联系电话：</w:t>
      </w:r>
      <w:r>
        <w:rPr>
          <w:rFonts w:hint="eastAsia" w:ascii="仿宋_GB2312" w:hAnsi="仿宋_GB2312" w:eastAsia="仿宋_GB2312" w:cs="仿宋_GB2312"/>
          <w:i w:val="0"/>
          <w:iCs w:val="0"/>
          <w:color w:val="auto"/>
          <w:sz w:val="28"/>
          <w:szCs w:val="28"/>
          <w:highlight w:val="none"/>
          <w:u w:val="single"/>
          <w:shd w:val="clear" w:color="auto" w:fill="auto"/>
        </w:rPr>
        <w:t xml:space="preserve"> </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i w:val="0"/>
          <w:iCs w:val="0"/>
          <w:color w:val="auto"/>
          <w:sz w:val="28"/>
          <w:szCs w:val="28"/>
          <w:highlight w:val="none"/>
          <w:shd w:val="clear" w:color="auto" w:fill="auto"/>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w:t>
      </w:r>
      <w:r>
        <w:rPr>
          <w:rFonts w:hint="eastAsia" w:ascii="仿宋_GB2312" w:hAnsi="仿宋_GB2312" w:eastAsia="仿宋_GB2312" w:cs="仿宋_GB2312"/>
          <w:i w:val="0"/>
          <w:iCs w:val="0"/>
          <w:color w:val="auto"/>
          <w:sz w:val="28"/>
          <w:szCs w:val="28"/>
          <w:highlight w:val="yellow"/>
          <w:shd w:val="clear" w:color="auto" w:fill="auto"/>
        </w:rPr>
        <w:t>合同附件</w:t>
      </w:r>
      <w:r>
        <w:rPr>
          <w:rFonts w:hint="eastAsia" w:ascii="仿宋_GB2312" w:hAnsi="仿宋_GB2312" w:eastAsia="仿宋_GB2312" w:cs="仿宋_GB2312"/>
          <w:i w:val="0"/>
          <w:iCs w:val="0"/>
          <w:color w:val="auto"/>
          <w:sz w:val="28"/>
          <w:szCs w:val="28"/>
          <w:highlight w:val="none"/>
          <w:shd w:val="clear" w:color="auto" w:fill="auto"/>
        </w:rPr>
        <w:t>）方为有效，否则为无效文件，仅盖章或者签名的文件亦无效。甲方项目负责人、执行联系人变更的，甲方将以书面形式通知乙方。</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1.2乙方指定</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14:textFill>
            <w14:solidFill>
              <w14:schemeClr w14:val="tx1"/>
            </w14:solidFill>
          </w14:textFill>
        </w:rPr>
        <w:t>（身份证号码：</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14:textFill>
            <w14:solidFill>
              <w14:schemeClr w14:val="tx1"/>
            </w14:solidFill>
          </w14:textFill>
        </w:rPr>
        <w:t xml:space="preserve">；手机号码： </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yellow"/>
          <w:shd w:val="clear" w:color="auto" w:fill="auto"/>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为</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本合同的乙方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授权代表</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本合同有效期</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内其</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为</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乙</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授权</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处理与本合同</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相关</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事项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的执行人，负责与甲方公司总部办理</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相关事务（如负责双方来往</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函件</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签收、签字、验收、确定增减</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款、确定结算金额、领款、签收并签认甲方对乙方违约行为作出的处理通知等行为）</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16.1.3</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yellow"/>
          <w:shd w:val="clear" w:color="auto" w:fill="auto"/>
          <w14:textFill>
            <w14:solidFill>
              <w14:schemeClr w14:val="tx1"/>
            </w14:solidFill>
          </w14:textFill>
        </w:rPr>
        <w:t>指定</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14:textFill>
            <w14:solidFill>
              <w14:schemeClr w14:val="tx1"/>
            </w14:solidFill>
          </w14:textFill>
        </w:rPr>
        <w:t>（身份证号码：</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14:textFill>
            <w14:solidFill>
              <w14:schemeClr w14:val="tx1"/>
            </w14:solidFill>
          </w14:textFill>
        </w:rPr>
        <w:t xml:space="preserve">；手机号码： </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yellow"/>
          <w:u w:val="single"/>
          <w:shd w:val="clear" w:color="auto" w:fill="auto"/>
          <w14:textFill>
            <w14:solidFill>
              <w14:schemeClr w14:val="tx1"/>
            </w14:solidFill>
          </w14:textFill>
        </w:rPr>
        <w:t xml:space="preserve"> </w:t>
      </w:r>
      <w:r>
        <w:rPr>
          <w:rFonts w:hint="eastAsia" w:ascii="仿宋_GB2312" w:hAnsi="仿宋_GB2312" w:eastAsia="仿宋_GB2312" w:cs="仿宋_GB2312"/>
          <w:b w:val="0"/>
          <w:bCs w:val="0"/>
          <w:i w:val="0"/>
          <w:iCs w:val="0"/>
          <w:color w:val="000000" w:themeColor="text1"/>
          <w:sz w:val="28"/>
          <w:szCs w:val="28"/>
          <w:highlight w:val="yellow"/>
          <w:shd w:val="clear" w:color="auto" w:fill="auto"/>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为</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本合同的乙方现场负责人，</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本合同有效期</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内其</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为</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乙方授权处理本项目施工现场相关事项执行人，负责与甲方项目现场的工作签认、安排等全部事务。现场负责人必</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须常</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驻本项目</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施工现场。</w:t>
      </w:r>
    </w:p>
    <w:p>
      <w:pPr>
        <w:keepNext w:val="0"/>
        <w:keepLines w:val="0"/>
        <w:pageBreakBefore w:val="0"/>
        <w:widowControl w:val="0"/>
        <w:kinsoku/>
        <w:wordWrap/>
        <w:overflowPunct/>
        <w:topLinePunct w:val="0"/>
        <w:autoSpaceDE/>
        <w:autoSpaceDN/>
        <w:bidi w:val="0"/>
        <w:adjustRightInd/>
        <w:spacing w:line="520" w:lineRule="exact"/>
        <w:ind w:right="-578" w:rightChars="-275" w:firstLine="560" w:firstLineChars="200"/>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乙方对</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授权代表</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及乙方现场负责人的</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行为均予认可并承担一切责任。乙方如需更换授权</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或现场负责人</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，应提前三个工作日书面报经甲方同意，否则不得更换。</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jc w:val="left"/>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甲方编制的《施工交楼标准》</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《常见建筑工程质量通病的标准化施工细则》</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隐蔽工程管理制度</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商品混凝土、砂浆验收管理制度</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为本合同不可分割的组成部分，与合同正文具有同等效力，乙方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照章施工。</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本合同条款</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互为矛盾</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的，</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按</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最有利于甲方的条款执行。</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本合同未尽事宜，须经</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甲乙</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双方协商</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一致后</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签订补充协议</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进行明确。</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补充协议与本合同具有同等法律效力。</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5与</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本合同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相关的</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争议，</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甲乙</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双方</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应首先</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友好协商解决，</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协商</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不成则由任一方提交甲方所在地的人民法院诉讼处理。法院送达的文书以合同签章处所列地址为有效地址</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以</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邮寄方式送达的，通过邮政特快专递寄出第三日视为送达</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16.6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7</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本合同一式</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二</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份，甲</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乙双方各执一</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份，均具同等效力。</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16.8</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本合同自甲乙双方签字、</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加</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盖</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公</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章</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或合同章</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之日起生效，双方履行完合同义务、责任之日起终止。</w:t>
      </w:r>
    </w:p>
    <w:p>
      <w:pPr>
        <w:keepNext w:val="0"/>
        <w:keepLines w:val="0"/>
        <w:pageBreakBefore w:val="0"/>
        <w:widowControl w:val="0"/>
        <w:kinsoku/>
        <w:wordWrap/>
        <w:overflowPunct/>
        <w:topLinePunct w:val="0"/>
        <w:autoSpaceDE/>
        <w:autoSpaceDN/>
        <w:bidi w:val="0"/>
        <w:adjustRightInd/>
        <w:spacing w:line="520" w:lineRule="exact"/>
        <w:ind w:left="-197" w:leftChars="-94" w:right="-578" w:rightChars="-275" w:firstLine="417" w:firstLineChars="149"/>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【以下无正文】</w:t>
      </w:r>
    </w:p>
    <w:p>
      <w:pPr>
        <w:keepNext w:val="0"/>
        <w:keepLines w:val="0"/>
        <w:pageBreakBefore w:val="0"/>
        <w:widowControl w:val="0"/>
        <w:kinsoku/>
        <w:wordWrap/>
        <w:overflowPunct/>
        <w:topLinePunct w:val="0"/>
        <w:autoSpaceDE/>
        <w:autoSpaceDN/>
        <w:bidi w:val="0"/>
        <w:adjustRightInd/>
        <w:spacing w:line="520" w:lineRule="exact"/>
        <w:ind w:left="-195" w:leftChars="-93" w:right="-578" w:rightChars="-275" w:firstLine="616" w:firstLineChars="220"/>
        <w:outlineLvl w:val="0"/>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bookmarkStart w:id="61" w:name="_Toc10199"/>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附件一《报价清单》；</w:t>
      </w:r>
      <w:bookmarkEnd w:id="61"/>
    </w:p>
    <w:p>
      <w:pPr>
        <w:keepNext w:val="0"/>
        <w:keepLines w:val="0"/>
        <w:pageBreakBefore w:val="0"/>
        <w:widowControl w:val="0"/>
        <w:kinsoku/>
        <w:wordWrap/>
        <w:overflowPunct/>
        <w:topLinePunct w:val="0"/>
        <w:autoSpaceDE/>
        <w:autoSpaceDN/>
        <w:bidi w:val="0"/>
        <w:adjustRightInd/>
        <w:spacing w:line="520" w:lineRule="exact"/>
        <w:ind w:left="-195" w:leftChars="-93" w:right="-578" w:rightChars="-275" w:firstLine="616" w:firstLineChars="220"/>
        <w:outlineLvl w:val="0"/>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bookmarkStart w:id="62" w:name="_Toc25964"/>
      <w:bookmarkStart w:id="63" w:name="_Toc24228"/>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附件二《工完场清交接单》格式；</w:t>
      </w:r>
      <w:bookmarkEnd w:id="62"/>
      <w:bookmarkEnd w:id="63"/>
    </w:p>
    <w:p>
      <w:pPr>
        <w:keepNext w:val="0"/>
        <w:keepLines w:val="0"/>
        <w:pageBreakBefore w:val="0"/>
        <w:widowControl w:val="0"/>
        <w:kinsoku/>
        <w:wordWrap/>
        <w:overflowPunct/>
        <w:topLinePunct w:val="0"/>
        <w:autoSpaceDE/>
        <w:autoSpaceDN/>
        <w:bidi w:val="0"/>
        <w:adjustRightInd/>
        <w:spacing w:line="520" w:lineRule="exact"/>
        <w:ind w:left="-195" w:leftChars="-93" w:right="-578" w:rightChars="-275" w:firstLine="616" w:firstLineChars="220"/>
        <w:outlineLvl w:val="0"/>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bookmarkStart w:id="64" w:name="_Toc953"/>
      <w:bookmarkStart w:id="65" w:name="_Toc29089"/>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附件三《出险声明函》格式；</w:t>
      </w:r>
      <w:bookmarkEnd w:id="64"/>
      <w:bookmarkEnd w:id="65"/>
    </w:p>
    <w:p>
      <w:pPr>
        <w:keepNext w:val="0"/>
        <w:keepLines w:val="0"/>
        <w:pageBreakBefore w:val="0"/>
        <w:widowControl w:val="0"/>
        <w:kinsoku/>
        <w:wordWrap/>
        <w:overflowPunct/>
        <w:topLinePunct w:val="0"/>
        <w:autoSpaceDE/>
        <w:autoSpaceDN/>
        <w:bidi w:val="0"/>
        <w:adjustRightInd/>
        <w:spacing w:line="520" w:lineRule="exact"/>
        <w:ind w:left="-195" w:leftChars="-93" w:right="-578" w:rightChars="-275" w:firstLine="616" w:firstLineChars="220"/>
        <w:outlineLvl w:val="0"/>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bookmarkStart w:id="66" w:name="_Toc5560"/>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附件四《分包签证确认单》；</w:t>
      </w:r>
      <w:bookmarkEnd w:id="66"/>
    </w:p>
    <w:p>
      <w:pPr>
        <w:keepNext w:val="0"/>
        <w:keepLines w:val="0"/>
        <w:pageBreakBefore w:val="0"/>
        <w:widowControl w:val="0"/>
        <w:kinsoku/>
        <w:wordWrap/>
        <w:overflowPunct/>
        <w:topLinePunct w:val="0"/>
        <w:autoSpaceDE/>
        <w:autoSpaceDN/>
        <w:bidi w:val="0"/>
        <w:adjustRightInd/>
        <w:spacing w:line="520" w:lineRule="exact"/>
        <w:ind w:left="-195" w:leftChars="-93" w:right="-578" w:rightChars="-275" w:firstLine="616" w:firstLineChars="220"/>
        <w:outlineLvl w:val="0"/>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bookmarkStart w:id="67" w:name="_Toc757"/>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附件五《分项工程单价申报审批表》</w:t>
      </w:r>
      <w:bookmarkEnd w:id="67"/>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20" w:lineRule="exact"/>
        <w:ind w:left="-195" w:leftChars="-93" w:right="-578" w:rightChars="-275" w:firstLine="616" w:firstLineChars="220"/>
        <w:outlineLvl w:val="0"/>
        <w:rPr>
          <w:rFonts w:hint="default"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附件六《工程结算支付证明单》。</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textAlignment w:val="auto"/>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 xml:space="preserve">甲方(盖章):东莞市中泰建安工程有限公司    乙方(盖章):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 xml:space="preserve">签约代表:                             </w:t>
      </w:r>
      <w:r>
        <w:rPr>
          <w:rFonts w:hint="eastAsia"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 xml:space="preserve"> 签约代表:</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default"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纳税号：91441900732168546R               纳税号：</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账  号：106001512010006060               账  号：</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开户行：广发</w:t>
      </w:r>
      <w:r>
        <w:rPr>
          <w:rFonts w:hint="eastAsia"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t>银</w:t>
      </w: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 xml:space="preserve">行东莞分行营业部           开户行：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jc w:val="left"/>
        <w:textAlignment w:val="auto"/>
        <w:rPr>
          <w:rFonts w:hint="default"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地 址：广东省东莞市南城街道鸿福路</w:t>
      </w:r>
      <w:r>
        <w:rPr>
          <w:rFonts w:hint="eastAsia"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地  址：</w:t>
      </w:r>
    </w:p>
    <w:p>
      <w:pPr>
        <w:keepNext w:val="0"/>
        <w:keepLines w:val="0"/>
        <w:pageBreakBefore w:val="0"/>
        <w:widowControl w:val="0"/>
        <w:kinsoku/>
        <w:wordWrap/>
        <w:overflowPunct/>
        <w:topLinePunct w:val="0"/>
        <w:autoSpaceDE/>
        <w:autoSpaceDN/>
        <w:bidi w:val="0"/>
        <w:adjustRightInd/>
        <w:snapToGrid w:val="0"/>
        <w:spacing w:line="360" w:lineRule="auto"/>
        <w:ind w:left="40" w:leftChars="19" w:right="-578" w:rightChars="-275" w:firstLine="718" w:firstLineChars="298"/>
        <w:jc w:val="left"/>
        <w:textAlignment w:val="auto"/>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106号1栋1712室01</w:t>
      </w:r>
      <w:r>
        <w:rPr>
          <w:rFonts w:hint="eastAsia"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 xml:space="preserve">                  </w:t>
      </w:r>
      <w:r>
        <w:rPr>
          <w:rFonts w:hint="eastAsia"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电  话：0769-22</w:t>
      </w:r>
      <w:r>
        <w:rPr>
          <w:rFonts w:hint="eastAsia"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t>311322</w:t>
      </w: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 xml:space="preserve">                   </w:t>
      </w:r>
      <w:r>
        <w:rPr>
          <w:rFonts w:hint="eastAsia"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bCs/>
          <w:i w:val="0"/>
          <w:iCs w:val="0"/>
          <w:color w:val="000000" w:themeColor="text1"/>
          <w:sz w:val="24"/>
          <w:szCs w:val="24"/>
          <w:highlight w:val="none"/>
          <w:shd w:val="clear" w:color="auto" w:fill="auto"/>
          <w14:textFill>
            <w14:solidFill>
              <w14:schemeClr w14:val="tx1"/>
            </w14:solidFill>
          </w14:textFill>
        </w:rPr>
        <w:t>电  话:</w:t>
      </w:r>
    </w:p>
    <w:p>
      <w:pPr>
        <w:spacing w:line="360" w:lineRule="auto"/>
        <w:ind w:left="-619" w:leftChars="-295" w:right="-672" w:rightChars="-320" w:firstLine="0" w:firstLineChars="0"/>
        <w:rPr>
          <w:rFonts w:hint="eastAsia" w:ascii="仿宋_GB2312" w:hAnsi="仿宋_GB2312" w:eastAsia="仿宋_GB2312" w:cs="仿宋_GB2312"/>
          <w:b/>
          <w:bCs/>
          <w:i w:val="0"/>
          <w:iCs w:val="0"/>
          <w:color w:val="000000" w:themeColor="text1"/>
          <w:sz w:val="24"/>
          <w:szCs w:val="24"/>
          <w:highlight w:val="none"/>
          <w:shd w:val="clear" w:color="auto" w:fill="auto"/>
          <w:lang w:eastAsia="zh-CN"/>
          <w14:textFill>
            <w14:solidFill>
              <w14:schemeClr w14:val="tx1"/>
            </w14:solidFill>
          </w14:textFill>
        </w:rPr>
      </w:pPr>
      <w:r>
        <w:rPr>
          <w:rFonts w:hint="eastAsia" w:ascii="仿宋_GB2312" w:hAnsi="仿宋_GB2312" w:eastAsia="仿宋_GB2312" w:cs="仿宋_GB2312"/>
          <w:b/>
          <w:bCs/>
          <w:i w:val="0"/>
          <w:iCs w:val="0"/>
          <w:color w:val="000000" w:themeColor="text1"/>
          <w:sz w:val="24"/>
          <w:szCs w:val="24"/>
          <w:highlight w:val="none"/>
          <w:shd w:val="clear" w:color="auto" w:fill="auto"/>
          <w:lang w:eastAsia="zh-CN"/>
          <w14:textFill>
            <w14:solidFill>
              <w14:schemeClr w14:val="tx1"/>
            </w14:solidFill>
          </w14:textFill>
        </w:rPr>
        <w:t>【</w:t>
      </w:r>
      <w:r>
        <w:rPr>
          <w:rFonts w:hint="eastAsia" w:ascii="仿宋" w:hAnsi="仿宋" w:eastAsia="仿宋" w:cs="仿宋"/>
          <w:b/>
          <w:bCs/>
          <w:color w:val="auto"/>
          <w:sz w:val="22"/>
          <w:szCs w:val="22"/>
          <w:highlight w:val="none"/>
          <w:lang w:eastAsia="zh-CN"/>
        </w:rPr>
        <w:t>甲方人员如有营私舞弊、吃拿卡要等损害乙方合法权益的行为，乙方可拨打投诉专线18688665878或发邮件至投诉邮箱：zhglzx@nanfeng.cn，也可至广东省东莞市南城街道鸿福路106号南峰中心17楼综合管理中心办公室面告。</w:t>
      </w:r>
      <w:r>
        <w:rPr>
          <w:rFonts w:hint="eastAsia" w:ascii="仿宋_GB2312" w:hAnsi="仿宋_GB2312" w:eastAsia="仿宋_GB2312" w:cs="仿宋_GB2312"/>
          <w:b/>
          <w:bCs/>
          <w:i w:val="0"/>
          <w:iCs w:val="0"/>
          <w:color w:val="000000" w:themeColor="text1"/>
          <w:sz w:val="24"/>
          <w:szCs w:val="24"/>
          <w:highlight w:val="none"/>
          <w:shd w:val="clear" w:color="auto" w:fill="auto"/>
          <w:lang w:eastAsia="zh-CN"/>
          <w14:textFill>
            <w14:solidFill>
              <w14:schemeClr w14:val="tx1"/>
            </w14:solidFill>
          </w14:textFill>
        </w:rPr>
        <w:t>】</w:t>
      </w:r>
      <w:bookmarkStart w:id="68" w:name="_Toc7362"/>
      <w:bookmarkStart w:id="69" w:name="_Toc22003"/>
    </w:p>
    <w:p>
      <w:pPr>
        <w:spacing w:line="360" w:lineRule="auto"/>
        <w:ind w:right="-672" w:rightChars="-320"/>
        <w:rPr>
          <w:rFonts w:hint="eastAsia" w:ascii="仿宋_GB2312" w:hAnsi="仿宋_GB2312" w:eastAsia="仿宋_GB2312" w:cs="仿宋_GB2312"/>
          <w:b/>
          <w:bCs/>
          <w:i w:val="0"/>
          <w:iCs w:val="0"/>
          <w:color w:val="000000" w:themeColor="text1"/>
          <w:sz w:val="24"/>
          <w:szCs w:val="24"/>
          <w:highlight w:val="none"/>
          <w:shd w:val="clear" w:color="auto" w:fill="auto"/>
          <w:lang w:eastAsia="zh-CN"/>
          <w14:textFill>
            <w14:solidFill>
              <w14:schemeClr w14:val="tx1"/>
            </w14:solidFill>
          </w14:textFill>
        </w:rPr>
      </w:pPr>
    </w:p>
    <w:p>
      <w:pPr>
        <w:spacing w:line="360" w:lineRule="auto"/>
        <w:ind w:right="-672" w:rightChars="-320"/>
        <w:rPr>
          <w:rFonts w:hint="eastAsia" w:ascii="仿宋_GB2312" w:hAnsi="仿宋_GB2312" w:eastAsia="仿宋_GB2312" w:cs="仿宋_GB2312"/>
          <w:b/>
          <w:bCs/>
          <w:i w:val="0"/>
          <w:iCs w:val="0"/>
          <w:color w:val="000000" w:themeColor="text1"/>
          <w:sz w:val="24"/>
          <w:szCs w:val="24"/>
          <w:highlight w:val="none"/>
          <w:shd w:val="clear" w:color="auto" w:fill="auto"/>
          <w:lang w:val="en-US" w:eastAsia="zh-CN"/>
          <w14:textFill>
            <w14:solidFill>
              <w14:schemeClr w14:val="tx1"/>
            </w14:solidFill>
          </w14:textFill>
        </w:rPr>
      </w:pPr>
    </w:p>
    <w:p>
      <w:pPr>
        <w:ind w:firstLineChars="0"/>
        <w:jc w:val="right"/>
        <w:outlineLvl w:val="0"/>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t>附件一</w:t>
      </w:r>
      <w:bookmarkEnd w:id="68"/>
      <w:bookmarkEnd w:id="69"/>
      <w:bookmarkStart w:id="70" w:name="_Toc17688"/>
    </w:p>
    <w:tbl>
      <w:tblPr>
        <w:tblStyle w:val="11"/>
        <w:tblW w:w="5630" w:type="pct"/>
        <w:tblInd w:w="-5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02"/>
        <w:gridCol w:w="502"/>
        <w:gridCol w:w="1487"/>
        <w:gridCol w:w="3121"/>
        <w:gridCol w:w="702"/>
        <w:gridCol w:w="873"/>
        <w:gridCol w:w="804"/>
        <w:gridCol w:w="1050"/>
        <w:gridCol w:w="10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00" w:type="pct"/>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themeColor="text1"/>
                <w:sz w:val="32"/>
                <w:szCs w:val="32"/>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32"/>
                <w:szCs w:val="32"/>
                <w:highlight w:val="none"/>
                <w:u w:val="none"/>
                <w:lang w:val="en-US" w:eastAsia="zh-CN" w:bidi="ar"/>
                <w14:textFill>
                  <w14:solidFill>
                    <w14:schemeClr w14:val="tx1"/>
                  </w14:solidFill>
                </w14:textFill>
              </w:rPr>
              <w:t>报价清单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sz w:val="22"/>
                <w:szCs w:val="22"/>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序号</w:t>
            </w:r>
          </w:p>
        </w:tc>
        <w:tc>
          <w:tcPr>
            <w:tcW w:w="9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sz w:val="22"/>
                <w:szCs w:val="22"/>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名称/部位</w:t>
            </w: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sz w:val="22"/>
                <w:szCs w:val="22"/>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项目特征描述</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sz w:val="22"/>
                <w:szCs w:val="22"/>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单位</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暂定</w:t>
            </w:r>
          </w:p>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sz w:val="22"/>
                <w:szCs w:val="22"/>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工程量</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sz w:val="22"/>
                <w:szCs w:val="22"/>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合同单价（元）</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暂定</w:t>
            </w:r>
          </w:p>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sz w:val="22"/>
                <w:szCs w:val="22"/>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合价</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b/>
                <w:bCs/>
                <w:i w:val="0"/>
                <w:iCs w:val="0"/>
                <w:color w:val="000000" w:themeColor="text1"/>
                <w:sz w:val="22"/>
                <w:szCs w:val="22"/>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22"/>
                <w:szCs w:val="22"/>
                <w:highlight w:val="none"/>
                <w:u w:val="none"/>
                <w:lang w:val="en-US" w:eastAsia="zh-CN" w:bidi="ar"/>
                <w14:textFill>
                  <w14:solidFill>
                    <w14:schemeClr w14:val="tx1"/>
                  </w14:solidFill>
                </w14:textFill>
              </w:rPr>
              <w:t>分包形式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8"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49"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 w:hAnsi="仿宋" w:eastAsia="仿宋" w:cs="仿宋"/>
                <w:i w:val="0"/>
                <w:iCs w:val="0"/>
                <w:color w:val="000000" w:themeColor="text1"/>
                <w:sz w:val="22"/>
                <w:szCs w:val="22"/>
                <w:highlight w:val="none"/>
                <w:u w:val="none"/>
                <w:lang w:val="en-US" w:eastAsia="zh-CN"/>
                <w14:textFill>
                  <w14:solidFill>
                    <w14:schemeClr w14:val="tx1"/>
                  </w14:solidFill>
                </w14:textFill>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9"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49"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95"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49"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4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2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7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5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bl>
    <w:p>
      <w:pPr>
        <w:ind w:firstLineChars="0"/>
        <w:jc w:val="both"/>
        <w:outlineLvl w:val="0"/>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bookmarkStart w:id="71" w:name="_Toc32457"/>
    </w:p>
    <w:p>
      <w:pPr>
        <w:ind w:firstLineChars="0"/>
        <w:jc w:val="right"/>
        <w:outlineLvl w:val="0"/>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bookmarkStart w:id="72" w:name="_Toc2366"/>
      <w:r>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t>附件</w:t>
      </w:r>
      <w:bookmarkEnd w:id="70"/>
      <w:r>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t>二</w:t>
      </w:r>
      <w:bookmarkEnd w:id="71"/>
      <w:bookmarkEnd w:id="72"/>
    </w:p>
    <w:tbl>
      <w:tblPr>
        <w:tblStyle w:val="11"/>
        <w:tblW w:w="956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65"/>
        <w:gridCol w:w="2922"/>
        <w:gridCol w:w="1908"/>
        <w:gridCol w:w="33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36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2922"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4"/>
                <w:szCs w:val="24"/>
                <w:highlight w:val="none"/>
                <w:u w:val="single"/>
                <w14:textFill>
                  <w14:solidFill>
                    <w14:schemeClr w14:val="tx1"/>
                  </w14:solidFill>
                </w14:textFill>
              </w:rPr>
            </w:pPr>
          </w:p>
        </w:tc>
        <w:tc>
          <w:tcPr>
            <w:tcW w:w="190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4"/>
                <w:szCs w:val="24"/>
                <w:highlight w:val="none"/>
                <w:u w:val="single"/>
                <w14:textFill>
                  <w14:solidFill>
                    <w14:schemeClr w14:val="tx1"/>
                  </w14:solidFill>
                </w14:textFill>
              </w:rPr>
            </w:pPr>
          </w:p>
        </w:tc>
        <w:tc>
          <w:tcPr>
            <w:tcW w:w="3372"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4"/>
                <w:szCs w:val="24"/>
                <w:highlight w:val="none"/>
                <w:u w:val="singl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567"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themeColor="text1"/>
                <w:kern w:val="0"/>
                <w:sz w:val="40"/>
                <w:szCs w:val="40"/>
                <w:highlight w:val="none"/>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40"/>
                <w:szCs w:val="40"/>
                <w:highlight w:val="none"/>
                <w:u w:val="none"/>
                <w:lang w:val="en-US" w:eastAsia="zh-CN" w:bidi="ar"/>
                <w14:textFill>
                  <w14:solidFill>
                    <w14:schemeClr w14:val="tx1"/>
                  </w14:solidFill>
                </w14:textFill>
              </w:rPr>
              <w:t>工完场清交接单</w:t>
            </w:r>
          </w:p>
          <w:p>
            <w:pPr>
              <w:keepNext w:val="0"/>
              <w:keepLines w:val="0"/>
              <w:widowControl/>
              <w:suppressLineNumbers w:val="0"/>
              <w:jc w:val="center"/>
              <w:textAlignment w:val="center"/>
              <w:rPr>
                <w:rFonts w:hint="eastAsia" w:ascii="宋体" w:hAnsi="宋体" w:eastAsia="宋体" w:cs="宋体"/>
                <w:b/>
                <w:bCs/>
                <w:i w:val="0"/>
                <w:iCs w:val="0"/>
                <w:color w:val="000000" w:themeColor="text1"/>
                <w:kern w:val="0"/>
                <w:sz w:val="40"/>
                <w:szCs w:val="40"/>
                <w:highlight w:val="none"/>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40"/>
                <w:szCs w:val="40"/>
                <w:highlight w:val="none"/>
                <w:u w:val="none"/>
                <w:lang w:val="en-US" w:eastAsia="zh-CN" w:bidi="ar"/>
                <w14:textFill>
                  <w14:solidFill>
                    <w14:schemeClr w14:val="tx1"/>
                  </w14:solidFill>
                </w14:textFill>
              </w:rPr>
              <w:t xml:space="preserve">              </w:t>
            </w:r>
          </w:p>
          <w:p>
            <w:pPr>
              <w:keepNext w:val="0"/>
              <w:keepLines w:val="0"/>
              <w:widowControl/>
              <w:suppressLineNumbers w:val="0"/>
              <w:jc w:val="center"/>
              <w:textAlignment w:val="center"/>
              <w:rPr>
                <w:rFonts w:hint="eastAsia" w:ascii="宋体" w:hAnsi="宋体" w:eastAsia="宋体" w:cs="宋体"/>
                <w:b/>
                <w:bCs/>
                <w:i w:val="0"/>
                <w:iCs w:val="0"/>
                <w:color w:val="000000" w:themeColor="text1"/>
                <w:sz w:val="40"/>
                <w:szCs w:val="40"/>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40"/>
                <w:szCs w:val="40"/>
                <w:highlight w:val="none"/>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567"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0"/>
                <w:szCs w:val="20"/>
                <w:highlight w:val="none"/>
                <w:u w:val="none"/>
                <w:lang w:val="en-US" w:eastAsia="zh-CN" w:bidi="ar"/>
                <w14:textFill>
                  <w14:solidFill>
                    <w14:schemeClr w14:val="tx1"/>
                  </w14:solidFill>
                </w14:textFill>
              </w:rPr>
              <w:t xml:space="preserve">                                                               </w:t>
            </w:r>
            <w:r>
              <w:rPr>
                <w:rStyle w:val="22"/>
                <w:color w:val="000000" w:themeColor="text1"/>
                <w:highlight w:val="none"/>
                <w:lang w:val="en-US" w:eastAsia="zh-CN" w:bidi="ar"/>
                <w14:textFill>
                  <w14:solidFill>
                    <w14:schemeClr w14:val="tx1"/>
                  </w14:solidFill>
                </w14:textFill>
              </w:rPr>
              <w:t xml:space="preserve"> 填表日期：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工程名称</w:t>
            </w:r>
          </w:p>
        </w:tc>
        <w:tc>
          <w:tcPr>
            <w:tcW w:w="2922" w:type="dxa"/>
            <w:tcBorders>
              <w:top w:val="single" w:color="000000" w:sz="4" w:space="0"/>
              <w:left w:val="single" w:color="000000" w:sz="4" w:space="0"/>
              <w:bottom w:val="single" w:color="000000" w:sz="4" w:space="0"/>
              <w:right w:val="nil"/>
            </w:tcBorders>
            <w:shd w:val="clear" w:color="auto" w:fill="auto"/>
            <w:noWrap/>
            <w:vAlign w:val="center"/>
          </w:tcPr>
          <w:p>
            <w:pPr>
              <w:rPr>
                <w:rFonts w:hint="eastAsia" w:ascii="新宋体" w:hAnsi="新宋体" w:eastAsia="新宋体" w:cs="新宋体"/>
                <w:i w:val="0"/>
                <w:iCs w:val="0"/>
                <w:color w:val="000000" w:themeColor="text1"/>
                <w:sz w:val="22"/>
                <w:szCs w:val="22"/>
                <w:highlight w:val="none"/>
                <w:u w:val="none"/>
                <w14:textFill>
                  <w14:solidFill>
                    <w14:schemeClr w14:val="tx1"/>
                  </w14:solidFill>
                </w14:textFill>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themeColor="text1"/>
                <w:sz w:val="22"/>
                <w:szCs w:val="22"/>
                <w:highlight w:val="none"/>
                <w:u w:val="none"/>
                <w14:textFill>
                  <w14:solidFill>
                    <w14:schemeClr w14:val="tx1"/>
                  </w14:solidFill>
                </w14:textFill>
              </w:rPr>
            </w:pPr>
            <w:r>
              <w:rPr>
                <w:rFonts w:hint="eastAsia" w:ascii="新宋体" w:hAnsi="新宋体" w:eastAsia="新宋体" w:cs="新宋体"/>
                <w:i w:val="0"/>
                <w:iCs w:val="0"/>
                <w:color w:val="000000" w:themeColor="text1"/>
                <w:kern w:val="0"/>
                <w:sz w:val="22"/>
                <w:szCs w:val="22"/>
                <w:highlight w:val="none"/>
                <w:u w:val="none"/>
                <w:lang w:val="en-US" w:eastAsia="zh-CN" w:bidi="ar"/>
                <w14:textFill>
                  <w14:solidFill>
                    <w14:schemeClr w14:val="tx1"/>
                  </w14:solidFill>
                </w14:textFill>
              </w:rPr>
              <w:t>移交部位</w:t>
            </w:r>
          </w:p>
        </w:tc>
        <w:tc>
          <w:tcPr>
            <w:tcW w:w="33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1、移交合格内容</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2、移交时间</w:t>
            </w:r>
          </w:p>
        </w:tc>
        <w:tc>
          <w:tcPr>
            <w:tcW w:w="292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9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1、甩项部位</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2、甩项内容</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3、计划移交时间</w:t>
            </w:r>
          </w:p>
        </w:tc>
        <w:tc>
          <w:tcPr>
            <w:tcW w:w="337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移交单位</w:t>
            </w:r>
          </w:p>
        </w:tc>
        <w:tc>
          <w:tcPr>
            <w:tcW w:w="2922"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移交人及电话</w:t>
            </w:r>
          </w:p>
        </w:tc>
        <w:tc>
          <w:tcPr>
            <w:tcW w:w="33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接收单位                                                                                                                                                                  </w:t>
            </w:r>
          </w:p>
        </w:tc>
        <w:tc>
          <w:tcPr>
            <w:tcW w:w="2922"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接收人及电话</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项目部组织及参加人员                                                          </w:t>
            </w:r>
          </w:p>
        </w:tc>
        <w:tc>
          <w:tcPr>
            <w:tcW w:w="8202"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567" w:type="dxa"/>
            <w:gridSpan w:val="4"/>
            <w:vMerge w:val="restar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注：1、本表一式三份交接单位及项目部各执一份，本表格签字完善后作为分包单位申请工程进度款的依据。2、移交人和接收人均为合同约定</w:t>
            </w:r>
            <w:r>
              <w:rPr>
                <w:rFonts w:hint="eastAsia" w:ascii="宋体" w:hAnsi="宋体" w:cs="宋体"/>
                <w:i w:val="0"/>
                <w:iCs w:val="0"/>
                <w:color w:val="000000" w:themeColor="text1"/>
                <w:kern w:val="0"/>
                <w:sz w:val="20"/>
                <w:szCs w:val="20"/>
                <w:highlight w:val="none"/>
                <w:u w:val="none"/>
                <w:lang w:val="en-US" w:eastAsia="zh-CN" w:bidi="ar"/>
                <w14:textFill>
                  <w14:solidFill>
                    <w14:schemeClr w14:val="tx1"/>
                  </w14:solidFill>
                </w14:textFill>
              </w:rPr>
              <w:t>的</w:t>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现场负责人。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567" w:type="dxa"/>
            <w:gridSpan w:val="4"/>
            <w:vMerge w:val="continue"/>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bl>
    <w:p>
      <w:pPr>
        <w:ind w:firstLineChars="0"/>
        <w:jc w:val="right"/>
        <w:outlineLvl w:val="0"/>
        <w:rPr>
          <w:rFonts w:hint="default"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p>
    <w:p>
      <w:pPr>
        <w:spacing w:line="360" w:lineRule="auto"/>
        <w:ind w:left="-619" w:leftChars="-295" w:right="-672" w:rightChars="-320" w:firstLine="0" w:firstLineChars="0"/>
        <w:jc w:val="right"/>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bookmarkStart w:id="73" w:name="_Toc31823"/>
    </w:p>
    <w:p>
      <w:pPr>
        <w:spacing w:line="360" w:lineRule="auto"/>
        <w:ind w:left="-619" w:leftChars="-295" w:right="-672" w:rightChars="-320" w:firstLine="0" w:firstLineChars="0"/>
        <w:jc w:val="right"/>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p>
    <w:p>
      <w:pPr>
        <w:spacing w:line="360" w:lineRule="auto"/>
        <w:ind w:left="-619" w:leftChars="-295" w:right="-672" w:rightChars="-320" w:firstLine="0" w:firstLineChars="0"/>
        <w:jc w:val="right"/>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p>
    <w:p>
      <w:pPr>
        <w:spacing w:line="360" w:lineRule="auto"/>
        <w:ind w:left="-619" w:leftChars="-295" w:right="-672" w:rightChars="-320" w:firstLine="0" w:firstLineChars="0"/>
        <w:jc w:val="right"/>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p>
    <w:p>
      <w:pPr>
        <w:spacing w:line="360" w:lineRule="auto"/>
        <w:ind w:left="-619" w:leftChars="-295" w:right="-672" w:rightChars="-320" w:firstLine="0" w:firstLineChars="0"/>
        <w:jc w:val="right"/>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t>附件三</w:t>
      </w:r>
      <w:bookmarkEnd w:id="73"/>
    </w:p>
    <w:p>
      <w:pPr>
        <w:ind w:firstLineChars="0"/>
        <w:jc w:val="center"/>
        <w:rPr>
          <w:rFonts w:hint="eastAsia" w:ascii="仿宋_GB2312" w:hAnsi="仿宋_GB2312" w:eastAsia="仿宋_GB2312" w:cs="仿宋_GB2312"/>
          <w:b/>
          <w:b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t>出 险 声 明 函</w:t>
      </w:r>
      <w:r>
        <w:rPr>
          <w:rFonts w:hint="eastAsia" w:ascii="仿宋_GB2312" w:hAnsi="仿宋_GB2312" w:eastAsia="仿宋_GB2312" w:cs="仿宋_GB2312"/>
          <w:b/>
          <w:bCs w:val="0"/>
          <w:color w:val="000000" w:themeColor="text1"/>
          <w:sz w:val="28"/>
          <w:szCs w:val="28"/>
          <w:highlight w:val="none"/>
          <w:shd w:val="clear" w:color="auto" w:fill="auto"/>
          <w:lang w:val="en-US" w:eastAsia="zh-CN"/>
          <w14:textFill>
            <w14:solidFill>
              <w14:schemeClr w14:val="tx1"/>
            </w14:solidFill>
          </w14:textFill>
        </w:rPr>
        <w:t xml:space="preserve"> </w:t>
      </w:r>
    </w:p>
    <w:p>
      <w:pPr>
        <w:ind w:firstLineChars="0"/>
        <w:jc w:val="center"/>
        <w:rPr>
          <w:rFonts w:hint="eastAsia" w:ascii="仿宋_GB2312" w:hAnsi="仿宋_GB2312" w:eastAsia="仿宋_GB2312" w:cs="仿宋_GB2312"/>
          <w:b/>
          <w:bCs w:val="0"/>
          <w:color w:val="000000" w:themeColor="text1"/>
          <w:sz w:val="28"/>
          <w:szCs w:val="28"/>
          <w:highlight w:val="none"/>
          <w:shd w:val="clear" w:color="auto" w:fill="auto"/>
          <w:lang w:eastAsia="zh-CN"/>
          <w14:textFill>
            <w14:solidFill>
              <w14:schemeClr w14:val="tx1"/>
            </w14:solidFill>
          </w14:textFill>
        </w:rPr>
      </w:pPr>
      <w:r>
        <w:rPr>
          <w:rFonts w:hint="eastAsia" w:ascii="仿宋_GB2312" w:hAnsi="仿宋_GB2312" w:eastAsia="仿宋_GB2312" w:cs="仿宋_GB2312"/>
          <w:b/>
          <w:bCs w:val="0"/>
          <w:color w:val="000000" w:themeColor="text1"/>
          <w:sz w:val="28"/>
          <w:szCs w:val="28"/>
          <w:highlight w:val="none"/>
          <w:shd w:val="clear" w:color="auto" w:fill="auto"/>
          <w:lang w:val="en-US" w:eastAsia="zh-CN"/>
          <w14:textFill>
            <w14:solidFill>
              <w14:schemeClr w14:val="tx1"/>
            </w14:solidFill>
          </w14:textFill>
        </w:rPr>
        <w:t xml:space="preserve">           </w:t>
      </w:r>
    </w:p>
    <w:p>
      <w:pPr>
        <w:ind w:firstLineChars="0"/>
        <w:rPr>
          <w:rFonts w:hint="eastAsia" w:ascii="仿宋_GB2312" w:hAnsi="仿宋_GB2312" w:eastAsia="仿宋_GB2312" w:cs="仿宋_GB2312"/>
          <w:b/>
          <w:bCs/>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shd w:val="clear" w:color="auto" w:fill="auto"/>
          <w:lang w:val="en-US" w:eastAsia="zh-CN"/>
          <w14:textFill>
            <w14:solidFill>
              <w14:schemeClr w14:val="tx1"/>
            </w14:solidFill>
          </w14:textFill>
        </w:rPr>
        <w:t>致：东莞市中泰建安工程有限公司（以下简称“贵司”）</w:t>
      </w:r>
    </w:p>
    <w:p>
      <w:pPr>
        <w:numPr>
          <w:ilvl w:val="-1"/>
          <w:numId w:val="0"/>
        </w:numPr>
        <w:ind w:firstLine="560" w:firstLineChars="20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贵我双方于</w:t>
      </w:r>
      <w:r>
        <w:rPr>
          <w:rFonts w:hint="eastAsia" w:ascii="仿宋_GB2312" w:hAnsi="仿宋_GB2312" w:eastAsia="仿宋_GB2312" w:cs="仿宋_GB2312"/>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年</w:t>
      </w:r>
      <w:r>
        <w:rPr>
          <w:rFonts w:hint="eastAsia" w:ascii="仿宋_GB2312" w:hAnsi="仿宋_GB2312" w:eastAsia="仿宋_GB2312" w:cs="仿宋_GB2312"/>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月</w:t>
      </w:r>
      <w:r>
        <w:rPr>
          <w:rFonts w:hint="eastAsia" w:ascii="仿宋_GB2312" w:hAnsi="仿宋_GB2312" w:eastAsia="仿宋_GB2312" w:cs="仿宋_GB2312"/>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日签订了</w:t>
      </w:r>
      <w:r>
        <w:rPr>
          <w:rFonts w:hint="eastAsia" w:ascii="仿宋_GB2312" w:hAnsi="仿宋_GB2312" w:eastAsia="仿宋_GB2312" w:cs="仿宋_GB2312"/>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u w:val="none"/>
          <w:shd w:val="clear" w:color="auto" w:fill="auto"/>
          <w:lang w:val="en-US" w:eastAsia="zh-CN"/>
          <w14:textFill>
            <w14:solidFill>
              <w14:schemeClr w14:val="tx1"/>
            </w14:solidFill>
          </w14:textFill>
        </w:rPr>
        <w:t>项目</w:t>
      </w:r>
      <w:r>
        <w:rPr>
          <w:rFonts w:hint="eastAsia" w:ascii="仿宋_GB2312" w:hAnsi="仿宋_GB2312" w:eastAsia="仿宋_GB2312" w:cs="仿宋_GB2312"/>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工程施工合同</w:t>
      </w:r>
      <w:r>
        <w:rPr>
          <w:rFonts w:hint="eastAsia" w:ascii="仿宋_GB2312" w:hAnsi="仿宋_GB2312" w:eastAsia="仿宋_GB2312" w:cs="仿宋_GB2312"/>
          <w:color w:val="000000" w:themeColor="text1"/>
          <w:sz w:val="28"/>
          <w:szCs w:val="28"/>
          <w:highlight w:val="none"/>
          <w:u w:val="single"/>
          <w:shd w:val="clear" w:color="auto" w:fill="auto"/>
          <w:lang w:val="en-US" w:eastAsia="zh-CN"/>
          <w14:textFill>
            <w14:solidFill>
              <w14:schemeClr w14:val="tx1"/>
            </w14:solidFill>
          </w14:textFill>
        </w:rPr>
        <w:t>》</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（合同编号</w:t>
      </w:r>
      <w:r>
        <w:rPr>
          <w:rFonts w:hint="eastAsia" w:ascii="仿宋_GB2312" w:hAnsi="仿宋_GB2312" w:eastAsia="仿宋_GB2312" w:cs="仿宋_GB2312"/>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，以下简称“本项目”），现我司员工在本项目施工时发生了安全事故，我司特作如下声明：</w:t>
      </w:r>
    </w:p>
    <w:p>
      <w:pPr>
        <w:numPr>
          <w:ilvl w:val="-1"/>
          <w:numId w:val="0"/>
        </w:numPr>
        <w:ind w:firstLine="560" w:firstLineChars="20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1.我司</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员工</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姓名</w:t>
      </w:r>
      <w:r>
        <w:rPr>
          <w:rFonts w:hint="eastAsia" w:ascii="仿宋_GB2312" w:hAnsi="仿宋_GB2312" w:eastAsia="仿宋_GB2312" w:cs="仿宋_GB2312"/>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，身份证号码</w:t>
      </w:r>
      <w:r>
        <w:rPr>
          <w:rFonts w:hint="eastAsia" w:ascii="仿宋_GB2312" w:hAnsi="仿宋_GB2312" w:eastAsia="仿宋_GB2312" w:cs="仿宋_GB2312"/>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w:t>
      </w:r>
    </w:p>
    <w:p>
      <w:pPr>
        <w:numPr>
          <w:ilvl w:val="-1"/>
          <w:numId w:val="0"/>
        </w:numPr>
        <w:ind w:firstLine="0" w:firstLineChars="0"/>
        <w:rPr>
          <w:rFonts w:hint="eastAsia" w:ascii="仿宋_GB2312" w:hAnsi="仿宋_GB2312" w:eastAsia="仿宋_GB2312" w:cs="仿宋_GB2312"/>
          <w:b w:val="0"/>
          <w:b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在</w:t>
      </w:r>
      <w:r>
        <w:rPr>
          <w:rFonts w:hint="eastAsia" w:ascii="仿宋_GB2312" w:hAnsi="仿宋_GB2312" w:eastAsia="仿宋_GB2312" w:cs="仿宋_GB2312"/>
          <w:b w:val="0"/>
          <w:bCs w:val="0"/>
          <w:color w:val="000000" w:themeColor="text1"/>
          <w:sz w:val="28"/>
          <w:szCs w:val="28"/>
          <w:highlight w:val="none"/>
          <w:shd w:val="clear" w:color="auto" w:fill="auto"/>
          <w:lang w:val="en-US" w:eastAsia="zh-CN"/>
          <w14:textFill>
            <w14:solidFill>
              <w14:schemeClr w14:val="tx1"/>
            </w14:solidFill>
          </w14:textFill>
        </w:rPr>
        <w:t>贵司</w:t>
      </w:r>
      <w:r>
        <w:rPr>
          <w:rFonts w:hint="eastAsia" w:ascii="仿宋_GB2312" w:hAnsi="仿宋_GB2312" w:eastAsia="仿宋_GB2312" w:cs="仿宋_GB2312"/>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项目</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从事</w:t>
      </w:r>
      <w:r>
        <w:rPr>
          <w:rFonts w:hint="eastAsia" w:ascii="仿宋_GB2312" w:hAnsi="仿宋_GB2312" w:eastAsia="仿宋_GB2312" w:cs="仿宋_GB2312"/>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工作，于</w:t>
      </w:r>
      <w:r>
        <w:rPr>
          <w:rFonts w:hint="eastAsia" w:ascii="仿宋_GB2312" w:hAnsi="仿宋_GB2312" w:eastAsia="仿宋_GB2312" w:cs="仿宋_GB2312"/>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年</w:t>
      </w:r>
      <w:r>
        <w:rPr>
          <w:rFonts w:hint="eastAsia" w:ascii="仿宋_GB2312" w:hAnsi="仿宋_GB2312" w:eastAsia="仿宋_GB2312" w:cs="仿宋_GB2312"/>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月</w:t>
      </w:r>
      <w:r>
        <w:rPr>
          <w:rFonts w:hint="eastAsia" w:ascii="仿宋_GB2312" w:hAnsi="仿宋_GB2312" w:eastAsia="仿宋_GB2312" w:cs="仿宋_GB2312"/>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日</w:t>
      </w:r>
      <w:r>
        <w:rPr>
          <w:rFonts w:hint="eastAsia" w:ascii="仿宋_GB2312" w:hAnsi="仿宋_GB2312" w:eastAsia="仿宋_GB2312" w:cs="仿宋_GB2312"/>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分左右，</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发生了</w:t>
      </w:r>
      <w:r>
        <w:rPr>
          <w:rFonts w:hint="eastAsia" w:ascii="仿宋_GB2312" w:hAnsi="仿宋_GB2312" w:eastAsia="仿宋_GB2312" w:cs="仿宋_GB2312"/>
          <w:color w:val="000000" w:themeColor="text1"/>
          <w:sz w:val="28"/>
          <w:szCs w:val="28"/>
          <w:highlight w:val="none"/>
          <w:u w:val="single"/>
          <w:shd w:val="clear" w:color="auto" w:fill="auto"/>
          <w:lang w:val="en-US" w:eastAsia="zh-CN"/>
          <w14:textFill>
            <w14:solidFill>
              <w14:schemeClr w14:val="tx1"/>
            </w14:solidFill>
          </w14:textFill>
        </w:rPr>
        <w:t>······（具体事故经过描述）</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w:t>
      </w:r>
    </w:p>
    <w:p>
      <w:pPr>
        <w:numPr>
          <w:ilvl w:val="0"/>
          <w:numId w:val="0"/>
        </w:numPr>
        <w:ind w:firstLine="560" w:firstLineChars="20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8"/>
          <w:szCs w:val="28"/>
          <w:highlight w:val="none"/>
          <w:shd w:val="clear" w:color="auto" w:fill="auto"/>
          <w:lang w:val="en-US" w:eastAsia="zh-CN"/>
          <w14:textFill>
            <w14:solidFill>
              <w14:schemeClr w14:val="tx1"/>
            </w14:solidFill>
          </w14:textFill>
        </w:rPr>
        <w:t>2.我司员工</w:t>
      </w:r>
      <w:r>
        <w:rPr>
          <w:rFonts w:hint="eastAsia" w:ascii="仿宋_GB2312" w:hAnsi="仿宋_GB2312" w:eastAsia="仿宋_GB2312" w:cs="仿宋_GB2312"/>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28"/>
          <w:szCs w:val="28"/>
          <w:highlight w:val="none"/>
          <w:shd w:val="clear" w:color="auto" w:fill="auto"/>
          <w:lang w:val="en-US" w:eastAsia="zh-CN"/>
          <w14:textFill>
            <w14:solidFill>
              <w14:schemeClr w14:val="tx1"/>
            </w14:solidFill>
          </w14:textFill>
        </w:rPr>
        <w:t>与贵司之间不存在劳动合同关系，即使贵司为配合我司办理</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建筑工程社会保险--工伤保险</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8"/>
          <w:szCs w:val="28"/>
          <w:highlight w:val="none"/>
          <w:shd w:val="clear" w:color="auto" w:fill="auto"/>
          <w:lang w:val="en-US" w:eastAsia="zh-CN"/>
          <w14:textFill>
            <w14:solidFill>
              <w14:schemeClr w14:val="tx1"/>
            </w14:solidFill>
          </w14:textFill>
        </w:rPr>
        <w:t>的赔付以及社保机构要求出具关于我司员工</w:t>
      </w:r>
      <w:r>
        <w:rPr>
          <w:rFonts w:hint="eastAsia" w:ascii="仿宋_GB2312" w:hAnsi="仿宋_GB2312" w:eastAsia="仿宋_GB2312" w:cs="仿宋_GB2312"/>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28"/>
          <w:szCs w:val="28"/>
          <w:highlight w:val="none"/>
          <w:shd w:val="clear" w:color="auto" w:fill="auto"/>
          <w:lang w:val="en-US" w:eastAsia="zh-CN"/>
          <w14:textFill>
            <w14:solidFill>
              <w14:schemeClr w14:val="tx1"/>
            </w14:solidFill>
          </w14:textFill>
        </w:rPr>
        <w:t>的《解除劳动关系协议》、《劳动合同》等文件，也不意味着贵司与我</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司员工</w:t>
      </w:r>
      <w:r>
        <w:rPr>
          <w:rFonts w:hint="eastAsia" w:ascii="仿宋_GB2312" w:hAnsi="仿宋_GB2312" w:eastAsia="仿宋_GB2312" w:cs="仿宋_GB2312"/>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建立了劳动关系，我司仍需按劳动合同承担该员工雇用期间应承担的用人责任。</w:t>
      </w:r>
    </w:p>
    <w:p>
      <w:pPr>
        <w:numPr>
          <w:ilvl w:val="-1"/>
          <w:numId w:val="0"/>
        </w:numPr>
        <w:ind w:firstLine="560" w:firstLineChars="200"/>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3.我司</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现恳请</w:t>
      </w:r>
      <w:r>
        <w:rPr>
          <w:rFonts w:hint="eastAsia" w:ascii="仿宋_GB2312" w:hAnsi="仿宋_GB2312" w:eastAsia="仿宋_GB2312" w:cs="仿宋_GB2312"/>
          <w:b w:val="0"/>
          <w:bCs w:val="0"/>
          <w:color w:val="000000" w:themeColor="text1"/>
          <w:sz w:val="28"/>
          <w:szCs w:val="28"/>
          <w:highlight w:val="none"/>
          <w:shd w:val="clear" w:color="auto" w:fill="auto"/>
          <w:lang w:val="en-US" w:eastAsia="zh-CN"/>
          <w14:textFill>
            <w14:solidFill>
              <w14:schemeClr w14:val="tx1"/>
            </w14:solidFill>
          </w14:textFill>
        </w:rPr>
        <w:t>贵司</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按国家政策</w:t>
      </w:r>
      <w:r>
        <w:rPr>
          <w:rFonts w:hint="eastAsia" w:ascii="仿宋_GB2312" w:hAnsi="仿宋_GB2312" w:eastAsia="仿宋_GB2312" w:cs="仿宋_GB2312"/>
          <w:color w:val="000000" w:themeColor="text1"/>
          <w:sz w:val="28"/>
          <w:szCs w:val="28"/>
          <w:highlight w:val="none"/>
          <w:shd w:val="clear" w:color="auto" w:fill="auto"/>
          <w:lang w:eastAsia="zh-CN"/>
          <w14:textFill>
            <w14:solidFill>
              <w14:schemeClr w14:val="tx1"/>
            </w14:solidFill>
          </w14:textFill>
        </w:rPr>
        <w:t>为</w:t>
      </w:r>
      <w:r>
        <w:rPr>
          <w:rFonts w:hint="eastAsia" w:ascii="仿宋_GB2312" w:hAnsi="仿宋_GB2312" w:eastAsia="仿宋_GB2312" w:cs="仿宋_GB2312"/>
          <w:b w:val="0"/>
          <w:bCs w:val="0"/>
          <w:color w:val="000000" w:themeColor="text1"/>
          <w:sz w:val="28"/>
          <w:szCs w:val="28"/>
          <w:highlight w:val="none"/>
          <w:shd w:val="clear" w:color="auto" w:fill="auto"/>
          <w:lang w:val="en-US" w:eastAsia="zh-CN"/>
          <w14:textFill>
            <w14:solidFill>
              <w14:schemeClr w14:val="tx1"/>
            </w14:solidFill>
          </w14:textFill>
        </w:rPr>
        <w:t>我司员工</w:t>
      </w:r>
      <w:r>
        <w:rPr>
          <w:rFonts w:hint="eastAsia" w:ascii="仿宋_GB2312" w:hAnsi="仿宋_GB2312" w:eastAsia="仿宋_GB2312" w:cs="仿宋_GB2312"/>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28"/>
          <w:szCs w:val="28"/>
          <w:highlight w:val="none"/>
          <w:shd w:val="clear" w:color="auto" w:fill="auto"/>
          <w:lang w:val="en-US" w:eastAsia="zh-CN"/>
          <w14:textFill>
            <w14:solidFill>
              <w14:schemeClr w14:val="tx1"/>
            </w14:solidFill>
          </w14:textFill>
        </w:rPr>
        <w:t>在本项目</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申报工伤，无论</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此次事件</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能否认定工伤，在此</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我司郑重声明</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此次事件</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若能认定</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为</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工伤，在取得国家社保医疗保险赔偿部分后，</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我司</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不再以任何形式、任何理由向</w:t>
      </w:r>
      <w:r>
        <w:rPr>
          <w:rFonts w:hint="eastAsia" w:ascii="仿宋_GB2312" w:hAnsi="仿宋_GB2312" w:eastAsia="仿宋_GB2312" w:cs="仿宋_GB2312"/>
          <w:b w:val="0"/>
          <w:bCs w:val="0"/>
          <w:color w:val="000000" w:themeColor="text1"/>
          <w:sz w:val="28"/>
          <w:szCs w:val="28"/>
          <w:highlight w:val="none"/>
          <w:shd w:val="clear" w:color="auto" w:fill="auto"/>
          <w:lang w:val="en-US" w:eastAsia="zh-CN"/>
          <w14:textFill>
            <w14:solidFill>
              <w14:schemeClr w14:val="tx1"/>
            </w14:solidFill>
          </w14:textFill>
        </w:rPr>
        <w:t>贵司</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主张超社保赔付的医疗费用、一次性就业补助金等其他任何经济补偿</w:t>
      </w:r>
      <w:r>
        <w:rPr>
          <w:rFonts w:hint="eastAsia" w:ascii="仿宋_GB2312" w:hAnsi="仿宋_GB2312" w:eastAsia="仿宋_GB2312" w:cs="仿宋_GB2312"/>
          <w:color w:val="000000" w:themeColor="text1"/>
          <w:sz w:val="28"/>
          <w:szCs w:val="28"/>
          <w:highlight w:val="none"/>
          <w:shd w:val="clear" w:color="auto" w:fill="auto"/>
          <w:lang w:eastAsia="zh-CN"/>
          <w14:textFill>
            <w14:solidFill>
              <w14:schemeClr w14:val="tx1"/>
            </w14:solidFill>
          </w14:textFill>
        </w:rPr>
        <w:t>，并保证约束</w:t>
      </w:r>
      <w:r>
        <w:rPr>
          <w:rFonts w:hint="eastAsia" w:ascii="仿宋_GB2312" w:hAnsi="仿宋_GB2312" w:eastAsia="仿宋_GB2312" w:cs="仿宋_GB2312"/>
          <w:b w:val="0"/>
          <w:bCs w:val="0"/>
          <w:color w:val="000000" w:themeColor="text1"/>
          <w:sz w:val="28"/>
          <w:szCs w:val="28"/>
          <w:highlight w:val="none"/>
          <w:shd w:val="clear" w:color="auto" w:fill="auto"/>
          <w:lang w:val="en-US" w:eastAsia="zh-CN"/>
          <w14:textFill>
            <w14:solidFill>
              <w14:schemeClr w14:val="tx1"/>
            </w14:solidFill>
          </w14:textFill>
        </w:rPr>
        <w:t>我司员工</w:t>
      </w:r>
      <w:r>
        <w:rPr>
          <w:rFonts w:hint="eastAsia" w:ascii="仿宋_GB2312" w:hAnsi="仿宋_GB2312" w:eastAsia="仿宋_GB2312" w:cs="仿宋_GB2312"/>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不向</w:t>
      </w:r>
      <w:r>
        <w:rPr>
          <w:rFonts w:hint="eastAsia" w:ascii="仿宋_GB2312" w:hAnsi="仿宋_GB2312" w:eastAsia="仿宋_GB2312" w:cs="仿宋_GB2312"/>
          <w:b w:val="0"/>
          <w:bCs w:val="0"/>
          <w:color w:val="000000" w:themeColor="text1"/>
          <w:sz w:val="28"/>
          <w:szCs w:val="28"/>
          <w:highlight w:val="none"/>
          <w:shd w:val="clear" w:color="auto" w:fill="auto"/>
          <w:lang w:val="en-US" w:eastAsia="zh-CN"/>
          <w14:textFill>
            <w14:solidFill>
              <w14:schemeClr w14:val="tx1"/>
            </w14:solidFill>
          </w14:textFill>
        </w:rPr>
        <w:t>贵司</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主张上述经济补偿</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w:t>
      </w:r>
    </w:p>
    <w:p>
      <w:pPr>
        <w:numPr>
          <w:ilvl w:val="-1"/>
          <w:numId w:val="0"/>
        </w:numPr>
        <w:ind w:firstLine="560" w:firstLineChars="200"/>
        <w:jc w:val="right"/>
        <w:outlineLvl w:val="0"/>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pPr>
    </w:p>
    <w:p>
      <w:pPr>
        <w:numPr>
          <w:ilvl w:val="-1"/>
          <w:numId w:val="0"/>
        </w:numP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如社保部门不予认定</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为</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工伤，由此事件引起的一切费用及责任由</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我司</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自行解决。</w:t>
      </w:r>
    </w:p>
    <w:p>
      <w:pPr>
        <w:numPr>
          <w:ilvl w:val="0"/>
          <w:numId w:val="0"/>
        </w:numPr>
        <w:ind w:firstLine="560" w:firstLineChars="200"/>
        <w:jc w:val="right"/>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4.</w:t>
      </w:r>
      <w:r>
        <w:rPr>
          <w:rFonts w:hint="eastAsia" w:ascii="仿宋_GB2312" w:hAnsi="仿宋_GB2312" w:eastAsia="仿宋_GB2312" w:cs="仿宋_GB2312"/>
          <w:color w:val="000000" w:themeColor="text1"/>
          <w:sz w:val="28"/>
          <w:szCs w:val="28"/>
          <w:highlight w:val="none"/>
          <w:shd w:val="clear" w:color="auto" w:fill="auto"/>
          <w:lang w:eastAsia="zh-CN"/>
          <w14:textFill>
            <w14:solidFill>
              <w14:schemeClr w14:val="tx1"/>
            </w14:solidFill>
          </w14:textFill>
        </w:rPr>
        <w:t>若</w:t>
      </w:r>
      <w:r>
        <w:rPr>
          <w:rFonts w:hint="eastAsia" w:ascii="仿宋_GB2312" w:hAnsi="仿宋_GB2312" w:eastAsia="仿宋_GB2312" w:cs="仿宋_GB2312"/>
          <w:b w:val="0"/>
          <w:bCs w:val="0"/>
          <w:color w:val="000000" w:themeColor="text1"/>
          <w:sz w:val="28"/>
          <w:szCs w:val="28"/>
          <w:highlight w:val="none"/>
          <w:shd w:val="clear" w:color="auto" w:fill="auto"/>
          <w:lang w:val="en-US" w:eastAsia="zh-CN"/>
          <w14:textFill>
            <w14:solidFill>
              <w14:schemeClr w14:val="tx1"/>
            </w14:solidFill>
          </w14:textFill>
        </w:rPr>
        <w:t>我司员工</w:t>
      </w:r>
      <w:r>
        <w:rPr>
          <w:rFonts w:hint="eastAsia" w:ascii="仿宋_GB2312" w:hAnsi="仿宋_GB2312" w:eastAsia="仿宋_GB2312" w:cs="仿宋_GB2312"/>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以</w:t>
      </w:r>
      <w:r>
        <w:rPr>
          <w:rFonts w:hint="eastAsia" w:ascii="仿宋_GB2312" w:hAnsi="仿宋_GB2312" w:eastAsia="仿宋_GB2312" w:cs="仿宋_GB2312"/>
          <w:b w:val="0"/>
          <w:bCs w:val="0"/>
          <w:color w:val="000000" w:themeColor="text1"/>
          <w:sz w:val="28"/>
          <w:szCs w:val="28"/>
          <w:highlight w:val="none"/>
          <w:shd w:val="clear" w:color="auto" w:fill="auto"/>
          <w:lang w:val="en-US" w:eastAsia="zh-CN"/>
          <w14:textFill>
            <w14:solidFill>
              <w14:schemeClr w14:val="tx1"/>
            </w14:solidFill>
          </w14:textFill>
        </w:rPr>
        <w:t>贵司</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作为用人单位，要求贵司承担用人单位义</w:t>
      </w:r>
    </w:p>
    <w:p>
      <w:pPr>
        <w:numPr>
          <w:ilvl w:val="0"/>
          <w:numId w:val="0"/>
        </w:numPr>
        <w:ind w:left="0" w:leftChars="0" w:firstLine="0" w:firstLineChars="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务（社保、公积金、工资等）、用人单位责任（经济补偿金、一次性就业补助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pPr>
        <w:numPr>
          <w:ilvl w:val="0"/>
          <w:numId w:val="0"/>
        </w:numPr>
        <w:ind w:firstLine="560" w:firstLineChars="200"/>
        <w:rPr>
          <w:rFonts w:hint="default"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特此声明！</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u w:val="none"/>
          <w:shd w:val="clear" w:color="auto" w:fill="auto"/>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 xml:space="preserve">                                </w:t>
      </w: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 xml:space="preserve">                     </w:t>
      </w:r>
      <w:bookmarkStart w:id="74" w:name="_Toc597"/>
      <w:bookmarkStart w:id="75" w:name="_Toc15015"/>
      <w:bookmarkStart w:id="76" w:name="_Toc15060"/>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声明单位：（全名称并盖公章）</w:t>
      </w:r>
      <w:bookmarkEnd w:id="74"/>
      <w:bookmarkEnd w:id="75"/>
      <w:bookmarkEnd w:id="76"/>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 xml:space="preserve"> </w:t>
      </w: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 xml:space="preserve">    </w:t>
      </w:r>
      <w:bookmarkStart w:id="77" w:name="_Toc26267"/>
      <w:bookmarkStart w:id="78" w:name="_Toc4830"/>
      <w:bookmarkStart w:id="79" w:name="_Toc27508"/>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法人签章：</w:t>
      </w:r>
      <w:bookmarkEnd w:id="77"/>
      <w:bookmarkEnd w:id="78"/>
      <w:bookmarkEnd w:id="79"/>
    </w:p>
    <w:p>
      <w:pPr>
        <w:spacing w:line="360" w:lineRule="auto"/>
        <w:ind w:left="0" w:leftChars="0" w:firstLine="4200" w:firstLineChars="1500"/>
        <w:jc w:val="both"/>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 xml:space="preserve">电    话：                                                                                     </w:t>
      </w: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 xml:space="preserve">                   </w:t>
      </w:r>
      <w:bookmarkStart w:id="80" w:name="_Toc3722"/>
      <w:bookmarkStart w:id="81" w:name="_Toc1008"/>
      <w:bookmarkStart w:id="82" w:name="_Toc31751"/>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日</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 xml:space="preserve">    期：     年  月  日</w:t>
      </w:r>
      <w:bookmarkEnd w:id="80"/>
      <w:bookmarkEnd w:id="81"/>
      <w:bookmarkEnd w:id="82"/>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 xml:space="preserve">  </w:t>
      </w: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p>
    <w:p>
      <w:pPr>
        <w:spacing w:line="360" w:lineRule="auto"/>
        <w:ind w:right="-672" w:rightChars="-320"/>
        <w:jc w:val="both"/>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p>
    <w:p>
      <w:pPr>
        <w:spacing w:line="360" w:lineRule="auto"/>
        <w:ind w:left="-619" w:leftChars="-295" w:right="-672" w:rightChars="-320" w:firstLine="0" w:firstLineChars="0"/>
        <w:jc w:val="right"/>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t>附件四</w:t>
      </w:r>
    </w:p>
    <w:p>
      <w:pPr>
        <w:tabs>
          <w:tab w:val="left" w:pos="720"/>
        </w:tabs>
        <w:adjustRightInd w:val="0"/>
        <w:snapToGrid w:val="0"/>
        <w:spacing w:line="360" w:lineRule="auto"/>
        <w:ind w:left="482" w:hanging="602" w:hangingChars="150"/>
        <w:jc w:val="center"/>
        <w:rPr>
          <w:rFonts w:hint="eastAsia" w:ascii="宋体" w:hAnsi="宋体" w:eastAsia="宋体" w:cs="宋体"/>
          <w:b/>
          <w:sz w:val="32"/>
          <w:szCs w:val="32"/>
        </w:rPr>
      </w:pPr>
      <w:r>
        <w:rPr>
          <w:rFonts w:hint="eastAsia" w:ascii="仿宋" w:hAnsi="仿宋" w:eastAsia="仿宋" w:cs="仿宋"/>
          <w:b/>
          <w:sz w:val="40"/>
          <w:szCs w:val="40"/>
        </w:rPr>
        <w:t>分包签证确认单</w:t>
      </w:r>
    </w:p>
    <w:tbl>
      <w:tblPr>
        <w:tblStyle w:val="11"/>
        <w:tblW w:w="5119" w:type="pct"/>
        <w:tblInd w:w="-127" w:type="dxa"/>
        <w:tblLayout w:type="fixed"/>
        <w:tblCellMar>
          <w:top w:w="15" w:type="dxa"/>
          <w:left w:w="15" w:type="dxa"/>
          <w:bottom w:w="15" w:type="dxa"/>
          <w:right w:w="15" w:type="dxa"/>
        </w:tblCellMar>
      </w:tblPr>
      <w:tblGrid>
        <w:gridCol w:w="1485"/>
        <w:gridCol w:w="3145"/>
        <w:gridCol w:w="4340"/>
      </w:tblGrid>
      <w:tr>
        <w:tblPrEx>
          <w:tblCellMar>
            <w:top w:w="15" w:type="dxa"/>
            <w:left w:w="15" w:type="dxa"/>
            <w:bottom w:w="15" w:type="dxa"/>
            <w:right w:w="15" w:type="dxa"/>
          </w:tblCellMar>
        </w:tblPrEx>
        <w:trPr>
          <w:trHeight w:val="375" w:hRule="atLeast"/>
        </w:trPr>
        <w:tc>
          <w:tcPr>
            <w:tcW w:w="5000" w:type="pct"/>
            <w:gridSpan w:val="3"/>
            <w:noWrap w:val="0"/>
            <w:vAlign w:val="center"/>
          </w:tcPr>
          <w:p>
            <w:pPr>
              <w:widowControl/>
              <w:jc w:val="left"/>
              <w:textAlignment w:val="center"/>
              <w:rPr>
                <w:rFonts w:hint="eastAsia" w:ascii="宋体" w:hAnsi="宋体" w:eastAsia="宋体" w:cs="宋体"/>
                <w:b/>
                <w:sz w:val="20"/>
                <w:szCs w:val="20"/>
              </w:rPr>
            </w:pPr>
            <w:r>
              <w:rPr>
                <w:rFonts w:hint="eastAsia" w:ascii="宋体" w:hAnsi="宋体" w:eastAsia="宋体" w:cs="宋体"/>
                <w:b/>
                <w:kern w:val="0"/>
                <w:sz w:val="20"/>
                <w:szCs w:val="20"/>
              </w:rPr>
              <w:t xml:space="preserve">工程名称：                                分包工程名称： </w:t>
            </w:r>
          </w:p>
        </w:tc>
      </w:tr>
      <w:tr>
        <w:tblPrEx>
          <w:tblCellMar>
            <w:top w:w="15" w:type="dxa"/>
            <w:left w:w="15" w:type="dxa"/>
            <w:bottom w:w="15" w:type="dxa"/>
            <w:right w:w="15" w:type="dxa"/>
          </w:tblCellMar>
        </w:tblPrEx>
        <w:trPr>
          <w:trHeight w:val="375" w:hRule="atLeast"/>
        </w:trPr>
        <w:tc>
          <w:tcPr>
            <w:tcW w:w="5000" w:type="pct"/>
            <w:gridSpan w:val="3"/>
            <w:noWrap w:val="0"/>
            <w:vAlign w:val="center"/>
          </w:tcPr>
          <w:p>
            <w:pPr>
              <w:widowControl/>
              <w:jc w:val="left"/>
              <w:textAlignment w:val="center"/>
              <w:rPr>
                <w:rFonts w:hint="eastAsia" w:ascii="宋体" w:hAnsi="宋体" w:eastAsia="宋体" w:cs="宋体"/>
                <w:b/>
                <w:sz w:val="20"/>
                <w:szCs w:val="20"/>
              </w:rPr>
            </w:pPr>
            <w:r>
              <w:rPr>
                <w:rFonts w:hint="eastAsia" w:ascii="宋体" w:hAnsi="宋体" w:eastAsia="宋体" w:cs="宋体"/>
                <w:b/>
                <w:kern w:val="0"/>
                <w:sz w:val="20"/>
                <w:szCs w:val="20"/>
              </w:rPr>
              <w:t xml:space="preserve">分包人名称：                              填表日期：                 编号：  </w:t>
            </w:r>
          </w:p>
        </w:tc>
      </w:tr>
      <w:tr>
        <w:tblPrEx>
          <w:tblCellMar>
            <w:top w:w="15" w:type="dxa"/>
            <w:left w:w="15" w:type="dxa"/>
            <w:bottom w:w="15" w:type="dxa"/>
            <w:right w:w="15" w:type="dxa"/>
          </w:tblCellMar>
        </w:tblPrEx>
        <w:trPr>
          <w:trHeight w:val="690" w:hRule="atLeast"/>
        </w:trPr>
        <w:tc>
          <w:tcPr>
            <w:tcW w:w="5000"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sz w:val="20"/>
                <w:szCs w:val="20"/>
              </w:rPr>
            </w:pPr>
            <w:r>
              <w:rPr>
                <w:rStyle w:val="23"/>
                <w:rFonts w:hint="eastAsia" w:ascii="宋体" w:hAnsi="宋体" w:eastAsia="宋体" w:cs="宋体"/>
                <w:color w:val="auto"/>
              </w:rPr>
              <w:t>□减少项目       □增加项目    □变更     □点工    □机械台班     □其它</w:t>
            </w:r>
          </w:p>
        </w:tc>
      </w:tr>
      <w:tr>
        <w:tblPrEx>
          <w:tblCellMar>
            <w:top w:w="15" w:type="dxa"/>
            <w:left w:w="15" w:type="dxa"/>
            <w:bottom w:w="15" w:type="dxa"/>
            <w:right w:w="15" w:type="dxa"/>
          </w:tblCellMar>
        </w:tblPrEx>
        <w:trPr>
          <w:trHeight w:val="450" w:hRule="atLeast"/>
        </w:trPr>
        <w:tc>
          <w:tcPr>
            <w:tcW w:w="828"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eastAsia="宋体" w:cs="宋体"/>
                <w:sz w:val="20"/>
                <w:szCs w:val="20"/>
              </w:rPr>
            </w:pPr>
            <w:r>
              <w:rPr>
                <w:rFonts w:hint="eastAsia" w:ascii="宋体" w:hAnsi="宋体" w:eastAsia="宋体" w:cs="宋体"/>
                <w:kern w:val="0"/>
                <w:sz w:val="20"/>
                <w:szCs w:val="20"/>
              </w:rPr>
              <w:t>施工部位</w:t>
            </w:r>
          </w:p>
        </w:tc>
        <w:tc>
          <w:tcPr>
            <w:tcW w:w="4172" w:type="pct"/>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sz w:val="20"/>
                <w:szCs w:val="20"/>
              </w:rPr>
            </w:pPr>
          </w:p>
        </w:tc>
      </w:tr>
      <w:tr>
        <w:tblPrEx>
          <w:tblCellMar>
            <w:top w:w="15" w:type="dxa"/>
            <w:left w:w="15" w:type="dxa"/>
            <w:bottom w:w="15" w:type="dxa"/>
            <w:right w:w="15" w:type="dxa"/>
          </w:tblCellMar>
        </w:tblPrEx>
        <w:trPr>
          <w:trHeight w:val="450" w:hRule="atLeast"/>
        </w:trPr>
        <w:tc>
          <w:tcPr>
            <w:tcW w:w="828"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eastAsia="宋体" w:cs="宋体"/>
                <w:sz w:val="20"/>
                <w:szCs w:val="20"/>
              </w:rPr>
            </w:pPr>
            <w:r>
              <w:rPr>
                <w:rFonts w:hint="eastAsia" w:ascii="宋体" w:hAnsi="宋体" w:eastAsia="宋体" w:cs="宋体"/>
                <w:kern w:val="0"/>
                <w:sz w:val="20"/>
                <w:szCs w:val="20"/>
              </w:rPr>
              <w:t>费用承担单位</w:t>
            </w:r>
          </w:p>
        </w:tc>
        <w:tc>
          <w:tcPr>
            <w:tcW w:w="4172" w:type="pct"/>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sz w:val="20"/>
                <w:szCs w:val="20"/>
              </w:rPr>
            </w:pPr>
          </w:p>
        </w:tc>
      </w:tr>
      <w:tr>
        <w:tblPrEx>
          <w:tblCellMar>
            <w:top w:w="15" w:type="dxa"/>
            <w:left w:w="15" w:type="dxa"/>
            <w:bottom w:w="15" w:type="dxa"/>
            <w:right w:w="15" w:type="dxa"/>
          </w:tblCellMar>
        </w:tblPrEx>
        <w:trPr>
          <w:trHeight w:val="450" w:hRule="atLeast"/>
        </w:trPr>
        <w:tc>
          <w:tcPr>
            <w:tcW w:w="5000" w:type="pct"/>
            <w:gridSpan w:val="3"/>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sz w:val="20"/>
                <w:szCs w:val="20"/>
                <w:u w:val="single"/>
              </w:rPr>
            </w:pPr>
            <w:r>
              <w:rPr>
                <w:rFonts w:hint="eastAsia" w:ascii="宋体" w:hAnsi="宋体" w:eastAsia="宋体" w:cs="宋体"/>
                <w:sz w:val="20"/>
                <w:szCs w:val="20"/>
              </w:rPr>
              <w:t xml:space="preserve">与建设单位是否办理签证  </w:t>
            </w:r>
            <w:r>
              <w:rPr>
                <w:rFonts w:hint="eastAsia" w:ascii="宋体" w:hAnsi="宋体" w:eastAsia="宋体" w:cs="宋体"/>
                <w:sz w:val="20"/>
                <w:szCs w:val="20"/>
              </w:rPr>
              <w:sym w:font="Wingdings" w:char="00A8"/>
            </w:r>
            <w:r>
              <w:rPr>
                <w:rFonts w:hint="eastAsia" w:ascii="宋体" w:hAnsi="宋体" w:eastAsia="宋体" w:cs="宋体"/>
                <w:sz w:val="20"/>
                <w:szCs w:val="20"/>
              </w:rPr>
              <w:t>是  签证编号：</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r>
              <w:rPr>
                <w:rFonts w:hint="eastAsia" w:ascii="宋体" w:hAnsi="宋体" w:eastAsia="宋体" w:cs="宋体"/>
                <w:sz w:val="20"/>
                <w:szCs w:val="20"/>
              </w:rPr>
              <w:sym w:font="Wingdings" w:char="00A8"/>
            </w:r>
            <w:r>
              <w:rPr>
                <w:rFonts w:hint="eastAsia" w:ascii="宋体" w:hAnsi="宋体" w:eastAsia="宋体" w:cs="宋体"/>
                <w:sz w:val="20"/>
                <w:szCs w:val="20"/>
              </w:rPr>
              <w:t>否</w:t>
            </w:r>
          </w:p>
        </w:tc>
      </w:tr>
      <w:tr>
        <w:tblPrEx>
          <w:tblCellMar>
            <w:top w:w="15" w:type="dxa"/>
            <w:left w:w="15" w:type="dxa"/>
            <w:bottom w:w="15" w:type="dxa"/>
            <w:right w:w="15" w:type="dxa"/>
          </w:tblCellMar>
        </w:tblPrEx>
        <w:trPr>
          <w:trHeight w:val="520" w:hRule="atLeast"/>
        </w:trPr>
        <w:tc>
          <w:tcPr>
            <w:tcW w:w="5000" w:type="pct"/>
            <w:gridSpan w:val="3"/>
            <w:vMerge w:val="restart"/>
            <w:tcBorders>
              <w:top w:val="single" w:color="000000" w:sz="4" w:space="0"/>
              <w:left w:val="single" w:color="000000" w:sz="4" w:space="0"/>
              <w:bottom w:val="single" w:color="000000" w:sz="4" w:space="0"/>
              <w:right w:val="single" w:color="000000" w:sz="4" w:space="0"/>
            </w:tcBorders>
            <w:noWrap w:val="0"/>
            <w:vAlign w:val="top"/>
          </w:tcPr>
          <w:p>
            <w:pPr>
              <w:widowControl/>
              <w:spacing w:after="200"/>
              <w:ind w:left="-155" w:leftChars="-74" w:firstLine="156" w:firstLineChars="78"/>
              <w:jc w:val="left"/>
              <w:textAlignment w:val="top"/>
              <w:rPr>
                <w:rFonts w:hint="eastAsia" w:ascii="宋体" w:hAnsi="宋体" w:eastAsia="宋体" w:cs="宋体"/>
                <w:kern w:val="0"/>
                <w:sz w:val="20"/>
                <w:szCs w:val="20"/>
                <w:lang w:eastAsia="zh-CN"/>
              </w:rPr>
            </w:pPr>
            <w:r>
              <w:rPr>
                <w:rFonts w:hint="eastAsia" w:ascii="宋体" w:hAnsi="宋体" w:eastAsia="宋体" w:cs="宋体"/>
                <w:kern w:val="0"/>
                <w:sz w:val="20"/>
                <w:szCs w:val="20"/>
              </w:rPr>
              <w:t>签证情况说明（签证原因、工作内容、完成工程量）：</w:t>
            </w:r>
          </w:p>
          <w:p>
            <w:pPr>
              <w:widowControl/>
              <w:spacing w:after="200"/>
              <w:ind w:left="-155" w:leftChars="-74" w:firstLine="156" w:firstLineChars="78"/>
              <w:jc w:val="left"/>
              <w:textAlignment w:val="top"/>
              <w:rPr>
                <w:rFonts w:hint="eastAsia" w:ascii="宋体" w:hAnsi="宋体" w:eastAsia="宋体" w:cs="宋体"/>
                <w:kern w:val="0"/>
                <w:sz w:val="20"/>
                <w:szCs w:val="20"/>
                <w:lang w:eastAsia="zh-CN"/>
              </w:rPr>
            </w:pPr>
          </w:p>
          <w:p>
            <w:pPr>
              <w:widowControl/>
              <w:spacing w:after="200"/>
              <w:ind w:left="-155" w:leftChars="-74" w:firstLine="156" w:firstLineChars="78"/>
              <w:jc w:val="left"/>
              <w:textAlignment w:val="top"/>
              <w:rPr>
                <w:rFonts w:hint="eastAsia" w:ascii="宋体" w:hAnsi="宋体" w:eastAsia="宋体" w:cs="宋体"/>
                <w:kern w:val="0"/>
                <w:sz w:val="20"/>
                <w:szCs w:val="20"/>
                <w:lang w:eastAsia="zh-CN"/>
              </w:rPr>
            </w:pPr>
          </w:p>
          <w:p>
            <w:pPr>
              <w:widowControl/>
              <w:spacing w:after="200"/>
              <w:ind w:left="-155" w:leftChars="-74" w:firstLine="156" w:firstLineChars="78"/>
              <w:jc w:val="left"/>
              <w:textAlignment w:val="top"/>
              <w:rPr>
                <w:rFonts w:hint="eastAsia" w:ascii="宋体" w:hAnsi="宋体" w:eastAsia="宋体" w:cs="宋体"/>
                <w:kern w:val="0"/>
                <w:sz w:val="20"/>
                <w:szCs w:val="20"/>
                <w:lang w:eastAsia="zh-CN"/>
              </w:rPr>
            </w:pPr>
          </w:p>
          <w:p>
            <w:pPr>
              <w:widowControl/>
              <w:spacing w:after="200"/>
              <w:ind w:left="-155" w:leftChars="-74" w:firstLine="156" w:firstLineChars="78"/>
              <w:jc w:val="left"/>
              <w:textAlignment w:val="top"/>
              <w:rPr>
                <w:rFonts w:hint="eastAsia" w:ascii="宋体" w:hAnsi="宋体" w:eastAsia="宋体" w:cs="宋体"/>
                <w:kern w:val="0"/>
                <w:sz w:val="20"/>
                <w:szCs w:val="20"/>
                <w:lang w:eastAsia="zh-CN"/>
              </w:rPr>
            </w:pPr>
          </w:p>
          <w:p>
            <w:pPr>
              <w:widowControl/>
              <w:spacing w:after="200"/>
              <w:ind w:left="-155" w:leftChars="-74" w:firstLine="156" w:firstLineChars="78"/>
              <w:jc w:val="left"/>
              <w:textAlignment w:val="top"/>
              <w:rPr>
                <w:rFonts w:hint="eastAsia" w:ascii="宋体" w:hAnsi="宋体" w:eastAsia="宋体" w:cs="宋体"/>
                <w:kern w:val="0"/>
                <w:sz w:val="20"/>
                <w:szCs w:val="20"/>
                <w:lang w:eastAsia="zh-CN"/>
              </w:rPr>
            </w:pPr>
          </w:p>
          <w:p>
            <w:pPr>
              <w:widowControl/>
              <w:spacing w:after="200"/>
              <w:ind w:left="-155" w:leftChars="-74" w:firstLine="156" w:firstLineChars="78"/>
              <w:jc w:val="left"/>
              <w:textAlignment w:val="top"/>
              <w:rPr>
                <w:rFonts w:hint="eastAsia" w:ascii="宋体" w:hAnsi="宋体" w:eastAsia="宋体" w:cs="宋体"/>
                <w:kern w:val="0"/>
                <w:sz w:val="20"/>
                <w:szCs w:val="20"/>
                <w:lang w:eastAsia="zh-CN"/>
              </w:rPr>
            </w:pPr>
          </w:p>
          <w:p>
            <w:pPr>
              <w:widowControl/>
              <w:spacing w:after="200"/>
              <w:ind w:left="-155" w:leftChars="-74" w:firstLine="156" w:firstLineChars="78"/>
              <w:jc w:val="left"/>
              <w:textAlignment w:val="top"/>
              <w:rPr>
                <w:rFonts w:hint="eastAsia" w:ascii="宋体" w:hAnsi="宋体" w:eastAsia="宋体" w:cs="宋体"/>
                <w:kern w:val="0"/>
                <w:sz w:val="20"/>
                <w:szCs w:val="20"/>
                <w:lang w:eastAsia="zh-CN"/>
              </w:rPr>
            </w:pPr>
          </w:p>
        </w:tc>
      </w:tr>
      <w:tr>
        <w:tblPrEx>
          <w:tblCellMar>
            <w:top w:w="15" w:type="dxa"/>
            <w:left w:w="15" w:type="dxa"/>
            <w:bottom w:w="15" w:type="dxa"/>
            <w:right w:w="15" w:type="dxa"/>
          </w:tblCellMar>
        </w:tblPrEx>
        <w:trPr>
          <w:trHeight w:val="570" w:hRule="atLeast"/>
        </w:trPr>
        <w:tc>
          <w:tcPr>
            <w:tcW w:w="5000" w:type="pct"/>
            <w:gridSpan w:val="3"/>
            <w:vMerge w:val="continue"/>
            <w:tcBorders>
              <w:top w:val="single" w:color="000000" w:sz="4" w:space="0"/>
              <w:left w:val="single" w:color="000000" w:sz="4" w:space="0"/>
              <w:bottom w:val="single" w:color="000000" w:sz="4" w:space="0"/>
              <w:right w:val="single" w:color="000000" w:sz="4" w:space="0"/>
            </w:tcBorders>
            <w:noWrap w:val="0"/>
            <w:vAlign w:val="top"/>
          </w:tcPr>
          <w:p>
            <w:pPr>
              <w:rPr>
                <w:rFonts w:hint="eastAsia" w:ascii="宋体" w:hAnsi="宋体" w:eastAsia="宋体" w:cs="宋体"/>
                <w:sz w:val="20"/>
                <w:szCs w:val="20"/>
              </w:rPr>
            </w:pPr>
          </w:p>
        </w:tc>
      </w:tr>
      <w:tr>
        <w:tblPrEx>
          <w:tblCellMar>
            <w:top w:w="15" w:type="dxa"/>
            <w:left w:w="15" w:type="dxa"/>
            <w:bottom w:w="15" w:type="dxa"/>
            <w:right w:w="15" w:type="dxa"/>
          </w:tblCellMar>
        </w:tblPrEx>
        <w:trPr>
          <w:trHeight w:val="570" w:hRule="atLeast"/>
        </w:trPr>
        <w:tc>
          <w:tcPr>
            <w:tcW w:w="5000" w:type="pct"/>
            <w:gridSpan w:val="3"/>
            <w:vMerge w:val="continue"/>
            <w:tcBorders>
              <w:top w:val="single" w:color="000000" w:sz="4" w:space="0"/>
              <w:left w:val="single" w:color="000000" w:sz="4" w:space="0"/>
              <w:bottom w:val="single" w:color="000000" w:sz="4" w:space="0"/>
              <w:right w:val="single" w:color="000000" w:sz="4" w:space="0"/>
            </w:tcBorders>
            <w:noWrap w:val="0"/>
            <w:vAlign w:val="top"/>
          </w:tcPr>
          <w:p>
            <w:pPr>
              <w:rPr>
                <w:rFonts w:hint="eastAsia" w:ascii="宋体" w:hAnsi="宋体" w:eastAsia="宋体" w:cs="宋体"/>
                <w:sz w:val="20"/>
                <w:szCs w:val="20"/>
              </w:rPr>
            </w:pPr>
          </w:p>
        </w:tc>
      </w:tr>
      <w:tr>
        <w:tblPrEx>
          <w:tblCellMar>
            <w:top w:w="15" w:type="dxa"/>
            <w:left w:w="15" w:type="dxa"/>
            <w:bottom w:w="15" w:type="dxa"/>
            <w:right w:w="15" w:type="dxa"/>
          </w:tblCellMar>
        </w:tblPrEx>
        <w:trPr>
          <w:trHeight w:val="320" w:hRule="atLeast"/>
        </w:trPr>
        <w:tc>
          <w:tcPr>
            <w:tcW w:w="5000" w:type="pct"/>
            <w:gridSpan w:val="3"/>
            <w:vMerge w:val="continue"/>
            <w:tcBorders>
              <w:top w:val="single" w:color="000000" w:sz="4" w:space="0"/>
              <w:left w:val="single" w:color="000000" w:sz="4" w:space="0"/>
              <w:bottom w:val="single" w:color="000000" w:sz="4" w:space="0"/>
              <w:right w:val="single" w:color="000000" w:sz="4" w:space="0"/>
            </w:tcBorders>
            <w:noWrap w:val="0"/>
            <w:vAlign w:val="top"/>
          </w:tcPr>
          <w:p>
            <w:pPr>
              <w:rPr>
                <w:rFonts w:hint="eastAsia" w:ascii="宋体" w:hAnsi="宋体" w:eastAsia="宋体" w:cs="宋体"/>
                <w:sz w:val="20"/>
                <w:szCs w:val="20"/>
              </w:rPr>
            </w:pPr>
          </w:p>
        </w:tc>
      </w:tr>
      <w:tr>
        <w:tblPrEx>
          <w:tblCellMar>
            <w:top w:w="15" w:type="dxa"/>
            <w:left w:w="15" w:type="dxa"/>
            <w:bottom w:w="15" w:type="dxa"/>
            <w:right w:w="15" w:type="dxa"/>
          </w:tblCellMar>
        </w:tblPrEx>
        <w:trPr>
          <w:trHeight w:val="320" w:hRule="atLeast"/>
        </w:trPr>
        <w:tc>
          <w:tcPr>
            <w:tcW w:w="5000" w:type="pct"/>
            <w:gridSpan w:val="3"/>
            <w:vMerge w:val="continue"/>
            <w:tcBorders>
              <w:top w:val="single" w:color="000000" w:sz="4" w:space="0"/>
              <w:left w:val="single" w:color="000000" w:sz="4" w:space="0"/>
              <w:bottom w:val="single" w:color="000000" w:sz="4" w:space="0"/>
              <w:right w:val="single" w:color="000000" w:sz="4" w:space="0"/>
            </w:tcBorders>
            <w:noWrap w:val="0"/>
            <w:vAlign w:val="top"/>
          </w:tcPr>
          <w:p>
            <w:pPr>
              <w:rPr>
                <w:rFonts w:hint="eastAsia" w:ascii="宋体" w:hAnsi="宋体" w:eastAsia="宋体" w:cs="宋体"/>
                <w:sz w:val="20"/>
                <w:szCs w:val="20"/>
              </w:rPr>
            </w:pPr>
          </w:p>
        </w:tc>
      </w:tr>
      <w:tr>
        <w:tblPrEx>
          <w:tblCellMar>
            <w:top w:w="15" w:type="dxa"/>
            <w:left w:w="15" w:type="dxa"/>
            <w:bottom w:w="15" w:type="dxa"/>
            <w:right w:w="15" w:type="dxa"/>
          </w:tblCellMar>
        </w:tblPrEx>
        <w:trPr>
          <w:trHeight w:val="320" w:hRule="atLeast"/>
        </w:trPr>
        <w:tc>
          <w:tcPr>
            <w:tcW w:w="5000" w:type="pct"/>
            <w:gridSpan w:val="3"/>
            <w:vMerge w:val="continue"/>
            <w:tcBorders>
              <w:top w:val="single" w:color="000000" w:sz="4" w:space="0"/>
              <w:left w:val="single" w:color="000000" w:sz="4" w:space="0"/>
              <w:bottom w:val="single" w:color="000000" w:sz="4" w:space="0"/>
              <w:right w:val="single" w:color="000000" w:sz="4" w:space="0"/>
            </w:tcBorders>
            <w:noWrap w:val="0"/>
            <w:vAlign w:val="top"/>
          </w:tcPr>
          <w:p>
            <w:pPr>
              <w:rPr>
                <w:rFonts w:hint="eastAsia" w:ascii="宋体" w:hAnsi="宋体" w:eastAsia="宋体" w:cs="宋体"/>
                <w:sz w:val="20"/>
                <w:szCs w:val="20"/>
              </w:rPr>
            </w:pPr>
          </w:p>
        </w:tc>
      </w:tr>
      <w:tr>
        <w:tblPrEx>
          <w:tblCellMar>
            <w:top w:w="15" w:type="dxa"/>
            <w:left w:w="15" w:type="dxa"/>
            <w:bottom w:w="15" w:type="dxa"/>
            <w:right w:w="15" w:type="dxa"/>
          </w:tblCellMar>
        </w:tblPrEx>
        <w:trPr>
          <w:trHeight w:val="320" w:hRule="atLeast"/>
        </w:trPr>
        <w:tc>
          <w:tcPr>
            <w:tcW w:w="5000" w:type="pct"/>
            <w:gridSpan w:val="3"/>
            <w:vMerge w:val="continue"/>
            <w:tcBorders>
              <w:top w:val="single" w:color="000000" w:sz="4" w:space="0"/>
              <w:left w:val="single" w:color="000000" w:sz="4" w:space="0"/>
              <w:bottom w:val="single" w:color="000000" w:sz="4" w:space="0"/>
              <w:right w:val="single" w:color="000000" w:sz="4" w:space="0"/>
            </w:tcBorders>
            <w:noWrap w:val="0"/>
            <w:vAlign w:val="top"/>
          </w:tcPr>
          <w:p>
            <w:pPr>
              <w:rPr>
                <w:rFonts w:hint="eastAsia" w:ascii="宋体" w:hAnsi="宋体" w:eastAsia="宋体" w:cs="宋体"/>
                <w:sz w:val="20"/>
                <w:szCs w:val="20"/>
              </w:rPr>
            </w:pPr>
          </w:p>
        </w:tc>
      </w:tr>
      <w:tr>
        <w:tblPrEx>
          <w:tblCellMar>
            <w:top w:w="15" w:type="dxa"/>
            <w:left w:w="15" w:type="dxa"/>
            <w:bottom w:w="15" w:type="dxa"/>
            <w:right w:w="15" w:type="dxa"/>
          </w:tblCellMar>
        </w:tblPrEx>
        <w:trPr>
          <w:trHeight w:val="320" w:hRule="atLeast"/>
        </w:trPr>
        <w:tc>
          <w:tcPr>
            <w:tcW w:w="5000" w:type="pct"/>
            <w:gridSpan w:val="3"/>
            <w:vMerge w:val="continue"/>
            <w:tcBorders>
              <w:top w:val="single" w:color="000000" w:sz="4" w:space="0"/>
              <w:left w:val="single" w:color="000000" w:sz="4" w:space="0"/>
              <w:bottom w:val="single" w:color="000000" w:sz="4" w:space="0"/>
              <w:right w:val="single" w:color="000000" w:sz="4" w:space="0"/>
            </w:tcBorders>
            <w:noWrap w:val="0"/>
            <w:vAlign w:val="top"/>
          </w:tcPr>
          <w:p>
            <w:pPr>
              <w:rPr>
                <w:rFonts w:hint="eastAsia" w:ascii="宋体" w:hAnsi="宋体" w:eastAsia="宋体" w:cs="宋体"/>
                <w:sz w:val="20"/>
                <w:szCs w:val="20"/>
              </w:rPr>
            </w:pPr>
          </w:p>
        </w:tc>
      </w:tr>
      <w:tr>
        <w:tblPrEx>
          <w:tblCellMar>
            <w:top w:w="15" w:type="dxa"/>
            <w:left w:w="15" w:type="dxa"/>
            <w:bottom w:w="15" w:type="dxa"/>
            <w:right w:w="15" w:type="dxa"/>
          </w:tblCellMar>
        </w:tblPrEx>
        <w:trPr>
          <w:trHeight w:val="1471" w:hRule="atLeast"/>
        </w:trPr>
        <w:tc>
          <w:tcPr>
            <w:tcW w:w="2581" w:type="pct"/>
            <w:gridSpan w:val="2"/>
            <w:tcBorders>
              <w:top w:val="single" w:color="000000" w:sz="4" w:space="0"/>
              <w:left w:val="single" w:color="000000" w:sz="4" w:space="0"/>
              <w:bottom w:val="single" w:color="000000" w:sz="4" w:space="0"/>
              <w:right w:val="single" w:color="000000" w:sz="4" w:space="0"/>
            </w:tcBorders>
            <w:noWrap w:val="0"/>
            <w:vAlign w:val="top"/>
          </w:tcPr>
          <w:p>
            <w:pPr>
              <w:widowControl/>
              <w:jc w:val="left"/>
              <w:textAlignment w:val="top"/>
              <w:rPr>
                <w:rFonts w:hint="eastAsia" w:ascii="宋体" w:hAnsi="宋体" w:eastAsia="宋体" w:cs="宋体"/>
                <w:kern w:val="0"/>
                <w:sz w:val="20"/>
                <w:szCs w:val="20"/>
                <w:lang w:eastAsia="zh-CN"/>
              </w:rPr>
            </w:pPr>
            <w:r>
              <w:rPr>
                <w:rFonts w:hint="eastAsia" w:ascii="宋体" w:hAnsi="宋体" w:eastAsia="宋体" w:cs="宋体"/>
                <w:kern w:val="0"/>
                <w:sz w:val="20"/>
                <w:szCs w:val="20"/>
              </w:rPr>
              <w:t>现场施工员意见：</w:t>
            </w:r>
          </w:p>
          <w:p>
            <w:pPr>
              <w:widowControl/>
              <w:jc w:val="left"/>
              <w:textAlignment w:val="top"/>
              <w:rPr>
                <w:rFonts w:hint="eastAsia" w:ascii="宋体" w:hAnsi="宋体" w:eastAsia="宋体" w:cs="宋体"/>
                <w:kern w:val="0"/>
                <w:sz w:val="20"/>
                <w:szCs w:val="20"/>
                <w:lang w:eastAsia="zh-CN"/>
              </w:rPr>
            </w:pPr>
          </w:p>
          <w:p>
            <w:pPr>
              <w:widowControl/>
              <w:jc w:val="left"/>
              <w:textAlignment w:val="top"/>
              <w:rPr>
                <w:rFonts w:hint="eastAsia" w:ascii="宋体" w:hAnsi="宋体" w:eastAsia="宋体" w:cs="宋体"/>
                <w:kern w:val="0"/>
                <w:sz w:val="20"/>
                <w:szCs w:val="20"/>
                <w:lang w:eastAsia="zh-CN"/>
              </w:rPr>
            </w:pPr>
          </w:p>
          <w:p>
            <w:pPr>
              <w:widowControl/>
              <w:jc w:val="left"/>
              <w:textAlignment w:val="top"/>
              <w:rPr>
                <w:rFonts w:hint="eastAsia" w:ascii="宋体" w:hAnsi="宋体" w:eastAsia="宋体" w:cs="宋体"/>
                <w:kern w:val="0"/>
                <w:sz w:val="20"/>
                <w:szCs w:val="20"/>
              </w:rPr>
            </w:pPr>
          </w:p>
          <w:p>
            <w:pPr>
              <w:widowControl/>
              <w:ind w:left="1900" w:hanging="1900" w:hangingChars="950"/>
              <w:jc w:val="left"/>
              <w:textAlignment w:val="top"/>
              <w:rPr>
                <w:rFonts w:hint="eastAsia" w:ascii="宋体" w:hAnsi="宋体" w:eastAsia="宋体" w:cs="宋体"/>
                <w:kern w:val="0"/>
                <w:sz w:val="20"/>
                <w:szCs w:val="20"/>
                <w:lang w:eastAsia="zh-CN"/>
              </w:rPr>
            </w:pPr>
          </w:p>
          <w:p>
            <w:pPr>
              <w:widowControl/>
              <w:ind w:left="1900" w:hanging="1900" w:hangingChars="950"/>
              <w:jc w:val="left"/>
              <w:textAlignment w:val="top"/>
              <w:rPr>
                <w:rFonts w:hint="eastAsia" w:ascii="宋体" w:hAnsi="宋体" w:eastAsia="宋体" w:cs="宋体"/>
                <w:sz w:val="20"/>
                <w:szCs w:val="20"/>
              </w:rPr>
            </w:pPr>
            <w:r>
              <w:rPr>
                <w:rFonts w:hint="eastAsia" w:ascii="宋体" w:hAnsi="宋体" w:eastAsia="宋体" w:cs="宋体"/>
                <w:kern w:val="0"/>
                <w:sz w:val="20"/>
                <w:szCs w:val="20"/>
              </w:rPr>
              <w:t>签名及日期：</w:t>
            </w:r>
          </w:p>
        </w:tc>
        <w:tc>
          <w:tcPr>
            <w:tcW w:w="2419" w:type="pct"/>
            <w:tcBorders>
              <w:top w:val="single" w:color="000000" w:sz="4" w:space="0"/>
              <w:left w:val="single" w:color="000000" w:sz="4" w:space="0"/>
              <w:bottom w:val="single" w:color="000000" w:sz="4" w:space="0"/>
              <w:right w:val="single" w:color="000000" w:sz="4" w:space="0"/>
            </w:tcBorders>
            <w:noWrap w:val="0"/>
            <w:vAlign w:val="top"/>
          </w:tcPr>
          <w:p>
            <w:pPr>
              <w:widowControl/>
              <w:jc w:val="left"/>
              <w:textAlignment w:val="top"/>
              <w:rPr>
                <w:rFonts w:hint="eastAsia" w:ascii="宋体" w:hAnsi="宋体" w:eastAsia="宋体" w:cs="宋体"/>
                <w:kern w:val="0"/>
                <w:sz w:val="20"/>
                <w:szCs w:val="20"/>
                <w:lang w:eastAsia="zh-CN"/>
              </w:rPr>
            </w:pPr>
            <w:r>
              <w:rPr>
                <w:rFonts w:hint="eastAsia" w:ascii="宋体" w:hAnsi="宋体" w:eastAsia="宋体" w:cs="宋体"/>
                <w:kern w:val="0"/>
                <w:sz w:val="20"/>
                <w:szCs w:val="20"/>
              </w:rPr>
              <w:t>项目副经理意见：</w:t>
            </w:r>
          </w:p>
          <w:p>
            <w:pPr>
              <w:widowControl/>
              <w:jc w:val="left"/>
              <w:textAlignment w:val="top"/>
              <w:rPr>
                <w:rFonts w:hint="eastAsia" w:ascii="宋体" w:hAnsi="宋体" w:eastAsia="宋体" w:cs="宋体"/>
                <w:kern w:val="0"/>
                <w:sz w:val="20"/>
                <w:szCs w:val="20"/>
                <w:lang w:eastAsia="zh-CN"/>
              </w:rPr>
            </w:pPr>
          </w:p>
          <w:p>
            <w:pPr>
              <w:widowControl/>
              <w:jc w:val="left"/>
              <w:textAlignment w:val="top"/>
              <w:rPr>
                <w:rFonts w:hint="eastAsia" w:ascii="宋体" w:hAnsi="宋体" w:eastAsia="宋体" w:cs="宋体"/>
                <w:kern w:val="0"/>
                <w:sz w:val="20"/>
                <w:szCs w:val="20"/>
                <w:lang w:eastAsia="zh-CN"/>
              </w:rPr>
            </w:pPr>
          </w:p>
          <w:p>
            <w:pPr>
              <w:widowControl/>
              <w:jc w:val="left"/>
              <w:textAlignment w:val="top"/>
              <w:rPr>
                <w:rFonts w:hint="eastAsia" w:ascii="宋体" w:hAnsi="宋体" w:eastAsia="宋体" w:cs="宋体"/>
                <w:sz w:val="20"/>
                <w:szCs w:val="20"/>
                <w:lang w:eastAsia="zh-CN"/>
              </w:rPr>
            </w:pPr>
          </w:p>
          <w:p>
            <w:pPr>
              <w:widowControl/>
              <w:jc w:val="left"/>
              <w:textAlignment w:val="top"/>
              <w:rPr>
                <w:rFonts w:hint="eastAsia" w:ascii="宋体" w:hAnsi="宋体" w:eastAsia="宋体" w:cs="宋体"/>
                <w:sz w:val="20"/>
                <w:szCs w:val="20"/>
                <w:lang w:eastAsia="zh-CN"/>
              </w:rPr>
            </w:pPr>
          </w:p>
          <w:p>
            <w:pPr>
              <w:widowControl/>
              <w:ind w:firstLine="1800" w:firstLineChars="900"/>
              <w:jc w:val="left"/>
              <w:textAlignment w:val="top"/>
              <w:rPr>
                <w:rFonts w:hint="eastAsia" w:ascii="宋体" w:hAnsi="宋体" w:eastAsia="宋体" w:cs="宋体"/>
                <w:sz w:val="20"/>
                <w:szCs w:val="20"/>
              </w:rPr>
            </w:pPr>
            <w:r>
              <w:rPr>
                <w:rFonts w:hint="eastAsia" w:ascii="宋体" w:hAnsi="宋体" w:eastAsia="宋体" w:cs="宋体"/>
                <w:kern w:val="0"/>
                <w:sz w:val="20"/>
                <w:szCs w:val="20"/>
              </w:rPr>
              <w:t>签名及日期：</w:t>
            </w:r>
          </w:p>
        </w:tc>
      </w:tr>
      <w:tr>
        <w:tblPrEx>
          <w:tblCellMar>
            <w:top w:w="15" w:type="dxa"/>
            <w:left w:w="15" w:type="dxa"/>
            <w:bottom w:w="15" w:type="dxa"/>
            <w:right w:w="15" w:type="dxa"/>
          </w:tblCellMar>
        </w:tblPrEx>
        <w:trPr>
          <w:trHeight w:val="1516" w:hRule="atLeast"/>
        </w:trPr>
        <w:tc>
          <w:tcPr>
            <w:tcW w:w="2581" w:type="pct"/>
            <w:gridSpan w:val="2"/>
            <w:tcBorders>
              <w:top w:val="single" w:color="000000" w:sz="4" w:space="0"/>
              <w:left w:val="single" w:color="000000" w:sz="4" w:space="0"/>
              <w:bottom w:val="single" w:color="000000" w:sz="4" w:space="0"/>
              <w:right w:val="single" w:color="000000" w:sz="4" w:space="0"/>
            </w:tcBorders>
            <w:noWrap w:val="0"/>
            <w:vAlign w:val="top"/>
          </w:tcPr>
          <w:p>
            <w:pPr>
              <w:widowControl/>
              <w:jc w:val="left"/>
              <w:textAlignment w:val="top"/>
              <w:rPr>
                <w:rFonts w:hint="eastAsia" w:ascii="宋体" w:hAnsi="宋体" w:eastAsia="宋体" w:cs="宋体"/>
                <w:kern w:val="0"/>
                <w:sz w:val="20"/>
                <w:szCs w:val="20"/>
                <w:lang w:eastAsia="zh-CN"/>
              </w:rPr>
            </w:pPr>
            <w:r>
              <w:rPr>
                <w:rFonts w:hint="eastAsia" w:ascii="宋体" w:hAnsi="宋体" w:eastAsia="宋体" w:cs="宋体"/>
                <w:kern w:val="0"/>
                <w:sz w:val="20"/>
                <w:szCs w:val="20"/>
              </w:rPr>
              <w:t>技术负责人意见（对工作内容及工程量见证）：</w:t>
            </w:r>
          </w:p>
          <w:p>
            <w:pPr>
              <w:widowControl/>
              <w:jc w:val="left"/>
              <w:textAlignment w:val="top"/>
              <w:rPr>
                <w:rFonts w:hint="eastAsia" w:ascii="宋体" w:hAnsi="宋体" w:eastAsia="宋体" w:cs="宋体"/>
                <w:kern w:val="0"/>
                <w:sz w:val="20"/>
                <w:szCs w:val="20"/>
                <w:lang w:eastAsia="zh-CN"/>
              </w:rPr>
            </w:pPr>
          </w:p>
          <w:p>
            <w:pPr>
              <w:widowControl/>
              <w:jc w:val="left"/>
              <w:textAlignment w:val="top"/>
              <w:rPr>
                <w:rFonts w:hint="eastAsia" w:ascii="宋体" w:hAnsi="宋体" w:eastAsia="宋体" w:cs="宋体"/>
                <w:kern w:val="0"/>
                <w:sz w:val="20"/>
                <w:szCs w:val="20"/>
                <w:lang w:eastAsia="zh-CN"/>
              </w:rPr>
            </w:pPr>
          </w:p>
          <w:p>
            <w:pPr>
              <w:widowControl/>
              <w:jc w:val="left"/>
              <w:textAlignment w:val="top"/>
              <w:rPr>
                <w:rFonts w:hint="eastAsia" w:ascii="宋体" w:hAnsi="宋体" w:eastAsia="宋体" w:cs="宋体"/>
                <w:kern w:val="0"/>
                <w:sz w:val="20"/>
                <w:szCs w:val="20"/>
                <w:lang w:eastAsia="zh-CN"/>
              </w:rPr>
            </w:pPr>
          </w:p>
          <w:p>
            <w:pPr>
              <w:widowControl/>
              <w:ind w:firstLine="1900" w:firstLineChars="950"/>
              <w:jc w:val="left"/>
              <w:textAlignment w:val="top"/>
              <w:rPr>
                <w:rFonts w:hint="eastAsia" w:ascii="宋体" w:hAnsi="宋体" w:eastAsia="宋体" w:cs="宋体"/>
                <w:kern w:val="0"/>
                <w:sz w:val="20"/>
                <w:szCs w:val="20"/>
              </w:rPr>
            </w:pPr>
          </w:p>
          <w:p>
            <w:pPr>
              <w:widowControl/>
              <w:ind w:firstLine="1900" w:firstLineChars="950"/>
              <w:jc w:val="left"/>
              <w:textAlignment w:val="top"/>
              <w:rPr>
                <w:rFonts w:hint="eastAsia" w:ascii="宋体" w:hAnsi="宋体" w:eastAsia="宋体" w:cs="宋体"/>
                <w:sz w:val="20"/>
                <w:szCs w:val="20"/>
              </w:rPr>
            </w:pPr>
            <w:r>
              <w:rPr>
                <w:rFonts w:hint="eastAsia" w:ascii="宋体" w:hAnsi="宋体" w:eastAsia="宋体" w:cs="宋体"/>
                <w:kern w:val="0"/>
                <w:sz w:val="20"/>
                <w:szCs w:val="20"/>
              </w:rPr>
              <w:t>签名及日期：</w:t>
            </w:r>
          </w:p>
        </w:tc>
        <w:tc>
          <w:tcPr>
            <w:tcW w:w="2419" w:type="pct"/>
            <w:tcBorders>
              <w:top w:val="single" w:color="000000" w:sz="4" w:space="0"/>
              <w:left w:val="single" w:color="000000" w:sz="4" w:space="0"/>
              <w:bottom w:val="single" w:color="000000" w:sz="4" w:space="0"/>
              <w:right w:val="single" w:color="000000" w:sz="4" w:space="0"/>
            </w:tcBorders>
            <w:noWrap w:val="0"/>
            <w:vAlign w:val="top"/>
          </w:tcPr>
          <w:p>
            <w:pPr>
              <w:widowControl/>
              <w:jc w:val="left"/>
              <w:textAlignment w:val="top"/>
              <w:rPr>
                <w:rFonts w:hint="eastAsia" w:ascii="宋体" w:hAnsi="宋体" w:eastAsia="宋体" w:cs="宋体"/>
                <w:kern w:val="0"/>
                <w:sz w:val="20"/>
                <w:szCs w:val="20"/>
                <w:lang w:eastAsia="zh-CN"/>
              </w:rPr>
            </w:pPr>
            <w:r>
              <w:rPr>
                <w:rFonts w:hint="eastAsia" w:ascii="宋体" w:hAnsi="宋体" w:eastAsia="宋体" w:cs="宋体"/>
                <w:kern w:val="0"/>
                <w:sz w:val="20"/>
                <w:szCs w:val="20"/>
              </w:rPr>
              <w:t>项目成本管理员意见（本次签证金额）：</w:t>
            </w:r>
          </w:p>
          <w:p>
            <w:pPr>
              <w:widowControl/>
              <w:jc w:val="left"/>
              <w:textAlignment w:val="top"/>
              <w:rPr>
                <w:rFonts w:hint="eastAsia" w:ascii="宋体" w:hAnsi="宋体" w:eastAsia="宋体" w:cs="宋体"/>
                <w:kern w:val="0"/>
                <w:sz w:val="20"/>
                <w:szCs w:val="20"/>
                <w:lang w:eastAsia="zh-CN"/>
              </w:rPr>
            </w:pPr>
          </w:p>
          <w:p>
            <w:pPr>
              <w:widowControl/>
              <w:jc w:val="left"/>
              <w:textAlignment w:val="top"/>
              <w:rPr>
                <w:rFonts w:hint="eastAsia" w:ascii="宋体" w:hAnsi="宋体" w:eastAsia="宋体" w:cs="宋体"/>
                <w:kern w:val="0"/>
                <w:sz w:val="20"/>
                <w:szCs w:val="20"/>
                <w:lang w:eastAsia="zh-CN"/>
              </w:rPr>
            </w:pPr>
          </w:p>
          <w:p>
            <w:pPr>
              <w:widowControl/>
              <w:jc w:val="left"/>
              <w:textAlignment w:val="top"/>
              <w:rPr>
                <w:rFonts w:hint="eastAsia" w:ascii="宋体" w:hAnsi="宋体" w:eastAsia="宋体" w:cs="宋体"/>
                <w:kern w:val="0"/>
                <w:sz w:val="20"/>
                <w:szCs w:val="20"/>
                <w:lang w:eastAsia="zh-CN"/>
              </w:rPr>
            </w:pPr>
          </w:p>
          <w:p>
            <w:pPr>
              <w:widowControl/>
              <w:jc w:val="left"/>
              <w:textAlignment w:val="top"/>
              <w:rPr>
                <w:rFonts w:hint="eastAsia" w:ascii="宋体" w:hAnsi="宋体" w:eastAsia="宋体" w:cs="宋体"/>
                <w:kern w:val="0"/>
                <w:sz w:val="20"/>
                <w:szCs w:val="20"/>
              </w:rPr>
            </w:pPr>
          </w:p>
          <w:p>
            <w:pPr>
              <w:widowControl/>
              <w:ind w:firstLine="1800" w:firstLineChars="900"/>
              <w:jc w:val="left"/>
              <w:textAlignment w:val="top"/>
              <w:rPr>
                <w:rFonts w:hint="eastAsia" w:ascii="宋体" w:hAnsi="宋体" w:eastAsia="宋体" w:cs="宋体"/>
                <w:sz w:val="20"/>
                <w:szCs w:val="20"/>
              </w:rPr>
            </w:pPr>
            <w:r>
              <w:rPr>
                <w:rFonts w:hint="eastAsia" w:ascii="宋体" w:hAnsi="宋体" w:eastAsia="宋体" w:cs="宋体"/>
                <w:kern w:val="0"/>
                <w:sz w:val="20"/>
                <w:szCs w:val="20"/>
              </w:rPr>
              <w:t>签名及日期：</w:t>
            </w:r>
          </w:p>
        </w:tc>
      </w:tr>
      <w:tr>
        <w:tblPrEx>
          <w:tblCellMar>
            <w:top w:w="15" w:type="dxa"/>
            <w:left w:w="15" w:type="dxa"/>
            <w:bottom w:w="15" w:type="dxa"/>
            <w:right w:w="15" w:type="dxa"/>
          </w:tblCellMar>
        </w:tblPrEx>
        <w:trPr>
          <w:trHeight w:val="1260" w:hRule="atLeast"/>
        </w:trPr>
        <w:tc>
          <w:tcPr>
            <w:tcW w:w="5000" w:type="pct"/>
            <w:gridSpan w:val="3"/>
            <w:tcBorders>
              <w:top w:val="single" w:color="000000" w:sz="4" w:space="0"/>
              <w:left w:val="single" w:color="000000" w:sz="4" w:space="0"/>
              <w:bottom w:val="single" w:color="000000" w:sz="4" w:space="0"/>
              <w:right w:val="single" w:color="000000" w:sz="4" w:space="0"/>
            </w:tcBorders>
            <w:noWrap w:val="0"/>
            <w:vAlign w:val="top"/>
          </w:tcPr>
          <w:p>
            <w:pPr>
              <w:widowControl/>
              <w:jc w:val="left"/>
              <w:textAlignment w:val="top"/>
              <w:rPr>
                <w:rFonts w:hint="eastAsia" w:ascii="宋体" w:hAnsi="宋体" w:eastAsia="宋体" w:cs="宋体"/>
                <w:kern w:val="0"/>
                <w:sz w:val="20"/>
                <w:szCs w:val="20"/>
                <w:lang w:eastAsia="zh-CN"/>
              </w:rPr>
            </w:pPr>
            <w:r>
              <w:rPr>
                <w:rFonts w:hint="eastAsia" w:ascii="宋体" w:hAnsi="宋体" w:eastAsia="宋体" w:cs="宋体"/>
                <w:kern w:val="0"/>
                <w:sz w:val="20"/>
                <w:szCs w:val="20"/>
              </w:rPr>
              <w:t>项目经理意见：</w:t>
            </w:r>
          </w:p>
          <w:p>
            <w:pPr>
              <w:widowControl/>
              <w:jc w:val="left"/>
              <w:textAlignment w:val="top"/>
              <w:rPr>
                <w:rFonts w:hint="eastAsia" w:ascii="宋体" w:hAnsi="宋体" w:eastAsia="宋体" w:cs="宋体"/>
                <w:kern w:val="0"/>
                <w:sz w:val="20"/>
                <w:szCs w:val="20"/>
                <w:lang w:eastAsia="zh-CN"/>
              </w:rPr>
            </w:pPr>
          </w:p>
          <w:p>
            <w:pPr>
              <w:widowControl/>
              <w:jc w:val="left"/>
              <w:textAlignment w:val="top"/>
              <w:rPr>
                <w:rFonts w:hint="eastAsia" w:ascii="宋体" w:hAnsi="宋体" w:eastAsia="宋体" w:cs="宋体"/>
                <w:kern w:val="0"/>
                <w:sz w:val="20"/>
                <w:szCs w:val="20"/>
                <w:lang w:eastAsia="zh-CN"/>
              </w:rPr>
            </w:pPr>
          </w:p>
          <w:p>
            <w:pPr>
              <w:widowControl/>
              <w:jc w:val="left"/>
              <w:textAlignment w:val="top"/>
              <w:rPr>
                <w:rFonts w:hint="eastAsia" w:ascii="宋体" w:hAnsi="宋体" w:eastAsia="宋体" w:cs="宋体"/>
                <w:kern w:val="0"/>
                <w:sz w:val="20"/>
                <w:szCs w:val="20"/>
                <w:lang w:eastAsia="zh-CN"/>
              </w:rPr>
            </w:pPr>
          </w:p>
          <w:p>
            <w:pPr>
              <w:widowControl/>
              <w:jc w:val="left"/>
              <w:textAlignment w:val="top"/>
              <w:rPr>
                <w:rFonts w:hint="eastAsia" w:ascii="宋体" w:hAnsi="宋体" w:eastAsia="宋体" w:cs="宋体"/>
                <w:kern w:val="0"/>
                <w:sz w:val="20"/>
                <w:szCs w:val="20"/>
              </w:rPr>
            </w:pPr>
            <w:r>
              <w:rPr>
                <w:rFonts w:hint="eastAsia" w:ascii="宋体" w:hAnsi="宋体" w:eastAsia="宋体" w:cs="宋体"/>
                <w:kern w:val="0"/>
                <w:sz w:val="20"/>
                <w:szCs w:val="20"/>
              </w:rPr>
              <w:t xml:space="preserve">                                                                 签名及日期：</w:t>
            </w:r>
          </w:p>
        </w:tc>
      </w:tr>
      <w:tr>
        <w:tblPrEx>
          <w:tblCellMar>
            <w:top w:w="15" w:type="dxa"/>
            <w:left w:w="15" w:type="dxa"/>
            <w:bottom w:w="15" w:type="dxa"/>
            <w:right w:w="15" w:type="dxa"/>
          </w:tblCellMar>
        </w:tblPrEx>
        <w:trPr>
          <w:trHeight w:val="405" w:hRule="atLeast"/>
        </w:trPr>
        <w:tc>
          <w:tcPr>
            <w:tcW w:w="5000" w:type="pct"/>
            <w:gridSpan w:val="3"/>
            <w:noWrap w:val="0"/>
            <w:vAlign w:val="center"/>
          </w:tcPr>
          <w:p>
            <w:pPr>
              <w:widowControl/>
              <w:snapToGrid w:val="0"/>
              <w:spacing w:line="192" w:lineRule="auto"/>
              <w:jc w:val="left"/>
              <w:textAlignment w:val="center"/>
              <w:rPr>
                <w:rFonts w:hint="eastAsia" w:ascii="宋体" w:hAnsi="宋体" w:eastAsia="宋体" w:cs="宋体"/>
                <w:kern w:val="0"/>
                <w:sz w:val="18"/>
                <w:szCs w:val="18"/>
              </w:rPr>
            </w:pPr>
            <w:r>
              <w:rPr>
                <w:rFonts w:hint="eastAsia" w:ascii="宋体" w:hAnsi="宋体" w:eastAsia="宋体" w:cs="宋体"/>
                <w:kern w:val="0"/>
                <w:sz w:val="18"/>
                <w:szCs w:val="18"/>
              </w:rPr>
              <w:t>注：</w:t>
            </w:r>
            <w:r>
              <w:rPr>
                <w:rFonts w:hint="eastAsia" w:ascii="宋体" w:hAnsi="宋体" w:eastAsia="宋体" w:cs="宋体"/>
                <w:kern w:val="0"/>
                <w:sz w:val="13"/>
                <w:szCs w:val="13"/>
              </w:rPr>
              <w:t>①</w:t>
            </w:r>
            <w:r>
              <w:rPr>
                <w:rFonts w:hint="eastAsia" w:ascii="宋体" w:hAnsi="宋体" w:eastAsia="宋体" w:cs="宋体"/>
                <w:kern w:val="0"/>
                <w:sz w:val="18"/>
                <w:szCs w:val="18"/>
              </w:rPr>
              <w:t>通知单、工程变更(联系)单、工程量审核表、图像资料（事前、事中、事后）及其它相关依据附后；</w:t>
            </w:r>
          </w:p>
          <w:p>
            <w:pPr>
              <w:widowControl/>
              <w:snapToGrid w:val="0"/>
              <w:spacing w:line="192" w:lineRule="auto"/>
              <w:ind w:left="0" w:leftChars="0" w:firstLine="358" w:firstLineChars="276"/>
              <w:jc w:val="left"/>
              <w:textAlignment w:val="center"/>
              <w:rPr>
                <w:rFonts w:hint="eastAsia" w:ascii="宋体" w:hAnsi="宋体" w:eastAsia="宋体" w:cs="宋体"/>
                <w:sz w:val="20"/>
                <w:szCs w:val="20"/>
              </w:rPr>
            </w:pPr>
            <w:r>
              <w:rPr>
                <w:rFonts w:hint="eastAsia" w:ascii="宋体" w:hAnsi="宋体" w:eastAsia="宋体" w:cs="宋体"/>
                <w:kern w:val="0"/>
                <w:sz w:val="13"/>
                <w:szCs w:val="13"/>
              </w:rPr>
              <w:t>②</w:t>
            </w:r>
            <w:r>
              <w:rPr>
                <w:rFonts w:hint="eastAsia" w:ascii="宋体" w:hAnsi="宋体" w:eastAsia="宋体" w:cs="宋体"/>
                <w:kern w:val="0"/>
                <w:sz w:val="18"/>
                <w:szCs w:val="18"/>
              </w:rPr>
              <w:t>一式二份，项目成本管理员和分包单位各一份。</w:t>
            </w:r>
            <w:r>
              <w:rPr>
                <w:rFonts w:hint="eastAsia" w:ascii="宋体" w:hAnsi="宋体" w:eastAsia="宋体" w:cs="宋体"/>
                <w:kern w:val="0"/>
                <w:sz w:val="13"/>
                <w:szCs w:val="13"/>
              </w:rPr>
              <w:t>③</w:t>
            </w:r>
            <w:r>
              <w:rPr>
                <w:rFonts w:hint="eastAsia" w:ascii="宋体" w:hAnsi="宋体" w:eastAsia="宋体" w:cs="宋体"/>
                <w:kern w:val="0"/>
                <w:sz w:val="16"/>
                <w:szCs w:val="16"/>
              </w:rPr>
              <w:t>作为公司审核的依据。</w:t>
            </w:r>
          </w:p>
        </w:tc>
      </w:tr>
    </w:tbl>
    <w:p>
      <w:pPr>
        <w:spacing w:line="360" w:lineRule="auto"/>
        <w:ind w:right="-672" w:rightChars="-320" w:firstLine="7630" w:firstLineChars="1900"/>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t>附件五</w:t>
      </w:r>
    </w:p>
    <w:p>
      <w:pPr>
        <w:tabs>
          <w:tab w:val="left" w:pos="720"/>
        </w:tabs>
        <w:adjustRightInd w:val="0"/>
        <w:snapToGrid w:val="0"/>
        <w:spacing w:line="360" w:lineRule="auto"/>
        <w:ind w:left="482" w:hanging="482" w:hangingChars="150"/>
        <w:jc w:val="center"/>
        <w:rPr>
          <w:rFonts w:hint="eastAsia" w:ascii="宋体" w:hAnsi="宋体" w:eastAsia="宋体" w:cs="宋体"/>
          <w:b/>
          <w:sz w:val="32"/>
          <w:szCs w:val="32"/>
        </w:rPr>
      </w:pPr>
      <w:r>
        <w:rPr>
          <w:rFonts w:hint="eastAsia" w:ascii="宋体" w:hAnsi="宋体" w:eastAsia="宋体" w:cs="宋体"/>
          <w:b/>
          <w:sz w:val="32"/>
          <w:szCs w:val="32"/>
        </w:rPr>
        <w:t>分 项 工 程 单 价 申 报 审 批 表</w:t>
      </w:r>
    </w:p>
    <w:p>
      <w:pPr>
        <w:keepNext w:val="0"/>
        <w:keepLines w:val="0"/>
        <w:pageBreakBefore w:val="0"/>
        <w:widowControl w:val="0"/>
        <w:kinsoku/>
        <w:wordWrap w:val="0"/>
        <w:overflowPunct/>
        <w:topLinePunct w:val="0"/>
        <w:autoSpaceDE/>
        <w:autoSpaceDN/>
        <w:bidi w:val="0"/>
        <w:adjustRightInd/>
        <w:snapToGrid w:val="0"/>
        <w:spacing w:line="240" w:lineRule="auto"/>
        <w:ind w:right="482" w:firstLine="361" w:firstLineChars="200"/>
        <w:textAlignment w:val="auto"/>
        <w:outlineLvl w:val="0"/>
        <w:rPr>
          <w:rFonts w:hint="eastAsia" w:ascii="宋体" w:hAnsi="宋体" w:eastAsia="宋体" w:cs="宋体"/>
          <w:b/>
          <w:sz w:val="18"/>
          <w:szCs w:val="18"/>
        </w:rPr>
      </w:pPr>
      <w:r>
        <w:rPr>
          <w:rFonts w:hint="eastAsia" w:ascii="宋体" w:hAnsi="宋体" w:eastAsia="宋体" w:cs="宋体"/>
          <w:b/>
          <w:sz w:val="18"/>
          <w:szCs w:val="18"/>
        </w:rPr>
        <w:t xml:space="preserve">项目名称：                                                  报价单位：                  </w:t>
      </w:r>
    </w:p>
    <w:tbl>
      <w:tblPr>
        <w:tblStyle w:val="11"/>
        <w:tblW w:w="8670" w:type="dxa"/>
        <w:tblInd w:w="392"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696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5" w:hRule="atLeast"/>
        </w:trPr>
        <w:tc>
          <w:tcPr>
            <w:tcW w:w="8670" w:type="dxa"/>
            <w:gridSpan w:val="2"/>
            <w:noWrap w:val="0"/>
            <w:vAlign w:val="center"/>
          </w:tcPr>
          <w:p>
            <w:pPr>
              <w:jc w:val="center"/>
              <w:rPr>
                <w:rFonts w:hint="eastAsia" w:ascii="宋体" w:hAnsi="宋体" w:eastAsia="宋体" w:cs="宋体"/>
                <w:b/>
                <w:szCs w:val="21"/>
              </w:rPr>
            </w:pPr>
            <w:r>
              <w:rPr>
                <w:rFonts w:hint="eastAsia" w:ascii="宋体" w:hAnsi="宋体" w:eastAsia="宋体" w:cs="宋体"/>
                <w:b/>
                <w:szCs w:val="21"/>
              </w:rPr>
              <w:t>分项工程名称、主要工作内容、工程量及难易情况等信息(主合同外工程)</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86" w:hRule="atLeast"/>
        </w:trPr>
        <w:tc>
          <w:tcPr>
            <w:tcW w:w="1701" w:type="dxa"/>
            <w:noWrap w:val="0"/>
            <w:vAlign w:val="center"/>
          </w:tcPr>
          <w:p>
            <w:pPr>
              <w:jc w:val="left"/>
              <w:rPr>
                <w:rFonts w:hint="eastAsia" w:ascii="宋体" w:hAnsi="宋体" w:eastAsia="宋体" w:cs="宋体"/>
                <w:b/>
                <w:sz w:val="18"/>
                <w:szCs w:val="18"/>
              </w:rPr>
            </w:pPr>
            <w:r>
              <w:rPr>
                <w:rFonts w:hint="eastAsia" w:ascii="宋体" w:hAnsi="宋体" w:eastAsia="宋体" w:cs="宋体"/>
                <w:b/>
                <w:sz w:val="18"/>
                <w:szCs w:val="18"/>
              </w:rPr>
              <w:t>填表内容：</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宋体" w:hAnsi="宋体" w:eastAsia="宋体" w:cs="宋体"/>
                <w:b/>
                <w:sz w:val="18"/>
                <w:szCs w:val="18"/>
              </w:rPr>
            </w:pPr>
            <w:r>
              <w:rPr>
                <w:rFonts w:hint="eastAsia" w:ascii="宋体" w:hAnsi="宋体" w:eastAsia="宋体" w:cs="宋体"/>
                <w:b/>
                <w:sz w:val="18"/>
                <w:szCs w:val="18"/>
              </w:rPr>
              <w:t>1、项目部意见：</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宋体" w:hAnsi="宋体" w:eastAsia="宋体" w:cs="宋体"/>
                <w:b/>
                <w:sz w:val="18"/>
                <w:szCs w:val="18"/>
              </w:rPr>
            </w:pPr>
            <w:r>
              <w:rPr>
                <w:rFonts w:hint="eastAsia" w:ascii="宋体" w:hAnsi="宋体" w:eastAsia="宋体" w:cs="宋体"/>
                <w:b/>
                <w:sz w:val="18"/>
                <w:szCs w:val="18"/>
              </w:rPr>
              <w:t>1.1建议价</w:t>
            </w:r>
          </w:p>
          <w:p>
            <w:pPr>
              <w:keepNext w:val="0"/>
              <w:keepLines w:val="0"/>
              <w:pageBreakBefore w:val="0"/>
              <w:widowControl w:val="0"/>
              <w:kinsoku/>
              <w:wordWrap/>
              <w:overflowPunct/>
              <w:topLinePunct w:val="0"/>
              <w:autoSpaceDE/>
              <w:autoSpaceDN/>
              <w:bidi w:val="0"/>
              <w:adjustRightInd/>
              <w:snapToGrid w:val="0"/>
              <w:ind w:left="271" w:hanging="271" w:hangingChars="150"/>
              <w:jc w:val="left"/>
              <w:textAlignment w:val="auto"/>
              <w:rPr>
                <w:rFonts w:hint="eastAsia" w:ascii="宋体" w:hAnsi="宋体" w:eastAsia="宋体" w:cs="宋体"/>
                <w:b/>
                <w:sz w:val="18"/>
                <w:szCs w:val="18"/>
              </w:rPr>
            </w:pPr>
            <w:r>
              <w:rPr>
                <w:rFonts w:hint="eastAsia" w:ascii="宋体" w:hAnsi="宋体" w:eastAsia="宋体" w:cs="宋体"/>
                <w:b/>
                <w:sz w:val="18"/>
                <w:szCs w:val="18"/>
              </w:rPr>
              <w:t>1.2价格分析/单价依据</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宋体" w:hAnsi="宋体" w:eastAsia="宋体" w:cs="宋体"/>
                <w:b/>
                <w:sz w:val="18"/>
                <w:szCs w:val="18"/>
              </w:rPr>
            </w:pPr>
            <w:r>
              <w:rPr>
                <w:rFonts w:hint="eastAsia" w:ascii="宋体" w:hAnsi="宋体" w:eastAsia="宋体" w:cs="宋体"/>
                <w:b/>
                <w:sz w:val="18"/>
                <w:szCs w:val="18"/>
              </w:rPr>
              <w:t>2、产生原因 ：</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宋体" w:hAnsi="宋体" w:eastAsia="宋体" w:cs="宋体"/>
                <w:b/>
                <w:sz w:val="18"/>
                <w:szCs w:val="18"/>
              </w:rPr>
            </w:pPr>
            <w:r>
              <w:rPr>
                <w:rFonts w:hint="eastAsia" w:ascii="宋体" w:hAnsi="宋体" w:eastAsia="宋体" w:cs="宋体"/>
                <w:b/>
                <w:sz w:val="18"/>
                <w:szCs w:val="18"/>
              </w:rPr>
              <w:t xml:space="preserve">□ 甲方   □中泰 </w:t>
            </w:r>
          </w:p>
          <w:p>
            <w:pPr>
              <w:keepNext w:val="0"/>
              <w:keepLines w:val="0"/>
              <w:pageBreakBefore w:val="0"/>
              <w:widowControl w:val="0"/>
              <w:kinsoku/>
              <w:wordWrap/>
              <w:overflowPunct/>
              <w:topLinePunct w:val="0"/>
              <w:autoSpaceDE/>
              <w:autoSpaceDN/>
              <w:bidi w:val="0"/>
              <w:adjustRightInd/>
              <w:snapToGrid w:val="0"/>
              <w:ind w:left="271" w:hanging="271" w:hangingChars="150"/>
              <w:jc w:val="left"/>
              <w:textAlignment w:val="auto"/>
              <w:rPr>
                <w:rFonts w:hint="eastAsia" w:ascii="宋体" w:hAnsi="宋体" w:eastAsia="宋体" w:cs="宋体"/>
                <w:b/>
                <w:bCs/>
                <w:sz w:val="18"/>
                <w:szCs w:val="18"/>
              </w:rPr>
            </w:pPr>
            <w:r>
              <w:rPr>
                <w:rFonts w:hint="eastAsia" w:ascii="宋体" w:hAnsi="宋体" w:eastAsia="宋体" w:cs="宋体"/>
                <w:b/>
                <w:sz w:val="18"/>
                <w:szCs w:val="18"/>
              </w:rPr>
              <w:t>□ 其他单位责任</w:t>
            </w:r>
            <w:r>
              <w:rPr>
                <w:rFonts w:hint="eastAsia" w:ascii="宋体" w:hAnsi="宋体" w:eastAsia="宋体" w:cs="宋体"/>
                <w:b/>
                <w:bCs/>
                <w:sz w:val="18"/>
                <w:szCs w:val="18"/>
              </w:rPr>
              <w:t>，具体情况</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宋体" w:hAnsi="宋体" w:eastAsia="宋体" w:cs="宋体"/>
                <w:b/>
                <w:sz w:val="18"/>
                <w:szCs w:val="18"/>
              </w:rPr>
            </w:pPr>
            <w:r>
              <w:rPr>
                <w:rFonts w:hint="eastAsia" w:ascii="宋体" w:hAnsi="宋体" w:eastAsia="宋体" w:cs="宋体"/>
                <w:b/>
                <w:sz w:val="18"/>
                <w:szCs w:val="18"/>
              </w:rPr>
              <w:t>3、附件资料：</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宋体" w:hAnsi="宋体" w:eastAsia="宋体" w:cs="宋体"/>
                <w:b/>
                <w:sz w:val="18"/>
                <w:szCs w:val="18"/>
              </w:rPr>
            </w:pPr>
            <w:r>
              <w:rPr>
                <w:rFonts w:hint="eastAsia" w:ascii="宋体" w:hAnsi="宋体" w:eastAsia="宋体" w:cs="宋体"/>
                <w:b/>
                <w:sz w:val="18"/>
                <w:szCs w:val="18"/>
              </w:rPr>
              <w:t>3.1施工图</w:t>
            </w:r>
            <w:r>
              <w:rPr>
                <w:rFonts w:hint="eastAsia" w:ascii="宋体" w:hAnsi="宋体" w:eastAsia="宋体" w:cs="宋体"/>
                <w:b/>
                <w:sz w:val="18"/>
                <w:szCs w:val="18"/>
                <w:u w:val="single"/>
              </w:rPr>
              <w:t xml:space="preserve">     </w:t>
            </w:r>
            <w:r>
              <w:rPr>
                <w:rFonts w:hint="eastAsia" w:ascii="宋体" w:hAnsi="宋体" w:eastAsia="宋体" w:cs="宋体"/>
                <w:b/>
                <w:sz w:val="18"/>
                <w:szCs w:val="18"/>
              </w:rPr>
              <w:t xml:space="preserve">张 </w:t>
            </w:r>
          </w:p>
          <w:p>
            <w:pPr>
              <w:keepNext w:val="0"/>
              <w:keepLines w:val="0"/>
              <w:pageBreakBefore w:val="0"/>
              <w:widowControl w:val="0"/>
              <w:kinsoku/>
              <w:wordWrap/>
              <w:overflowPunct/>
              <w:topLinePunct w:val="0"/>
              <w:autoSpaceDE/>
              <w:autoSpaceDN/>
              <w:bidi w:val="0"/>
              <w:adjustRightInd/>
              <w:snapToGrid w:val="0"/>
              <w:ind w:left="361" w:hanging="361" w:hangingChars="200"/>
              <w:jc w:val="left"/>
              <w:textAlignment w:val="auto"/>
              <w:rPr>
                <w:rFonts w:hint="eastAsia" w:ascii="宋体" w:hAnsi="宋体" w:eastAsia="宋体" w:cs="宋体"/>
                <w:b/>
                <w:sz w:val="18"/>
                <w:szCs w:val="18"/>
              </w:rPr>
            </w:pPr>
            <w:r>
              <w:rPr>
                <w:rFonts w:hint="eastAsia" w:ascii="宋体" w:hAnsi="宋体" w:eastAsia="宋体" w:cs="宋体"/>
                <w:b/>
                <w:sz w:val="18"/>
                <w:szCs w:val="18"/>
              </w:rPr>
              <w:t>3.2签证单（复印件）</w:t>
            </w:r>
            <w:r>
              <w:rPr>
                <w:rFonts w:hint="eastAsia" w:ascii="宋体" w:hAnsi="宋体" w:eastAsia="宋体" w:cs="宋体"/>
                <w:b/>
                <w:sz w:val="18"/>
                <w:szCs w:val="18"/>
                <w:u w:val="single"/>
              </w:rPr>
              <w:t xml:space="preserve">      </w:t>
            </w:r>
            <w:r>
              <w:rPr>
                <w:rFonts w:hint="eastAsia" w:ascii="宋体" w:hAnsi="宋体" w:eastAsia="宋体" w:cs="宋体"/>
                <w:b/>
                <w:sz w:val="18"/>
                <w:szCs w:val="18"/>
              </w:rPr>
              <w:t>页</w:t>
            </w:r>
          </w:p>
          <w:p>
            <w:pPr>
              <w:keepNext w:val="0"/>
              <w:keepLines w:val="0"/>
              <w:pageBreakBefore w:val="0"/>
              <w:widowControl w:val="0"/>
              <w:kinsoku/>
              <w:wordWrap/>
              <w:overflowPunct/>
              <w:topLinePunct w:val="0"/>
              <w:autoSpaceDE/>
              <w:autoSpaceDN/>
              <w:bidi w:val="0"/>
              <w:adjustRightInd/>
              <w:snapToGrid w:val="0"/>
              <w:ind w:left="271" w:hanging="271" w:hangingChars="150"/>
              <w:jc w:val="left"/>
              <w:textAlignment w:val="auto"/>
              <w:rPr>
                <w:rFonts w:hint="eastAsia" w:ascii="宋体" w:hAnsi="宋体" w:eastAsia="宋体" w:cs="宋体"/>
                <w:b/>
                <w:sz w:val="18"/>
                <w:szCs w:val="18"/>
              </w:rPr>
            </w:pPr>
            <w:r>
              <w:rPr>
                <w:rFonts w:hint="eastAsia" w:ascii="宋体" w:hAnsi="宋体" w:eastAsia="宋体" w:cs="宋体"/>
                <w:b/>
                <w:sz w:val="18"/>
                <w:szCs w:val="18"/>
              </w:rPr>
              <w:t>3.3分包单位报价单（原件）</w:t>
            </w:r>
            <w:r>
              <w:rPr>
                <w:rFonts w:hint="eastAsia" w:ascii="宋体" w:hAnsi="宋体" w:eastAsia="宋体" w:cs="宋体"/>
                <w:b/>
                <w:sz w:val="18"/>
                <w:szCs w:val="18"/>
                <w:u w:val="single"/>
              </w:rPr>
              <w:t xml:space="preserve">   </w:t>
            </w:r>
            <w:r>
              <w:rPr>
                <w:rFonts w:hint="eastAsia" w:ascii="宋体" w:hAnsi="宋体" w:eastAsia="宋体" w:cs="宋体"/>
                <w:b/>
                <w:sz w:val="18"/>
                <w:szCs w:val="18"/>
              </w:rPr>
              <w:t xml:space="preserve">页 </w:t>
            </w:r>
          </w:p>
          <w:p>
            <w:pPr>
              <w:keepNext w:val="0"/>
              <w:keepLines w:val="0"/>
              <w:pageBreakBefore w:val="0"/>
              <w:widowControl w:val="0"/>
              <w:kinsoku/>
              <w:wordWrap/>
              <w:overflowPunct/>
              <w:topLinePunct w:val="0"/>
              <w:autoSpaceDE/>
              <w:autoSpaceDN/>
              <w:bidi w:val="0"/>
              <w:adjustRightInd/>
              <w:snapToGrid w:val="0"/>
              <w:jc w:val="left"/>
              <w:textAlignment w:val="auto"/>
              <w:rPr>
                <w:rFonts w:hint="eastAsia" w:ascii="宋体" w:hAnsi="宋体" w:eastAsia="宋体" w:cs="宋体"/>
                <w:b/>
                <w:sz w:val="18"/>
                <w:szCs w:val="18"/>
              </w:rPr>
            </w:pPr>
            <w:r>
              <w:rPr>
                <w:rFonts w:hint="eastAsia" w:ascii="宋体" w:hAnsi="宋体" w:eastAsia="宋体" w:cs="宋体"/>
                <w:b/>
                <w:sz w:val="18"/>
                <w:szCs w:val="18"/>
              </w:rPr>
              <w:t>3.4其他资料</w:t>
            </w:r>
            <w:r>
              <w:rPr>
                <w:rFonts w:hint="eastAsia" w:ascii="宋体" w:hAnsi="宋体" w:eastAsia="宋体" w:cs="宋体"/>
                <w:b/>
                <w:sz w:val="18"/>
                <w:szCs w:val="18"/>
                <w:u w:val="single"/>
              </w:rPr>
              <w:t xml:space="preserve">   </w:t>
            </w:r>
            <w:r>
              <w:rPr>
                <w:rFonts w:hint="eastAsia" w:ascii="宋体" w:hAnsi="宋体" w:eastAsia="宋体" w:cs="宋体"/>
                <w:b/>
                <w:sz w:val="18"/>
                <w:szCs w:val="18"/>
              </w:rPr>
              <w:t>页</w:t>
            </w:r>
          </w:p>
        </w:tc>
        <w:tc>
          <w:tcPr>
            <w:tcW w:w="6969" w:type="dxa"/>
            <w:noWrap w:val="0"/>
            <w:vAlign w:val="center"/>
          </w:tcPr>
          <w:p>
            <w:pPr>
              <w:ind w:right="284"/>
              <w:jc w:val="left"/>
              <w:rPr>
                <w:rFonts w:hint="eastAsia" w:ascii="宋体" w:hAnsi="宋体" w:eastAsia="宋体" w:cs="宋体"/>
                <w:b/>
                <w:sz w:val="18"/>
                <w:szCs w:val="18"/>
              </w:rPr>
            </w:pPr>
          </w:p>
          <w:p>
            <w:pPr>
              <w:ind w:right="284"/>
              <w:jc w:val="left"/>
              <w:rPr>
                <w:rFonts w:hint="eastAsia" w:ascii="宋体" w:hAnsi="宋体" w:eastAsia="宋体" w:cs="宋体"/>
                <w:b/>
                <w:sz w:val="18"/>
                <w:szCs w:val="18"/>
              </w:rPr>
            </w:pPr>
          </w:p>
          <w:p>
            <w:pPr>
              <w:ind w:right="284"/>
              <w:jc w:val="left"/>
              <w:rPr>
                <w:rFonts w:hint="eastAsia" w:ascii="宋体" w:hAnsi="宋体" w:eastAsia="宋体" w:cs="宋体"/>
                <w:b/>
                <w:sz w:val="18"/>
                <w:szCs w:val="18"/>
              </w:rPr>
            </w:pPr>
          </w:p>
          <w:p>
            <w:pPr>
              <w:ind w:right="284"/>
              <w:jc w:val="left"/>
              <w:rPr>
                <w:rFonts w:hint="eastAsia" w:ascii="宋体" w:hAnsi="宋体" w:eastAsia="宋体" w:cs="宋体"/>
                <w:b/>
                <w:sz w:val="18"/>
                <w:szCs w:val="18"/>
              </w:rPr>
            </w:pPr>
          </w:p>
          <w:p>
            <w:pPr>
              <w:ind w:right="284"/>
              <w:jc w:val="left"/>
              <w:rPr>
                <w:rFonts w:hint="eastAsia" w:ascii="宋体" w:hAnsi="宋体" w:eastAsia="宋体" w:cs="宋体"/>
                <w:b/>
                <w:sz w:val="18"/>
                <w:szCs w:val="18"/>
              </w:rPr>
            </w:pPr>
          </w:p>
          <w:p>
            <w:pPr>
              <w:ind w:right="284"/>
              <w:jc w:val="left"/>
              <w:rPr>
                <w:rFonts w:hint="eastAsia" w:ascii="宋体" w:hAnsi="宋体" w:eastAsia="宋体" w:cs="宋体"/>
                <w:b/>
                <w:sz w:val="18"/>
                <w:szCs w:val="18"/>
              </w:rPr>
            </w:pPr>
          </w:p>
          <w:p>
            <w:pPr>
              <w:ind w:right="284"/>
              <w:jc w:val="left"/>
              <w:rPr>
                <w:rFonts w:hint="eastAsia" w:ascii="宋体" w:hAnsi="宋体" w:eastAsia="宋体" w:cs="宋体"/>
                <w:b/>
                <w:sz w:val="18"/>
                <w:szCs w:val="18"/>
              </w:rPr>
            </w:pPr>
          </w:p>
          <w:p>
            <w:pPr>
              <w:ind w:right="284"/>
              <w:jc w:val="left"/>
              <w:rPr>
                <w:rFonts w:hint="eastAsia" w:ascii="宋体" w:hAnsi="宋体" w:eastAsia="宋体" w:cs="宋体"/>
                <w:b/>
                <w:sz w:val="18"/>
                <w:szCs w:val="18"/>
              </w:rPr>
            </w:pPr>
          </w:p>
          <w:p>
            <w:pPr>
              <w:ind w:right="284"/>
              <w:jc w:val="left"/>
              <w:rPr>
                <w:rFonts w:hint="eastAsia" w:ascii="宋体" w:hAnsi="宋体" w:eastAsia="宋体" w:cs="宋体"/>
                <w:b/>
                <w:sz w:val="18"/>
                <w:szCs w:val="18"/>
              </w:rPr>
            </w:pPr>
          </w:p>
          <w:p>
            <w:pPr>
              <w:rPr>
                <w:rFonts w:hint="eastAsia" w:ascii="宋体" w:hAnsi="宋体" w:eastAsia="宋体" w:cs="宋体"/>
                <w:b/>
                <w:sz w:val="18"/>
                <w:szCs w:val="18"/>
              </w:rPr>
            </w:pPr>
          </w:p>
          <w:p>
            <w:pPr>
              <w:ind w:right="284"/>
              <w:jc w:val="left"/>
              <w:rPr>
                <w:rFonts w:hint="eastAsia" w:ascii="宋体" w:hAnsi="宋体" w:eastAsia="宋体" w:cs="宋体"/>
                <w:b/>
                <w:sz w:val="18"/>
                <w:szCs w:val="18"/>
              </w:rPr>
            </w:pPr>
            <w:r>
              <w:rPr>
                <w:rFonts w:hint="eastAsia" w:ascii="宋体" w:hAnsi="宋体" w:eastAsia="宋体" w:cs="宋体"/>
                <w:b/>
                <w:sz w:val="18"/>
                <w:szCs w:val="18"/>
              </w:rPr>
              <w:t>施工员/经办人:                     项目经理：            日期：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08" w:hRule="exact"/>
        </w:trPr>
        <w:tc>
          <w:tcPr>
            <w:tcW w:w="1701" w:type="dxa"/>
            <w:noWrap w:val="0"/>
            <w:vAlign w:val="center"/>
          </w:tcPr>
          <w:p>
            <w:pPr>
              <w:ind w:firstLine="271" w:firstLineChars="150"/>
              <w:rPr>
                <w:rFonts w:hint="eastAsia" w:ascii="宋体" w:hAnsi="宋体" w:eastAsia="宋体" w:cs="宋体"/>
                <w:b/>
                <w:sz w:val="18"/>
                <w:szCs w:val="18"/>
              </w:rPr>
            </w:pPr>
            <w:r>
              <w:rPr>
                <w:rFonts w:hint="eastAsia" w:ascii="宋体" w:hAnsi="宋体" w:eastAsia="宋体" w:cs="宋体"/>
                <w:b/>
                <w:sz w:val="18"/>
                <w:szCs w:val="18"/>
              </w:rPr>
              <w:t>工程部意见</w:t>
            </w:r>
          </w:p>
        </w:tc>
        <w:tc>
          <w:tcPr>
            <w:tcW w:w="6969" w:type="dxa"/>
            <w:noWrap w:val="0"/>
            <w:vAlign w:val="top"/>
          </w:tcPr>
          <w:p>
            <w:pPr>
              <w:wordWrap w:val="0"/>
              <w:ind w:right="644"/>
              <w:rPr>
                <w:rFonts w:hint="eastAsia" w:ascii="宋体" w:hAnsi="宋体" w:eastAsia="宋体" w:cs="宋体"/>
                <w:b/>
                <w:sz w:val="18"/>
                <w:szCs w:val="18"/>
              </w:rPr>
            </w:pPr>
            <w:r>
              <w:rPr>
                <w:rFonts w:hint="eastAsia" w:ascii="宋体" w:hAnsi="宋体" w:eastAsia="宋体" w:cs="宋体"/>
                <w:b/>
                <w:sz w:val="18"/>
                <w:szCs w:val="18"/>
              </w:rPr>
              <w:t xml:space="preserve">          </w:t>
            </w:r>
          </w:p>
          <w:p>
            <w:pPr>
              <w:wordWrap w:val="0"/>
              <w:ind w:right="644"/>
              <w:rPr>
                <w:rFonts w:hint="eastAsia" w:ascii="宋体" w:hAnsi="宋体" w:eastAsia="宋体" w:cs="宋体"/>
                <w:b/>
                <w:sz w:val="18"/>
                <w:szCs w:val="18"/>
              </w:rPr>
            </w:pPr>
          </w:p>
          <w:p>
            <w:pPr>
              <w:wordWrap w:val="0"/>
              <w:ind w:right="644"/>
              <w:jc w:val="center"/>
              <w:rPr>
                <w:rFonts w:hint="eastAsia" w:ascii="宋体" w:hAnsi="宋体" w:eastAsia="宋体" w:cs="宋体"/>
                <w:b/>
                <w:sz w:val="18"/>
                <w:szCs w:val="18"/>
              </w:rPr>
            </w:pPr>
            <w:r>
              <w:rPr>
                <w:rFonts w:hint="eastAsia" w:ascii="宋体" w:hAnsi="宋体" w:eastAsia="宋体" w:cs="宋体"/>
                <w:b/>
                <w:sz w:val="18"/>
                <w:szCs w:val="18"/>
                <w:lang w:val="en-US" w:eastAsia="zh-CN"/>
              </w:rPr>
              <w:t xml:space="preserve">                              </w:t>
            </w:r>
            <w:r>
              <w:rPr>
                <w:rFonts w:hint="eastAsia" w:ascii="宋体" w:hAnsi="宋体" w:eastAsia="宋体" w:cs="宋体"/>
                <w:b/>
                <w:sz w:val="18"/>
                <w:szCs w:val="18"/>
              </w:rPr>
              <w:t>负责人：              日期：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27" w:hRule="exact"/>
        </w:trPr>
        <w:tc>
          <w:tcPr>
            <w:tcW w:w="1701" w:type="dxa"/>
            <w:noWrap w:val="0"/>
            <w:vAlign w:val="center"/>
          </w:tcPr>
          <w:p>
            <w:pPr>
              <w:jc w:val="center"/>
              <w:rPr>
                <w:rFonts w:hint="eastAsia" w:ascii="宋体" w:hAnsi="宋体" w:eastAsia="宋体" w:cs="宋体"/>
                <w:b/>
                <w:sz w:val="18"/>
                <w:szCs w:val="18"/>
              </w:rPr>
            </w:pPr>
            <w:r>
              <w:rPr>
                <w:rFonts w:hint="eastAsia" w:ascii="宋体" w:hAnsi="宋体" w:eastAsia="宋体" w:cs="宋体"/>
                <w:b/>
                <w:sz w:val="18"/>
                <w:szCs w:val="18"/>
              </w:rPr>
              <w:t>成本中心意见</w:t>
            </w:r>
          </w:p>
        </w:tc>
        <w:tc>
          <w:tcPr>
            <w:tcW w:w="6969" w:type="dxa"/>
            <w:noWrap w:val="0"/>
            <w:vAlign w:val="top"/>
          </w:tcPr>
          <w:p>
            <w:pPr>
              <w:wordWrap w:val="0"/>
              <w:ind w:right="644"/>
              <w:rPr>
                <w:rFonts w:hint="eastAsia" w:ascii="宋体" w:hAnsi="宋体" w:eastAsia="宋体" w:cs="宋体"/>
                <w:b/>
                <w:sz w:val="18"/>
                <w:szCs w:val="18"/>
              </w:rPr>
            </w:pPr>
            <w:r>
              <w:rPr>
                <w:rFonts w:hint="eastAsia" w:ascii="宋体" w:hAnsi="宋体" w:eastAsia="宋体" w:cs="宋体"/>
                <w:b/>
                <w:sz w:val="18"/>
                <w:szCs w:val="18"/>
              </w:rPr>
              <w:t xml:space="preserve">          </w:t>
            </w:r>
          </w:p>
          <w:p>
            <w:pPr>
              <w:wordWrap w:val="0"/>
              <w:ind w:right="644"/>
              <w:rPr>
                <w:rFonts w:hint="eastAsia" w:ascii="宋体" w:hAnsi="宋体" w:eastAsia="宋体" w:cs="宋体"/>
                <w:b/>
                <w:sz w:val="18"/>
                <w:szCs w:val="18"/>
              </w:rPr>
            </w:pPr>
          </w:p>
          <w:p>
            <w:pPr>
              <w:wordWrap w:val="0"/>
              <w:ind w:right="644" w:firstLine="3253" w:firstLineChars="1800"/>
              <w:rPr>
                <w:rFonts w:hint="eastAsia" w:ascii="宋体" w:hAnsi="宋体" w:eastAsia="宋体" w:cs="宋体"/>
                <w:b/>
                <w:sz w:val="18"/>
                <w:szCs w:val="18"/>
              </w:rPr>
            </w:pPr>
            <w:r>
              <w:rPr>
                <w:rFonts w:hint="eastAsia" w:ascii="宋体" w:hAnsi="宋体" w:eastAsia="宋体" w:cs="宋体"/>
                <w:b/>
                <w:sz w:val="18"/>
                <w:szCs w:val="18"/>
              </w:rPr>
              <w:t>负责人：              日期：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68" w:hRule="exact"/>
        </w:trPr>
        <w:tc>
          <w:tcPr>
            <w:tcW w:w="1701" w:type="dxa"/>
            <w:noWrap w:val="0"/>
            <w:vAlign w:val="center"/>
          </w:tcPr>
          <w:p>
            <w:pPr>
              <w:jc w:val="center"/>
              <w:rPr>
                <w:rFonts w:hint="eastAsia" w:ascii="宋体" w:hAnsi="宋体" w:eastAsia="宋体" w:cs="宋体"/>
                <w:b/>
                <w:sz w:val="18"/>
                <w:szCs w:val="18"/>
              </w:rPr>
            </w:pPr>
            <w:r>
              <w:rPr>
                <w:rFonts w:hint="eastAsia" w:ascii="宋体" w:hAnsi="宋体" w:eastAsia="宋体" w:cs="宋体"/>
                <w:b/>
                <w:sz w:val="18"/>
                <w:szCs w:val="18"/>
              </w:rPr>
              <w:t>招采中心意见</w:t>
            </w:r>
          </w:p>
        </w:tc>
        <w:tc>
          <w:tcPr>
            <w:tcW w:w="6969" w:type="dxa"/>
            <w:noWrap w:val="0"/>
            <w:vAlign w:val="top"/>
          </w:tcPr>
          <w:p>
            <w:pPr>
              <w:wordWrap w:val="0"/>
              <w:ind w:right="644"/>
              <w:rPr>
                <w:rFonts w:hint="eastAsia" w:ascii="宋体" w:hAnsi="宋体" w:eastAsia="宋体" w:cs="宋体"/>
                <w:b/>
                <w:sz w:val="18"/>
                <w:szCs w:val="18"/>
              </w:rPr>
            </w:pPr>
            <w:r>
              <w:rPr>
                <w:rFonts w:hint="eastAsia" w:ascii="宋体" w:hAnsi="宋体" w:eastAsia="宋体" w:cs="宋体"/>
                <w:b/>
                <w:sz w:val="18"/>
                <w:szCs w:val="18"/>
              </w:rPr>
              <w:t xml:space="preserve">          </w:t>
            </w:r>
          </w:p>
          <w:p>
            <w:pPr>
              <w:wordWrap w:val="0"/>
              <w:ind w:right="644" w:firstLine="5331" w:firstLineChars="2950"/>
              <w:rPr>
                <w:rFonts w:hint="eastAsia" w:ascii="宋体" w:hAnsi="宋体" w:eastAsia="宋体" w:cs="宋体"/>
                <w:b/>
                <w:sz w:val="18"/>
                <w:szCs w:val="18"/>
              </w:rPr>
            </w:pPr>
          </w:p>
          <w:p>
            <w:pPr>
              <w:wordWrap w:val="0"/>
              <w:ind w:right="644" w:firstLine="3253" w:firstLineChars="1800"/>
              <w:rPr>
                <w:rFonts w:hint="eastAsia" w:ascii="宋体" w:hAnsi="宋体" w:eastAsia="宋体" w:cs="宋体"/>
                <w:b/>
                <w:sz w:val="18"/>
                <w:szCs w:val="18"/>
              </w:rPr>
            </w:pPr>
            <w:r>
              <w:rPr>
                <w:rFonts w:hint="eastAsia" w:ascii="宋体" w:hAnsi="宋体" w:eastAsia="宋体" w:cs="宋体"/>
                <w:b/>
                <w:sz w:val="18"/>
                <w:szCs w:val="18"/>
              </w:rPr>
              <w:t xml:space="preserve">负责人：           </w:t>
            </w:r>
            <w:r>
              <w:rPr>
                <w:rFonts w:hint="eastAsia" w:ascii="宋体" w:hAnsi="宋体" w:eastAsia="宋体" w:cs="宋体"/>
                <w:b/>
                <w:sz w:val="18"/>
                <w:szCs w:val="18"/>
                <w:lang w:val="en-US" w:eastAsia="zh-CN"/>
              </w:rPr>
              <w:t xml:space="preserve"> </w:t>
            </w:r>
            <w:r>
              <w:rPr>
                <w:rFonts w:hint="eastAsia" w:ascii="宋体" w:hAnsi="宋体" w:eastAsia="宋体" w:cs="宋体"/>
                <w:b/>
                <w:sz w:val="18"/>
                <w:szCs w:val="18"/>
              </w:rPr>
              <w:t xml:space="preserve">  日期：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20" w:hRule="exact"/>
        </w:trPr>
        <w:tc>
          <w:tcPr>
            <w:tcW w:w="1701" w:type="dxa"/>
            <w:noWrap w:val="0"/>
            <w:vAlign w:val="center"/>
          </w:tcPr>
          <w:p>
            <w:pPr>
              <w:jc w:val="center"/>
              <w:rPr>
                <w:rFonts w:hint="eastAsia" w:ascii="宋体" w:hAnsi="宋体" w:eastAsia="宋体" w:cs="宋体"/>
                <w:b/>
                <w:sz w:val="18"/>
                <w:szCs w:val="18"/>
              </w:rPr>
            </w:pPr>
            <w:r>
              <w:rPr>
                <w:rFonts w:hint="eastAsia" w:ascii="宋体" w:hAnsi="宋体" w:eastAsia="宋体" w:cs="宋体"/>
                <w:b/>
                <w:sz w:val="18"/>
                <w:szCs w:val="18"/>
              </w:rPr>
              <w:t>副总经理意见</w:t>
            </w:r>
          </w:p>
        </w:tc>
        <w:tc>
          <w:tcPr>
            <w:tcW w:w="6969" w:type="dxa"/>
            <w:noWrap w:val="0"/>
            <w:vAlign w:val="top"/>
          </w:tcPr>
          <w:p>
            <w:pPr>
              <w:ind w:right="284"/>
              <w:jc w:val="right"/>
              <w:rPr>
                <w:rFonts w:hint="eastAsia" w:ascii="宋体" w:hAnsi="宋体" w:eastAsia="宋体" w:cs="宋体"/>
                <w:b/>
                <w:sz w:val="11"/>
                <w:szCs w:val="11"/>
              </w:rPr>
            </w:pPr>
          </w:p>
          <w:p>
            <w:pPr>
              <w:keepNext w:val="0"/>
              <w:keepLines w:val="0"/>
              <w:pageBreakBefore w:val="0"/>
              <w:widowControl w:val="0"/>
              <w:kinsoku/>
              <w:wordWrap/>
              <w:overflowPunct/>
              <w:topLinePunct w:val="0"/>
              <w:autoSpaceDE/>
              <w:autoSpaceDN/>
              <w:bidi w:val="0"/>
              <w:adjustRightInd/>
              <w:snapToGrid w:val="0"/>
              <w:ind w:right="283"/>
              <w:jc w:val="both"/>
              <w:textAlignment w:val="auto"/>
              <w:rPr>
                <w:rFonts w:hint="eastAsia" w:ascii="宋体" w:hAnsi="宋体" w:eastAsia="宋体" w:cs="宋体"/>
                <w:b/>
                <w:sz w:val="11"/>
                <w:szCs w:val="11"/>
              </w:rPr>
            </w:pPr>
          </w:p>
          <w:p>
            <w:pPr>
              <w:ind w:right="284"/>
              <w:jc w:val="both"/>
              <w:rPr>
                <w:rFonts w:hint="eastAsia" w:ascii="宋体" w:hAnsi="宋体" w:eastAsia="宋体" w:cs="宋体"/>
                <w:b/>
                <w:sz w:val="11"/>
                <w:szCs w:val="11"/>
              </w:rPr>
            </w:pPr>
          </w:p>
          <w:p>
            <w:pPr>
              <w:wordWrap w:val="0"/>
              <w:ind w:left="0" w:leftChars="0" w:right="374" w:firstLine="2107" w:firstLineChars="1166"/>
              <w:jc w:val="right"/>
              <w:rPr>
                <w:rFonts w:hint="eastAsia" w:ascii="宋体" w:hAnsi="宋体" w:eastAsia="宋体" w:cs="宋体"/>
                <w:b/>
                <w:sz w:val="18"/>
                <w:szCs w:val="18"/>
              </w:rPr>
            </w:pPr>
            <w:r>
              <w:rPr>
                <w:rFonts w:hint="eastAsia" w:ascii="宋体" w:hAnsi="宋体" w:eastAsia="宋体" w:cs="宋体"/>
                <w:b/>
                <w:sz w:val="18"/>
                <w:szCs w:val="18"/>
                <w:lang w:val="en-US" w:eastAsia="zh-CN"/>
              </w:rPr>
              <w:t xml:space="preserve">    </w:t>
            </w:r>
            <w:r>
              <w:rPr>
                <w:rFonts w:hint="eastAsia" w:ascii="宋体" w:hAnsi="宋体" w:eastAsia="宋体" w:cs="宋体"/>
                <w:b/>
                <w:sz w:val="18"/>
                <w:szCs w:val="18"/>
              </w:rPr>
              <w:t xml:space="preserve">副总经理：   </w:t>
            </w:r>
            <w:r>
              <w:rPr>
                <w:rFonts w:hint="eastAsia" w:ascii="宋体" w:hAnsi="宋体" w:eastAsia="宋体" w:cs="宋体"/>
                <w:b/>
                <w:sz w:val="18"/>
                <w:szCs w:val="18"/>
                <w:lang w:val="en-US" w:eastAsia="zh-CN"/>
              </w:rPr>
              <w:t xml:space="preserve"> </w:t>
            </w:r>
            <w:r>
              <w:rPr>
                <w:rFonts w:hint="eastAsia" w:ascii="宋体" w:hAnsi="宋体" w:eastAsia="宋体" w:cs="宋体"/>
                <w:b/>
                <w:sz w:val="18"/>
                <w:szCs w:val="18"/>
              </w:rPr>
              <w:t xml:space="preserve">        日期：       </w:t>
            </w:r>
          </w:p>
          <w:p>
            <w:pPr>
              <w:ind w:right="284"/>
              <w:jc w:val="right"/>
              <w:rPr>
                <w:rFonts w:hint="eastAsia" w:ascii="宋体" w:hAnsi="宋体" w:eastAsia="宋体" w:cs="宋体"/>
                <w:b/>
                <w:sz w:val="18"/>
                <w:szCs w:val="1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56" w:hRule="exact"/>
        </w:trPr>
        <w:tc>
          <w:tcPr>
            <w:tcW w:w="1701" w:type="dxa"/>
            <w:noWrap w:val="0"/>
            <w:vAlign w:val="center"/>
          </w:tcPr>
          <w:p>
            <w:pPr>
              <w:jc w:val="center"/>
              <w:rPr>
                <w:rFonts w:hint="eastAsia" w:ascii="宋体" w:hAnsi="宋体" w:eastAsia="宋体" w:cs="宋体"/>
                <w:b/>
                <w:sz w:val="18"/>
                <w:szCs w:val="18"/>
              </w:rPr>
            </w:pPr>
            <w:r>
              <w:rPr>
                <w:rFonts w:hint="eastAsia" w:ascii="宋体" w:hAnsi="宋体" w:eastAsia="宋体" w:cs="宋体"/>
                <w:b/>
                <w:sz w:val="18"/>
                <w:szCs w:val="18"/>
              </w:rPr>
              <w:t>总经理审批意见</w:t>
            </w:r>
          </w:p>
        </w:tc>
        <w:tc>
          <w:tcPr>
            <w:tcW w:w="6969" w:type="dxa"/>
            <w:noWrap w:val="0"/>
            <w:vAlign w:val="top"/>
          </w:tcPr>
          <w:p>
            <w:pPr>
              <w:ind w:right="504"/>
              <w:rPr>
                <w:rFonts w:hint="eastAsia" w:ascii="宋体" w:hAnsi="宋体" w:eastAsia="宋体" w:cs="宋体"/>
                <w:b/>
                <w:sz w:val="11"/>
                <w:szCs w:val="11"/>
              </w:rPr>
            </w:pPr>
          </w:p>
          <w:p>
            <w:pPr>
              <w:keepNext w:val="0"/>
              <w:keepLines w:val="0"/>
              <w:pageBreakBefore w:val="0"/>
              <w:widowControl w:val="0"/>
              <w:kinsoku/>
              <w:wordWrap/>
              <w:overflowPunct/>
              <w:topLinePunct w:val="0"/>
              <w:autoSpaceDE/>
              <w:autoSpaceDN/>
              <w:bidi w:val="0"/>
              <w:adjustRightInd/>
              <w:snapToGrid w:val="0"/>
              <w:ind w:right="283"/>
              <w:jc w:val="right"/>
              <w:textAlignment w:val="auto"/>
              <w:rPr>
                <w:rFonts w:hint="eastAsia" w:ascii="宋体" w:hAnsi="宋体" w:eastAsia="宋体" w:cs="宋体"/>
                <w:b/>
                <w:sz w:val="11"/>
                <w:szCs w:val="11"/>
              </w:rPr>
            </w:pPr>
          </w:p>
          <w:p>
            <w:pPr>
              <w:wordWrap w:val="0"/>
              <w:ind w:left="0" w:leftChars="0" w:right="464" w:firstLine="220" w:firstLineChars="122"/>
              <w:jc w:val="center"/>
              <w:rPr>
                <w:rFonts w:hint="eastAsia" w:ascii="宋体" w:hAnsi="宋体" w:eastAsia="宋体" w:cs="宋体"/>
                <w:b/>
                <w:sz w:val="18"/>
                <w:szCs w:val="18"/>
                <w:lang w:val="en-US" w:eastAsia="zh-CN"/>
              </w:rPr>
            </w:pPr>
            <w:r>
              <w:rPr>
                <w:rFonts w:hint="eastAsia" w:ascii="宋体" w:hAnsi="宋体" w:eastAsia="宋体" w:cs="宋体"/>
                <w:b/>
                <w:sz w:val="18"/>
                <w:szCs w:val="18"/>
                <w:lang w:val="en-US" w:eastAsia="zh-CN"/>
              </w:rPr>
              <w:t xml:space="preserve">                               </w:t>
            </w:r>
          </w:p>
          <w:p>
            <w:pPr>
              <w:wordWrap w:val="0"/>
              <w:ind w:left="0" w:leftChars="0" w:right="464" w:firstLine="220" w:firstLineChars="122"/>
              <w:jc w:val="center"/>
              <w:rPr>
                <w:rFonts w:hint="eastAsia" w:ascii="宋体" w:hAnsi="宋体" w:eastAsia="宋体" w:cs="宋体"/>
                <w:b/>
                <w:sz w:val="18"/>
                <w:szCs w:val="18"/>
              </w:rPr>
            </w:pPr>
            <w:r>
              <w:rPr>
                <w:rFonts w:hint="eastAsia" w:ascii="宋体" w:hAnsi="宋体" w:eastAsia="宋体" w:cs="宋体"/>
                <w:b/>
                <w:sz w:val="18"/>
                <w:szCs w:val="18"/>
                <w:lang w:val="en-US" w:eastAsia="zh-CN"/>
              </w:rPr>
              <w:t xml:space="preserve">                                 </w:t>
            </w:r>
            <w:r>
              <w:rPr>
                <w:rFonts w:hint="eastAsia" w:ascii="宋体" w:hAnsi="宋体" w:eastAsia="宋体" w:cs="宋体"/>
                <w:b/>
                <w:sz w:val="18"/>
                <w:szCs w:val="18"/>
              </w:rPr>
              <w:t xml:space="preserve">总经理：            </w:t>
            </w:r>
            <w:r>
              <w:rPr>
                <w:rFonts w:hint="eastAsia" w:ascii="宋体" w:hAnsi="宋体" w:eastAsia="宋体" w:cs="宋体"/>
                <w:b/>
                <w:sz w:val="18"/>
                <w:szCs w:val="18"/>
                <w:lang w:val="en-US" w:eastAsia="zh-CN"/>
              </w:rPr>
              <w:t xml:space="preserve"> </w:t>
            </w:r>
            <w:r>
              <w:rPr>
                <w:rFonts w:hint="eastAsia" w:ascii="宋体" w:hAnsi="宋体" w:eastAsia="宋体" w:cs="宋体"/>
                <w:b/>
                <w:sz w:val="18"/>
                <w:szCs w:val="18"/>
              </w:rPr>
              <w:t xml:space="preserve"> 日期：      </w:t>
            </w:r>
          </w:p>
          <w:p>
            <w:pPr>
              <w:ind w:right="284"/>
              <w:jc w:val="right"/>
              <w:rPr>
                <w:rFonts w:hint="eastAsia" w:ascii="宋体" w:hAnsi="宋体" w:eastAsia="宋体" w:cs="宋体"/>
                <w:b/>
                <w:sz w:val="18"/>
                <w:szCs w:val="1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13" w:hRule="exact"/>
        </w:trPr>
        <w:tc>
          <w:tcPr>
            <w:tcW w:w="1701" w:type="dxa"/>
            <w:noWrap w:val="0"/>
            <w:vAlign w:val="center"/>
          </w:tcPr>
          <w:p>
            <w:pPr>
              <w:jc w:val="center"/>
              <w:rPr>
                <w:rFonts w:hint="eastAsia" w:ascii="宋体" w:hAnsi="宋体" w:eastAsia="宋体" w:cs="宋体"/>
                <w:b/>
                <w:sz w:val="18"/>
                <w:szCs w:val="18"/>
              </w:rPr>
            </w:pPr>
            <w:r>
              <w:rPr>
                <w:rFonts w:hint="eastAsia" w:ascii="宋体" w:hAnsi="宋体" w:eastAsia="宋体" w:cs="宋体"/>
                <w:b/>
                <w:sz w:val="18"/>
                <w:szCs w:val="18"/>
              </w:rPr>
              <w:t>董事长审批意见</w:t>
            </w:r>
          </w:p>
        </w:tc>
        <w:tc>
          <w:tcPr>
            <w:tcW w:w="6969" w:type="dxa"/>
            <w:noWrap w:val="0"/>
            <w:vAlign w:val="top"/>
          </w:tcPr>
          <w:p>
            <w:pPr>
              <w:ind w:right="284"/>
              <w:jc w:val="right"/>
              <w:rPr>
                <w:rFonts w:hint="eastAsia" w:ascii="宋体" w:hAnsi="宋体" w:eastAsia="宋体" w:cs="宋体"/>
                <w:b/>
                <w:sz w:val="18"/>
                <w:szCs w:val="18"/>
              </w:rPr>
            </w:pPr>
          </w:p>
          <w:p>
            <w:pPr>
              <w:wordWrap w:val="0"/>
              <w:ind w:left="0" w:leftChars="0" w:right="284" w:firstLine="421" w:firstLineChars="233"/>
              <w:jc w:val="right"/>
              <w:rPr>
                <w:rFonts w:hint="eastAsia" w:ascii="宋体" w:hAnsi="宋体" w:eastAsia="宋体" w:cs="宋体"/>
                <w:b/>
                <w:sz w:val="18"/>
                <w:szCs w:val="18"/>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right="283" w:firstLine="351" w:firstLineChars="233"/>
              <w:jc w:val="right"/>
              <w:textAlignment w:val="auto"/>
              <w:rPr>
                <w:rFonts w:hint="eastAsia" w:ascii="宋体" w:hAnsi="宋体" w:eastAsia="宋体" w:cs="宋体"/>
                <w:b/>
                <w:sz w:val="15"/>
                <w:szCs w:val="15"/>
              </w:rPr>
            </w:pPr>
          </w:p>
          <w:p>
            <w:pPr>
              <w:wordWrap w:val="0"/>
              <w:ind w:left="0" w:leftChars="0" w:right="284" w:firstLine="421" w:firstLineChars="233"/>
              <w:jc w:val="right"/>
              <w:rPr>
                <w:rFonts w:hint="eastAsia" w:ascii="宋体" w:hAnsi="宋体" w:eastAsia="宋体" w:cs="宋体"/>
                <w:b/>
                <w:sz w:val="18"/>
                <w:szCs w:val="18"/>
              </w:rPr>
            </w:pPr>
            <w:r>
              <w:rPr>
                <w:rFonts w:hint="eastAsia" w:ascii="宋体" w:hAnsi="宋体" w:eastAsia="宋体" w:cs="宋体"/>
                <w:b/>
                <w:sz w:val="18"/>
                <w:szCs w:val="18"/>
              </w:rPr>
              <w:t xml:space="preserve">                 </w:t>
            </w:r>
            <w:r>
              <w:rPr>
                <w:rFonts w:hint="eastAsia" w:ascii="宋体" w:hAnsi="宋体" w:eastAsia="宋体" w:cs="宋体"/>
                <w:b/>
                <w:sz w:val="18"/>
                <w:szCs w:val="18"/>
                <w:lang w:val="en-US" w:eastAsia="zh-CN"/>
              </w:rPr>
              <w:t xml:space="preserve">  </w:t>
            </w:r>
            <w:r>
              <w:rPr>
                <w:rFonts w:hint="eastAsia" w:ascii="宋体" w:hAnsi="宋体" w:eastAsia="宋体" w:cs="宋体"/>
                <w:b/>
                <w:sz w:val="18"/>
                <w:szCs w:val="18"/>
              </w:rPr>
              <w:t xml:space="preserve"> </w:t>
            </w:r>
            <w:r>
              <w:rPr>
                <w:rFonts w:hint="eastAsia" w:ascii="宋体" w:hAnsi="宋体" w:eastAsia="宋体" w:cs="宋体"/>
                <w:b/>
                <w:sz w:val="18"/>
                <w:szCs w:val="18"/>
                <w:lang w:val="en-US" w:eastAsia="zh-CN"/>
              </w:rPr>
              <w:t xml:space="preserve">            </w:t>
            </w:r>
            <w:r>
              <w:rPr>
                <w:rFonts w:hint="eastAsia" w:ascii="宋体" w:hAnsi="宋体" w:eastAsia="宋体" w:cs="宋体"/>
                <w:b/>
                <w:sz w:val="18"/>
                <w:szCs w:val="18"/>
              </w:rPr>
              <w:t xml:space="preserve">董事长：          </w:t>
            </w:r>
            <w:r>
              <w:rPr>
                <w:rFonts w:hint="eastAsia" w:ascii="宋体" w:hAnsi="宋体" w:eastAsia="宋体" w:cs="宋体"/>
                <w:b/>
                <w:sz w:val="18"/>
                <w:szCs w:val="18"/>
                <w:lang w:val="en-US" w:eastAsia="zh-CN"/>
              </w:rPr>
              <w:t xml:space="preserve">   </w:t>
            </w:r>
            <w:r>
              <w:rPr>
                <w:rFonts w:hint="eastAsia" w:ascii="宋体" w:hAnsi="宋体" w:eastAsia="宋体" w:cs="宋体"/>
                <w:b/>
                <w:sz w:val="18"/>
                <w:szCs w:val="18"/>
              </w:rPr>
              <w:t xml:space="preserve">日期：          </w:t>
            </w:r>
          </w:p>
        </w:tc>
      </w:tr>
    </w:tbl>
    <w:p>
      <w:pPr>
        <w:keepNext w:val="0"/>
        <w:keepLines w:val="0"/>
        <w:pageBreakBefore w:val="0"/>
        <w:widowControl w:val="0"/>
        <w:kinsoku/>
        <w:wordWrap/>
        <w:overflowPunct/>
        <w:topLinePunct w:val="0"/>
        <w:autoSpaceDE/>
        <w:autoSpaceDN/>
        <w:bidi w:val="0"/>
        <w:adjustRightInd/>
        <w:snapToGrid w:val="0"/>
        <w:ind w:left="993" w:leftChars="150" w:hanging="678" w:hangingChars="450"/>
        <w:textAlignment w:val="auto"/>
        <w:rPr>
          <w:rFonts w:hint="eastAsia" w:ascii="宋体" w:hAnsi="宋体" w:eastAsia="宋体" w:cs="宋体"/>
          <w:b/>
          <w:sz w:val="15"/>
          <w:szCs w:val="15"/>
        </w:rPr>
      </w:pPr>
      <w:r>
        <w:rPr>
          <w:rFonts w:hint="eastAsia" w:ascii="宋体" w:hAnsi="宋体" w:eastAsia="宋体" w:cs="宋体"/>
          <w:b/>
          <w:sz w:val="15"/>
          <w:szCs w:val="15"/>
        </w:rPr>
        <w:t xml:space="preserve">备注：   </w:t>
      </w:r>
      <w:r>
        <w:rPr>
          <w:rFonts w:hint="eastAsia" w:ascii="宋体" w:hAnsi="宋体" w:eastAsia="宋体" w:cs="宋体"/>
          <w:b/>
          <w:sz w:val="15"/>
          <w:szCs w:val="15"/>
          <w:lang w:val="en-US" w:eastAsia="zh-CN"/>
        </w:rPr>
        <w:t>1、</w:t>
      </w:r>
      <w:r>
        <w:rPr>
          <w:rFonts w:hint="eastAsia" w:ascii="宋体" w:hAnsi="宋体" w:eastAsia="宋体" w:cs="宋体"/>
          <w:b/>
          <w:sz w:val="15"/>
          <w:szCs w:val="15"/>
        </w:rPr>
        <w:t>如表内容填写不下，可另加附页详细说明。</w:t>
      </w:r>
    </w:p>
    <w:p>
      <w:pPr>
        <w:keepNext w:val="0"/>
        <w:keepLines w:val="0"/>
        <w:pageBreakBefore w:val="0"/>
        <w:widowControl w:val="0"/>
        <w:kinsoku/>
        <w:wordWrap/>
        <w:overflowPunct/>
        <w:topLinePunct w:val="0"/>
        <w:autoSpaceDE/>
        <w:autoSpaceDN/>
        <w:bidi w:val="0"/>
        <w:adjustRightInd/>
        <w:snapToGrid w:val="0"/>
        <w:spacing w:line="216" w:lineRule="auto"/>
        <w:ind w:left="993" w:leftChars="150" w:hanging="678" w:hangingChars="450"/>
        <w:textAlignment w:val="auto"/>
        <w:rPr>
          <w:rFonts w:hint="eastAsia" w:ascii="宋体" w:hAnsi="宋体" w:eastAsia="宋体" w:cs="宋体"/>
          <w:b/>
          <w:bCs w:val="0"/>
          <w:sz w:val="15"/>
          <w:szCs w:val="15"/>
        </w:rPr>
      </w:pPr>
      <w:r>
        <w:rPr>
          <w:rFonts w:hint="eastAsia" w:ascii="宋体" w:hAnsi="宋体" w:eastAsia="宋体" w:cs="宋体"/>
          <w:b/>
          <w:bCs w:val="0"/>
          <w:sz w:val="15"/>
          <w:szCs w:val="15"/>
        </w:rPr>
        <w:t>填表须知：1、施工员/经办人须按“填表内容”填写完整申报信息，在选择对应的“□”中打“√”。</w:t>
      </w:r>
    </w:p>
    <w:p>
      <w:pPr>
        <w:keepNext w:val="0"/>
        <w:keepLines w:val="0"/>
        <w:pageBreakBefore w:val="0"/>
        <w:widowControl w:val="0"/>
        <w:kinsoku/>
        <w:wordWrap/>
        <w:overflowPunct/>
        <w:topLinePunct w:val="0"/>
        <w:autoSpaceDE/>
        <w:autoSpaceDN/>
        <w:bidi w:val="0"/>
        <w:adjustRightInd/>
        <w:snapToGrid w:val="0"/>
        <w:spacing w:line="216" w:lineRule="auto"/>
        <w:ind w:left="1312" w:leftChars="517" w:hanging="226" w:hangingChars="150"/>
        <w:textAlignment w:val="auto"/>
        <w:rPr>
          <w:rFonts w:hint="eastAsia" w:ascii="宋体" w:hAnsi="宋体" w:eastAsia="宋体" w:cs="宋体"/>
          <w:b/>
          <w:bCs w:val="0"/>
          <w:sz w:val="15"/>
          <w:szCs w:val="15"/>
        </w:rPr>
      </w:pPr>
      <w:r>
        <w:rPr>
          <w:rFonts w:hint="eastAsia" w:ascii="宋体" w:hAnsi="宋体" w:eastAsia="宋体" w:cs="宋体"/>
          <w:b/>
          <w:bCs w:val="0"/>
          <w:sz w:val="15"/>
          <w:szCs w:val="15"/>
        </w:rPr>
        <w:t>2、项目部建议价中，应作出价格分析，比如；该工程共用工XX个工日，每工日XX元，共使用材料XX立方，每立方XX元等（人、材、机）成本分析；或者注明单价参照依据，比如：该项工程与XX项目中XX分项工程的做法内容基本一致，参考XX项目中的XX分项工程单价等。</w:t>
      </w:r>
    </w:p>
    <w:p>
      <w:pPr>
        <w:keepNext w:val="0"/>
        <w:keepLines w:val="0"/>
        <w:pageBreakBefore w:val="0"/>
        <w:widowControl w:val="0"/>
        <w:kinsoku/>
        <w:wordWrap/>
        <w:overflowPunct/>
        <w:topLinePunct w:val="0"/>
        <w:autoSpaceDE/>
        <w:autoSpaceDN/>
        <w:bidi w:val="0"/>
        <w:adjustRightInd/>
        <w:snapToGrid w:val="0"/>
        <w:spacing w:line="216" w:lineRule="auto"/>
        <w:ind w:left="1301" w:leftChars="512" w:hanging="226" w:hangingChars="150"/>
        <w:textAlignment w:val="auto"/>
        <w:rPr>
          <w:rFonts w:hint="eastAsia" w:ascii="宋体" w:hAnsi="宋体" w:eastAsia="宋体" w:cs="宋体"/>
          <w:b/>
          <w:bCs w:val="0"/>
          <w:sz w:val="15"/>
          <w:szCs w:val="15"/>
        </w:rPr>
      </w:pPr>
      <w:r>
        <w:rPr>
          <w:rFonts w:hint="eastAsia" w:ascii="宋体" w:hAnsi="宋体" w:eastAsia="宋体" w:cs="宋体"/>
          <w:b/>
          <w:bCs w:val="0"/>
          <w:sz w:val="15"/>
          <w:szCs w:val="15"/>
        </w:rPr>
        <w:t>3、项目部在收到分包单位单价申报后5天内需将分包单位的单价申报作为本表的附件一并交工程部，由工程部负责汇集各项目应定价的分项工程，按此表程序进行审批。</w:t>
      </w:r>
    </w:p>
    <w:p>
      <w:pPr>
        <w:keepNext w:val="0"/>
        <w:keepLines w:val="0"/>
        <w:pageBreakBefore w:val="0"/>
        <w:widowControl w:val="0"/>
        <w:kinsoku/>
        <w:wordWrap/>
        <w:overflowPunct/>
        <w:topLinePunct w:val="0"/>
        <w:autoSpaceDE/>
        <w:autoSpaceDN/>
        <w:bidi w:val="0"/>
        <w:adjustRightInd/>
        <w:snapToGrid w:val="0"/>
        <w:spacing w:line="216" w:lineRule="auto"/>
        <w:textAlignment w:val="auto"/>
        <w:rPr>
          <w:rFonts w:hint="default" w:ascii="仿宋_GB2312" w:hAnsi="仿宋_GB2312" w:eastAsia="仿宋_GB2312" w:cs="仿宋_GB2312"/>
          <w:b/>
          <w:bCs w:val="0"/>
          <w:color w:val="auto"/>
          <w:sz w:val="40"/>
          <w:szCs w:val="40"/>
          <w:highlight w:val="none"/>
          <w:shd w:val="clear" w:color="auto" w:fill="auto"/>
          <w:lang w:val="en-US" w:eastAsia="zh-CN"/>
        </w:rPr>
      </w:pPr>
      <w:r>
        <w:rPr>
          <w:rFonts w:hint="eastAsia" w:ascii="宋体" w:hAnsi="宋体"/>
          <w:b/>
          <w:bCs w:val="0"/>
          <w:sz w:val="15"/>
          <w:szCs w:val="15"/>
        </w:rPr>
        <w:t xml:space="preserve">              4、各部门填写单价时必须签名并注明日期。</w:t>
      </w:r>
    </w:p>
    <w:p>
      <w:pPr>
        <w:spacing w:line="360" w:lineRule="auto"/>
        <w:ind w:right="-672" w:rightChars="-320"/>
        <w:rPr>
          <w:rFonts w:hint="default" w:ascii="仿宋_GB2312" w:hAnsi="仿宋_GB2312" w:eastAsia="仿宋_GB2312" w:cs="仿宋_GB2312"/>
          <w:b/>
          <w:bCs/>
          <w:i w:val="0"/>
          <w:iCs w:val="0"/>
          <w:color w:val="000000" w:themeColor="text1"/>
          <w:sz w:val="24"/>
          <w:szCs w:val="24"/>
          <w:highlight w:val="none"/>
          <w:lang w:val="en-US" w:eastAsia="zh-CN"/>
          <w14:textFill>
            <w14:solidFill>
              <w14:schemeClr w14:val="tx1"/>
            </w14:solidFill>
          </w14:textFill>
        </w:rPr>
      </w:pPr>
    </w:p>
    <w:p>
      <w:pPr>
        <w:spacing w:line="360" w:lineRule="auto"/>
        <w:ind w:right="-672" w:rightChars="-320" w:firstLine="7630" w:firstLineChars="1900"/>
        <w:rPr>
          <w:rFonts w:hint="eastAsia" w:ascii="仿宋_GB2312" w:hAnsi="仿宋_GB2312" w:eastAsia="仿宋_GB2312" w:cs="仿宋_GB2312"/>
          <w:b/>
          <w:bCs/>
          <w:i w:val="0"/>
          <w:iCs w:val="0"/>
          <w:color w:val="000000" w:themeColor="text1"/>
          <w:sz w:val="40"/>
          <w:szCs w:val="40"/>
          <w:highlight w:val="none"/>
          <w:lang w:val="en-US" w:eastAsia="zh-CN"/>
          <w14:textFill>
            <w14:solidFill>
              <w14:schemeClr w14:val="tx1"/>
            </w14:solidFill>
          </w14:textFill>
        </w:rPr>
      </w:pPr>
      <w:r>
        <w:rPr>
          <w:rFonts w:hint="eastAsia" w:ascii="仿宋_GB2312" w:hAnsi="仿宋_GB2312" w:eastAsia="仿宋_GB2312" w:cs="仿宋_GB2312"/>
          <w:b/>
          <w:bCs/>
          <w:i w:val="0"/>
          <w:iCs w:val="0"/>
          <w:color w:val="000000" w:themeColor="text1"/>
          <w:sz w:val="40"/>
          <w:szCs w:val="40"/>
          <w:highlight w:val="none"/>
          <w:lang w:val="en-US" w:eastAsia="zh-CN"/>
          <w14:textFill>
            <w14:solidFill>
              <w14:schemeClr w14:val="tx1"/>
            </w14:solidFill>
          </w14:textFill>
        </w:rPr>
        <w:t>附件六</w:t>
      </w:r>
    </w:p>
    <w:p>
      <w:pPr>
        <w:spacing w:line="360" w:lineRule="auto"/>
        <w:ind w:right="-672" w:rightChars="-320" w:firstLine="7630" w:firstLineChars="1900"/>
        <w:rPr>
          <w:rFonts w:hint="eastAsia" w:ascii="仿宋_GB2312" w:hAnsi="仿宋_GB2312" w:eastAsia="仿宋_GB2312" w:cs="仿宋_GB2312"/>
          <w:b/>
          <w:bCs/>
          <w:i w:val="0"/>
          <w:iCs w:val="0"/>
          <w:color w:val="000000" w:themeColor="text1"/>
          <w:sz w:val="40"/>
          <w:szCs w:val="40"/>
          <w:highlight w:val="none"/>
          <w:lang w:val="en-US" w:eastAsia="zh-CN"/>
          <w14:textFill>
            <w14:solidFill>
              <w14:schemeClr w14:val="tx1"/>
            </w14:solidFill>
          </w14:textFill>
        </w:rPr>
      </w:pPr>
    </w:p>
    <w:p>
      <w:pPr>
        <w:jc w:val="center"/>
        <w:rPr>
          <w:rFonts w:hint="eastAsia"/>
          <w:b/>
          <w:bCs/>
          <w:color w:val="auto"/>
          <w:sz w:val="44"/>
          <w:szCs w:val="44"/>
          <w:highlight w:val="none"/>
        </w:rPr>
      </w:pPr>
      <w:r>
        <w:rPr>
          <w:rFonts w:hint="eastAsia" w:ascii="宋体" w:hAnsi="宋体" w:cs="宋体"/>
          <w:b/>
          <w:bCs/>
          <w:color w:val="auto"/>
          <w:sz w:val="44"/>
          <w:szCs w:val="44"/>
          <w:highlight w:val="none"/>
        </w:rPr>
        <w:t>工程结算</w:t>
      </w:r>
      <w:r>
        <w:rPr>
          <w:rFonts w:hint="eastAsia"/>
          <w:b/>
          <w:bCs/>
          <w:color w:val="auto"/>
          <w:sz w:val="44"/>
          <w:szCs w:val="44"/>
          <w:highlight w:val="none"/>
        </w:rPr>
        <w:t>支付证明单</w:t>
      </w:r>
    </w:p>
    <w:p>
      <w:pPr>
        <w:jc w:val="center"/>
        <w:rPr>
          <w:rFonts w:hint="eastAsia" w:eastAsia="宋体"/>
          <w:b/>
          <w:bCs/>
          <w:color w:val="auto"/>
          <w:sz w:val="44"/>
          <w:szCs w:val="44"/>
          <w:highlight w:val="none"/>
          <w:lang w:eastAsia="zh-CN"/>
        </w:rPr>
      </w:pPr>
      <w:r>
        <w:rPr>
          <w:rFonts w:hint="eastAsia"/>
          <w:b/>
          <w:bCs/>
          <w:color w:val="auto"/>
          <w:sz w:val="21"/>
          <w:szCs w:val="21"/>
          <w:highlight w:val="none"/>
          <w:lang w:eastAsia="zh-CN"/>
        </w:rPr>
        <w:t>（</w:t>
      </w:r>
      <w:r>
        <w:rPr>
          <w:rFonts w:hint="eastAsia"/>
          <w:b/>
          <w:bCs/>
          <w:color w:val="auto"/>
          <w:sz w:val="21"/>
          <w:szCs w:val="21"/>
          <w:highlight w:val="none"/>
          <w:lang w:val="en-US" w:eastAsia="zh-CN"/>
        </w:rPr>
        <w:t>参考格式</w:t>
      </w:r>
      <w:r>
        <w:rPr>
          <w:rFonts w:hint="eastAsia"/>
          <w:b/>
          <w:bCs/>
          <w:color w:val="auto"/>
          <w:sz w:val="21"/>
          <w:szCs w:val="21"/>
          <w:highlight w:val="none"/>
          <w:lang w:eastAsia="zh-CN"/>
        </w:rPr>
        <w:t>）</w:t>
      </w:r>
    </w:p>
    <w:p>
      <w:pPr>
        <w:jc w:val="center"/>
        <w:rPr>
          <w:color w:val="auto"/>
          <w:sz w:val="32"/>
          <w:szCs w:val="32"/>
          <w:highlight w:val="none"/>
        </w:rPr>
      </w:pPr>
    </w:p>
    <w:tbl>
      <w:tblPr>
        <w:tblStyle w:val="12"/>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4"/>
        <w:gridCol w:w="8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455" w:type="pct"/>
          </w:tcPr>
          <w:p>
            <w:pPr>
              <w:jc w:val="center"/>
              <w:rPr>
                <w:b/>
                <w:color w:val="auto"/>
                <w:sz w:val="30"/>
                <w:szCs w:val="30"/>
                <w:highlight w:val="none"/>
              </w:rPr>
            </w:pPr>
            <w:r>
              <w:rPr>
                <w:rFonts w:hint="eastAsia"/>
                <w:b/>
                <w:color w:val="auto"/>
                <w:sz w:val="30"/>
                <w:szCs w:val="30"/>
                <w:highlight w:val="none"/>
              </w:rPr>
              <w:t>序号</w:t>
            </w:r>
          </w:p>
        </w:tc>
        <w:tc>
          <w:tcPr>
            <w:tcW w:w="4544" w:type="pct"/>
          </w:tcPr>
          <w:p>
            <w:pPr>
              <w:jc w:val="center"/>
              <w:rPr>
                <w:b/>
                <w:color w:val="auto"/>
                <w:sz w:val="30"/>
                <w:szCs w:val="30"/>
                <w:highlight w:val="none"/>
              </w:rPr>
            </w:pPr>
            <w:r>
              <w:rPr>
                <w:rFonts w:hint="eastAsia"/>
                <w:b/>
                <w:color w:val="auto"/>
                <w:sz w:val="30"/>
                <w:szCs w:val="30"/>
                <w:highlight w:val="none"/>
              </w:rPr>
              <w:t>结算明细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color w:val="auto"/>
                <w:sz w:val="30"/>
                <w:szCs w:val="30"/>
                <w:highlight w:val="none"/>
              </w:rPr>
            </w:pPr>
            <w:r>
              <w:rPr>
                <w:rFonts w:hint="eastAsia"/>
                <w:color w:val="auto"/>
                <w:sz w:val="28"/>
                <w:szCs w:val="28"/>
                <w:highlight w:val="none"/>
              </w:rPr>
              <w:t>1</w:t>
            </w:r>
          </w:p>
        </w:tc>
        <w:tc>
          <w:tcPr>
            <w:tcW w:w="4544" w:type="pct"/>
          </w:tcPr>
          <w:p>
            <w:pPr>
              <w:jc w:val="left"/>
              <w:rPr>
                <w:color w:val="auto"/>
                <w:sz w:val="30"/>
                <w:szCs w:val="30"/>
                <w:highlight w:val="none"/>
              </w:rPr>
            </w:pPr>
            <w:r>
              <w:rPr>
                <w:rFonts w:hint="eastAsia"/>
                <w:color w:val="auto"/>
                <w:sz w:val="28"/>
                <w:szCs w:val="28"/>
                <w:highlight w:val="none"/>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color w:val="auto"/>
                <w:sz w:val="28"/>
                <w:szCs w:val="28"/>
                <w:highlight w:val="none"/>
              </w:rPr>
            </w:pPr>
            <w:r>
              <w:rPr>
                <w:rFonts w:hint="eastAsia"/>
                <w:color w:val="auto"/>
                <w:sz w:val="28"/>
                <w:szCs w:val="28"/>
                <w:highlight w:val="none"/>
              </w:rPr>
              <w:t>2</w:t>
            </w:r>
          </w:p>
        </w:tc>
        <w:tc>
          <w:tcPr>
            <w:tcW w:w="4544" w:type="pct"/>
          </w:tcPr>
          <w:p>
            <w:pPr>
              <w:jc w:val="left"/>
              <w:rPr>
                <w:color w:val="auto"/>
                <w:sz w:val="28"/>
                <w:szCs w:val="28"/>
                <w:highlight w:val="none"/>
              </w:rPr>
            </w:pPr>
            <w:r>
              <w:rPr>
                <w:rFonts w:hint="eastAsia"/>
                <w:color w:val="auto"/>
                <w:sz w:val="28"/>
                <w:szCs w:val="28"/>
                <w:highlight w:val="none"/>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color w:val="auto"/>
                <w:sz w:val="28"/>
                <w:szCs w:val="28"/>
                <w:highlight w:val="none"/>
              </w:rPr>
            </w:pPr>
            <w:r>
              <w:rPr>
                <w:rFonts w:hint="eastAsia"/>
                <w:color w:val="auto"/>
                <w:sz w:val="28"/>
                <w:szCs w:val="28"/>
                <w:highlight w:val="none"/>
              </w:rPr>
              <w:t>3</w:t>
            </w:r>
          </w:p>
        </w:tc>
        <w:tc>
          <w:tcPr>
            <w:tcW w:w="4544" w:type="pct"/>
          </w:tcPr>
          <w:p>
            <w:pPr>
              <w:jc w:val="left"/>
              <w:rPr>
                <w:color w:val="auto"/>
                <w:sz w:val="28"/>
                <w:szCs w:val="28"/>
                <w:highlight w:val="none"/>
              </w:rPr>
            </w:pPr>
            <w:r>
              <w:rPr>
                <w:rFonts w:hint="eastAsia"/>
                <w:color w:val="auto"/>
                <w:sz w:val="28"/>
                <w:szCs w:val="28"/>
                <w:highlight w:val="none"/>
              </w:rPr>
              <w:t>合同单位负责人: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color w:val="auto"/>
                <w:sz w:val="28"/>
                <w:szCs w:val="28"/>
                <w:highlight w:val="none"/>
              </w:rPr>
            </w:pPr>
            <w:r>
              <w:rPr>
                <w:rFonts w:hint="eastAsia"/>
                <w:color w:val="auto"/>
                <w:sz w:val="28"/>
                <w:szCs w:val="28"/>
                <w:highlight w:val="none"/>
              </w:rPr>
              <w:t>4</w:t>
            </w:r>
          </w:p>
        </w:tc>
        <w:tc>
          <w:tcPr>
            <w:tcW w:w="4544" w:type="pct"/>
          </w:tcPr>
          <w:p>
            <w:pPr>
              <w:jc w:val="left"/>
              <w:rPr>
                <w:rFonts w:hint="eastAsia"/>
                <w:color w:val="auto"/>
                <w:sz w:val="28"/>
                <w:szCs w:val="28"/>
                <w:highlight w:val="none"/>
              </w:rPr>
            </w:pPr>
            <w:r>
              <w:rPr>
                <w:rFonts w:hint="eastAsia"/>
                <w:color w:val="auto"/>
                <w:sz w:val="28"/>
                <w:szCs w:val="28"/>
                <w:highlight w:val="none"/>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color w:val="auto"/>
                <w:sz w:val="28"/>
                <w:szCs w:val="28"/>
                <w:highlight w:val="none"/>
              </w:rPr>
            </w:pPr>
            <w:r>
              <w:rPr>
                <w:rFonts w:hint="eastAsia"/>
                <w:color w:val="auto"/>
                <w:sz w:val="28"/>
                <w:szCs w:val="28"/>
                <w:highlight w:val="none"/>
              </w:rPr>
              <w:t>5</w:t>
            </w:r>
          </w:p>
        </w:tc>
        <w:tc>
          <w:tcPr>
            <w:tcW w:w="4544" w:type="pct"/>
          </w:tcPr>
          <w:p>
            <w:pPr>
              <w:jc w:val="left"/>
              <w:rPr>
                <w:rFonts w:hint="eastAsia" w:eastAsia="宋体"/>
                <w:color w:val="auto"/>
                <w:sz w:val="28"/>
                <w:szCs w:val="28"/>
                <w:highlight w:val="none"/>
                <w:lang w:val="en-US" w:eastAsia="zh-CN"/>
              </w:rPr>
            </w:pPr>
            <w:r>
              <w:rPr>
                <w:rFonts w:hint="eastAsia"/>
                <w:color w:val="auto"/>
                <w:sz w:val="28"/>
                <w:szCs w:val="28"/>
                <w:highlight w:val="none"/>
              </w:rPr>
              <w:t>合同总价：</w:t>
            </w:r>
            <w:r>
              <w:rPr>
                <w:rFonts w:hint="eastAsia"/>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color w:val="auto"/>
                <w:sz w:val="28"/>
                <w:szCs w:val="28"/>
                <w:highlight w:val="none"/>
              </w:rPr>
            </w:pPr>
            <w:r>
              <w:rPr>
                <w:rFonts w:hint="eastAsia"/>
                <w:color w:val="auto"/>
                <w:sz w:val="28"/>
                <w:szCs w:val="28"/>
                <w:highlight w:val="none"/>
              </w:rPr>
              <w:t>6</w:t>
            </w:r>
          </w:p>
        </w:tc>
        <w:tc>
          <w:tcPr>
            <w:tcW w:w="4544" w:type="pct"/>
          </w:tcPr>
          <w:p>
            <w:pPr>
              <w:jc w:val="left"/>
              <w:rPr>
                <w:rFonts w:hint="default" w:eastAsia="宋体"/>
                <w:color w:val="auto"/>
                <w:sz w:val="28"/>
                <w:szCs w:val="28"/>
                <w:highlight w:val="none"/>
                <w:lang w:val="en-US" w:eastAsia="zh-CN"/>
              </w:rPr>
            </w:pPr>
            <w:r>
              <w:rPr>
                <w:rFonts w:hint="eastAsia"/>
                <w:color w:val="auto"/>
                <w:sz w:val="28"/>
                <w:szCs w:val="28"/>
                <w:highlight w:val="none"/>
              </w:rPr>
              <w:t>结算总价：</w:t>
            </w:r>
            <w:r>
              <w:rPr>
                <w:rFonts w:hint="eastAsia"/>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color w:val="auto"/>
                <w:sz w:val="28"/>
                <w:szCs w:val="28"/>
                <w:highlight w:val="none"/>
              </w:rPr>
            </w:pPr>
            <w:r>
              <w:rPr>
                <w:rFonts w:hint="eastAsia"/>
                <w:color w:val="auto"/>
                <w:sz w:val="28"/>
                <w:szCs w:val="28"/>
                <w:highlight w:val="none"/>
              </w:rPr>
              <w:t>7</w:t>
            </w:r>
          </w:p>
        </w:tc>
        <w:tc>
          <w:tcPr>
            <w:tcW w:w="4544" w:type="pct"/>
          </w:tcPr>
          <w:p>
            <w:pPr>
              <w:jc w:val="left"/>
              <w:rPr>
                <w:color w:val="auto"/>
                <w:sz w:val="28"/>
                <w:szCs w:val="28"/>
                <w:highlight w:val="none"/>
              </w:rPr>
            </w:pPr>
            <w:r>
              <w:rPr>
                <w:rFonts w:hint="eastAsia"/>
                <w:color w:val="auto"/>
                <w:sz w:val="28"/>
                <w:szCs w:val="28"/>
                <w:highlight w:val="none"/>
              </w:rPr>
              <w:t>累计已收款：</w:t>
            </w:r>
            <w:r>
              <w:rPr>
                <w:rFonts w:hint="eastAsia"/>
                <w:color w:val="auto"/>
                <w:sz w:val="28"/>
                <w:szCs w:val="28"/>
                <w:highlight w:val="none"/>
                <w:lang w:val="en-US" w:eastAsia="zh-CN"/>
              </w:rPr>
              <w:t xml:space="preserve">   元</w:t>
            </w:r>
            <w:r>
              <w:rPr>
                <w:rFonts w:hint="eastAsia"/>
                <w:color w:val="auto"/>
                <w:sz w:val="28"/>
                <w:szCs w:val="28"/>
                <w:highlight w:val="none"/>
              </w:rPr>
              <w:t xml:space="preserve">        截止日期：</w:t>
            </w:r>
            <w:r>
              <w:rPr>
                <w:rFonts w:hint="eastAsia"/>
                <w:color w:val="auto"/>
                <w:sz w:val="28"/>
                <w:szCs w:val="28"/>
                <w:highlight w:val="none"/>
                <w:lang w:val="en-US" w:eastAsia="zh-CN"/>
              </w:rPr>
              <w:t xml:space="preserve">202  </w:t>
            </w:r>
            <w:r>
              <w:rPr>
                <w:rFonts w:hint="eastAsia"/>
                <w:color w:val="auto"/>
                <w:sz w:val="28"/>
                <w:szCs w:val="28"/>
                <w:highlight w:val="none"/>
              </w:rPr>
              <w:t>年</w:t>
            </w:r>
            <w:r>
              <w:rPr>
                <w:rFonts w:hint="eastAsia"/>
                <w:color w:val="auto"/>
                <w:sz w:val="28"/>
                <w:szCs w:val="28"/>
                <w:highlight w:val="none"/>
                <w:lang w:val="en-US" w:eastAsia="zh-CN"/>
              </w:rPr>
              <w:t xml:space="preserve">  </w:t>
            </w:r>
            <w:r>
              <w:rPr>
                <w:rFonts w:hint="eastAsia"/>
                <w:color w:val="auto"/>
                <w:sz w:val="28"/>
                <w:szCs w:val="28"/>
                <w:highlight w:val="none"/>
              </w:rPr>
              <w:t>月</w:t>
            </w:r>
            <w:r>
              <w:rPr>
                <w:rFonts w:hint="eastAsia"/>
                <w:color w:val="auto"/>
                <w:sz w:val="28"/>
                <w:szCs w:val="28"/>
                <w:highlight w:val="none"/>
                <w:lang w:val="en-US" w:eastAsia="zh-CN"/>
              </w:rPr>
              <w:t xml:space="preserve">  </w:t>
            </w:r>
            <w:r>
              <w:rPr>
                <w:rFonts w:hint="eastAsia"/>
                <w:color w:val="auto"/>
                <w:sz w:val="28"/>
                <w:szCs w:val="28"/>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color w:val="auto"/>
                <w:sz w:val="28"/>
                <w:szCs w:val="28"/>
                <w:highlight w:val="none"/>
              </w:rPr>
            </w:pPr>
            <w:r>
              <w:rPr>
                <w:rFonts w:hint="eastAsia"/>
                <w:color w:val="auto"/>
                <w:sz w:val="28"/>
                <w:szCs w:val="28"/>
                <w:highlight w:val="none"/>
              </w:rPr>
              <w:t>8</w:t>
            </w:r>
          </w:p>
        </w:tc>
        <w:tc>
          <w:tcPr>
            <w:tcW w:w="4544" w:type="pct"/>
          </w:tcPr>
          <w:p>
            <w:pPr>
              <w:jc w:val="left"/>
              <w:rPr>
                <w:rFonts w:hint="default" w:eastAsia="宋体"/>
                <w:color w:val="auto"/>
                <w:sz w:val="28"/>
                <w:szCs w:val="28"/>
                <w:highlight w:val="none"/>
                <w:lang w:val="en-US" w:eastAsia="zh-CN"/>
              </w:rPr>
            </w:pPr>
            <w:r>
              <w:rPr>
                <w:rFonts w:hint="eastAsia"/>
                <w:color w:val="auto"/>
                <w:sz w:val="28"/>
                <w:szCs w:val="28"/>
                <w:highlight w:val="none"/>
              </w:rPr>
              <w:t>未付款：</w:t>
            </w:r>
            <w:r>
              <w:rPr>
                <w:rFonts w:hint="eastAsia"/>
                <w:color w:val="auto"/>
                <w:sz w:val="28"/>
                <w:szCs w:val="28"/>
                <w:highlight w:val="none"/>
                <w:lang w:val="en-US" w:eastAsia="zh-CN"/>
              </w:rPr>
              <w:t xml:space="preserve">       元</w:t>
            </w:r>
          </w:p>
        </w:tc>
      </w:tr>
    </w:tbl>
    <w:p>
      <w:pPr>
        <w:jc w:val="center"/>
        <w:rPr>
          <w:color w:val="auto"/>
          <w:sz w:val="36"/>
          <w:szCs w:val="36"/>
          <w:highlight w:val="none"/>
        </w:rPr>
      </w:pPr>
    </w:p>
    <w:p>
      <w:pPr>
        <w:jc w:val="center"/>
        <w:rPr>
          <w:rFonts w:ascii="宋体" w:hAnsi="宋体" w:cs="宋体"/>
          <w:color w:val="auto"/>
          <w:sz w:val="28"/>
          <w:szCs w:val="28"/>
          <w:highlight w:val="none"/>
        </w:rPr>
      </w:pPr>
    </w:p>
    <w:p>
      <w:pPr>
        <w:jc w:val="center"/>
        <w:rPr>
          <w:rFonts w:ascii="宋体" w:hAnsi="宋体" w:cs="宋体"/>
          <w:color w:val="auto"/>
          <w:sz w:val="28"/>
          <w:szCs w:val="28"/>
          <w:highlight w:val="none"/>
        </w:rPr>
      </w:pPr>
    </w:p>
    <w:p>
      <w:pPr>
        <w:jc w:val="center"/>
        <w:rPr>
          <w:rFonts w:ascii="宋体" w:hAnsi="宋体" w:cs="宋体"/>
          <w:color w:val="auto"/>
          <w:sz w:val="28"/>
          <w:szCs w:val="28"/>
          <w:highlight w:val="none"/>
        </w:rPr>
      </w:pPr>
    </w:p>
    <w:p>
      <w:pPr>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30"/>
          <w:szCs w:val="30"/>
          <w:highlight w:val="none"/>
        </w:rPr>
        <w:t xml:space="preserve">                               </w:t>
      </w:r>
      <w:r>
        <w:rPr>
          <w:rFonts w:hint="eastAsia" w:ascii="宋体" w:hAnsi="宋体" w:cs="宋体"/>
          <w:color w:val="auto"/>
          <w:sz w:val="30"/>
          <w:szCs w:val="30"/>
          <w:highlight w:val="none"/>
          <w:lang w:val="en-US" w:eastAsia="zh-CN"/>
        </w:rPr>
        <w:t>***</w:t>
      </w:r>
      <w:r>
        <w:rPr>
          <w:rFonts w:hint="eastAsia" w:ascii="宋体" w:hAnsi="宋体" w:cs="宋体"/>
          <w:color w:val="auto"/>
          <w:sz w:val="28"/>
          <w:szCs w:val="28"/>
          <w:highlight w:val="none"/>
        </w:rPr>
        <w:t>有限公司</w:t>
      </w:r>
      <w:r>
        <w:rPr>
          <w:rFonts w:hint="eastAsia" w:ascii="宋体" w:hAnsi="宋体" w:cs="宋体"/>
          <w:color w:val="auto"/>
          <w:sz w:val="28"/>
          <w:szCs w:val="28"/>
          <w:highlight w:val="none"/>
          <w:lang w:val="en-US" w:eastAsia="zh-CN"/>
        </w:rPr>
        <w:t>(加盖公章)</w:t>
      </w:r>
    </w:p>
    <w:p>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202  </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日</w:t>
      </w:r>
    </w:p>
    <w:p>
      <w:pPr>
        <w:spacing w:line="360" w:lineRule="auto"/>
        <w:ind w:right="-672" w:rightChars="-320"/>
        <w:rPr>
          <w:rFonts w:hint="default"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rPr>
          <w:rFonts w:hint="default" w:ascii="仿宋_GB2312" w:hAnsi="仿宋_GB2312" w:eastAsia="仿宋_GB2312" w:cs="仿宋_GB2312"/>
          <w:b/>
          <w:bCs/>
          <w:i w:val="0"/>
          <w:iCs w:val="0"/>
          <w:color w:val="000000" w:themeColor="text1"/>
          <w:sz w:val="40"/>
          <w:szCs w:val="40"/>
          <w:highlight w:val="none"/>
          <w:lang w:val="en-US" w:eastAsia="zh-CN"/>
          <w14:textFill>
            <w14:solidFill>
              <w14:schemeClr w14:val="tx1"/>
            </w14:solidFill>
          </w14:textFill>
        </w:rPr>
      </w:pPr>
    </w:p>
    <w:p>
      <w:pPr>
        <w:spacing w:line="360" w:lineRule="auto"/>
        <w:ind w:right="-672" w:rightChars="-320"/>
        <w:rPr>
          <w:rFonts w:hint="default" w:ascii="仿宋_GB2312" w:hAnsi="仿宋_GB2312" w:eastAsia="仿宋_GB2312" w:cs="仿宋_GB2312"/>
          <w:b/>
          <w:bCs/>
          <w:i w:val="0"/>
          <w:iCs w:val="0"/>
          <w:color w:val="000000" w:themeColor="text1"/>
          <w:sz w:val="40"/>
          <w:szCs w:val="40"/>
          <w:highlight w:val="none"/>
          <w:lang w:val="en-US" w:eastAsia="zh-CN"/>
          <w14:textFill>
            <w14:solidFill>
              <w14:schemeClr w14:val="tx1"/>
            </w14:solidFill>
          </w14:textFill>
        </w:rPr>
      </w:pPr>
    </w:p>
    <w:sectPr>
      <w:footerReference r:id="rId6" w:type="default"/>
      <w:pgSz w:w="11906" w:h="16838"/>
      <w:pgMar w:top="1440" w:right="1587" w:bottom="952" w:left="1587" w:header="96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新宋体">
    <w:panose1 w:val="02010609030101010101"/>
    <w:charset w:val="86"/>
    <w:family w:val="auto"/>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 共</w:t>
                          </w:r>
                          <w:r>
                            <w:rPr>
                              <w:rFonts w:hint="eastAsia"/>
                              <w:lang w:val="en-US" w:eastAsia="zh-CN"/>
                            </w:rPr>
                            <w:t>35</w:t>
                          </w:r>
                          <w:r>
                            <w:t>页</w:t>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WzGPcsoBAACcAwAADgAAAAAAAAABACAAAAAeAQAAZHJzL2Uyb0Rv&#10;Yy54bWxQSwUGAAAAAAYABgBZAQAAWgUAAAAA&#10;">
              <v:fill on="f" focussize="0,0"/>
              <v:stroke on="f"/>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共</w:t>
                    </w:r>
                    <w:r>
                      <w:rPr>
                        <w:rFonts w:hint="eastAsia"/>
                        <w:lang w:val="en-US" w:eastAsia="zh-CN"/>
                      </w:rPr>
                      <w:t>35</w:t>
                    </w:r>
                    <w:r>
                      <w:t>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C06754"/>
    <w:multiLevelType w:val="singleLevel"/>
    <w:tmpl w:val="8AC06754"/>
    <w:lvl w:ilvl="0" w:tentative="0">
      <w:start w:val="2"/>
      <w:numFmt w:val="chineseCounting"/>
      <w:suff w:val="nothing"/>
      <w:lvlText w:val="第%1章、"/>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dit="readOnly"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1N2E3MmIxNzJhM2FkZTY2NjM3MjViOGNmZGZkM2QifQ=="/>
  </w:docVars>
  <w:rsids>
    <w:rsidRoot w:val="00172A27"/>
    <w:rsid w:val="000118A6"/>
    <w:rsid w:val="00014E71"/>
    <w:rsid w:val="00070351"/>
    <w:rsid w:val="00190047"/>
    <w:rsid w:val="00203180"/>
    <w:rsid w:val="00203CC0"/>
    <w:rsid w:val="00213CF6"/>
    <w:rsid w:val="00387CA6"/>
    <w:rsid w:val="003F5F2A"/>
    <w:rsid w:val="005373E8"/>
    <w:rsid w:val="00592882"/>
    <w:rsid w:val="006730BA"/>
    <w:rsid w:val="008102F1"/>
    <w:rsid w:val="00895C57"/>
    <w:rsid w:val="008B3493"/>
    <w:rsid w:val="009224FE"/>
    <w:rsid w:val="009450A4"/>
    <w:rsid w:val="009530E3"/>
    <w:rsid w:val="00AC41BB"/>
    <w:rsid w:val="00AE31A0"/>
    <w:rsid w:val="00B35E9C"/>
    <w:rsid w:val="00B970C4"/>
    <w:rsid w:val="00BC3A1F"/>
    <w:rsid w:val="00BF7D50"/>
    <w:rsid w:val="00C01140"/>
    <w:rsid w:val="00C14B6F"/>
    <w:rsid w:val="00C70D2C"/>
    <w:rsid w:val="00C94BA8"/>
    <w:rsid w:val="00CA1002"/>
    <w:rsid w:val="00CB30A1"/>
    <w:rsid w:val="00D25D47"/>
    <w:rsid w:val="00DF5360"/>
    <w:rsid w:val="00E1609D"/>
    <w:rsid w:val="00E178E3"/>
    <w:rsid w:val="00ED202F"/>
    <w:rsid w:val="011E0CCE"/>
    <w:rsid w:val="013730A5"/>
    <w:rsid w:val="0147153B"/>
    <w:rsid w:val="015765E3"/>
    <w:rsid w:val="01813F60"/>
    <w:rsid w:val="01B5752C"/>
    <w:rsid w:val="01B6046E"/>
    <w:rsid w:val="01BF37C7"/>
    <w:rsid w:val="01C04E49"/>
    <w:rsid w:val="01D26D8C"/>
    <w:rsid w:val="01E26C43"/>
    <w:rsid w:val="021C600F"/>
    <w:rsid w:val="022767E5"/>
    <w:rsid w:val="022C24DE"/>
    <w:rsid w:val="02313F99"/>
    <w:rsid w:val="02391BF0"/>
    <w:rsid w:val="024C0DD3"/>
    <w:rsid w:val="024E1742"/>
    <w:rsid w:val="024F7C95"/>
    <w:rsid w:val="02587777"/>
    <w:rsid w:val="027F2F56"/>
    <w:rsid w:val="02820350"/>
    <w:rsid w:val="02854A8C"/>
    <w:rsid w:val="028873DB"/>
    <w:rsid w:val="02994018"/>
    <w:rsid w:val="02B63659"/>
    <w:rsid w:val="02BF77F6"/>
    <w:rsid w:val="02D037B2"/>
    <w:rsid w:val="02D55869"/>
    <w:rsid w:val="02D768EE"/>
    <w:rsid w:val="02E1776D"/>
    <w:rsid w:val="02FE1B0B"/>
    <w:rsid w:val="033E696D"/>
    <w:rsid w:val="03630182"/>
    <w:rsid w:val="036D65A5"/>
    <w:rsid w:val="03800D34"/>
    <w:rsid w:val="041E4304"/>
    <w:rsid w:val="04332207"/>
    <w:rsid w:val="04340622"/>
    <w:rsid w:val="04467C44"/>
    <w:rsid w:val="04562C00"/>
    <w:rsid w:val="04910D1F"/>
    <w:rsid w:val="049F343C"/>
    <w:rsid w:val="04AB1DE0"/>
    <w:rsid w:val="04B35139"/>
    <w:rsid w:val="04CE3287"/>
    <w:rsid w:val="04D53318"/>
    <w:rsid w:val="04DA0918"/>
    <w:rsid w:val="04DF3C4E"/>
    <w:rsid w:val="04E115DB"/>
    <w:rsid w:val="04E6106A"/>
    <w:rsid w:val="04E77D7D"/>
    <w:rsid w:val="04EB042F"/>
    <w:rsid w:val="04FB7762"/>
    <w:rsid w:val="04FF3EDA"/>
    <w:rsid w:val="050128A7"/>
    <w:rsid w:val="0513728D"/>
    <w:rsid w:val="051C4A8C"/>
    <w:rsid w:val="052027CE"/>
    <w:rsid w:val="05216546"/>
    <w:rsid w:val="053022E6"/>
    <w:rsid w:val="05657FDC"/>
    <w:rsid w:val="056B1570"/>
    <w:rsid w:val="059B1E55"/>
    <w:rsid w:val="05A101F3"/>
    <w:rsid w:val="05AB5E10"/>
    <w:rsid w:val="05AF3F7C"/>
    <w:rsid w:val="05D56967"/>
    <w:rsid w:val="05E732EC"/>
    <w:rsid w:val="05F9301F"/>
    <w:rsid w:val="05FA2136"/>
    <w:rsid w:val="06530982"/>
    <w:rsid w:val="06706AD8"/>
    <w:rsid w:val="06751268"/>
    <w:rsid w:val="06976105"/>
    <w:rsid w:val="06A66D03"/>
    <w:rsid w:val="06D31393"/>
    <w:rsid w:val="06DC2F7F"/>
    <w:rsid w:val="06ED4932"/>
    <w:rsid w:val="06F832D7"/>
    <w:rsid w:val="071716FC"/>
    <w:rsid w:val="07181283"/>
    <w:rsid w:val="073F4A62"/>
    <w:rsid w:val="07513FB1"/>
    <w:rsid w:val="07580BE5"/>
    <w:rsid w:val="075D56E6"/>
    <w:rsid w:val="07602D27"/>
    <w:rsid w:val="076646E5"/>
    <w:rsid w:val="07740BAF"/>
    <w:rsid w:val="07B436A2"/>
    <w:rsid w:val="07B9513E"/>
    <w:rsid w:val="07C02047"/>
    <w:rsid w:val="07E13D6B"/>
    <w:rsid w:val="07E31891"/>
    <w:rsid w:val="07F11F38"/>
    <w:rsid w:val="07F41CF0"/>
    <w:rsid w:val="07F61040"/>
    <w:rsid w:val="07FC5C21"/>
    <w:rsid w:val="081B54CF"/>
    <w:rsid w:val="081B70BC"/>
    <w:rsid w:val="083A6C4A"/>
    <w:rsid w:val="0844216B"/>
    <w:rsid w:val="085547A4"/>
    <w:rsid w:val="085C7B8E"/>
    <w:rsid w:val="086C4388"/>
    <w:rsid w:val="089112ED"/>
    <w:rsid w:val="08A6123D"/>
    <w:rsid w:val="08B374B6"/>
    <w:rsid w:val="08BC34BB"/>
    <w:rsid w:val="08D04EA3"/>
    <w:rsid w:val="08F24A3C"/>
    <w:rsid w:val="08F75BBB"/>
    <w:rsid w:val="08FA1588"/>
    <w:rsid w:val="090207D6"/>
    <w:rsid w:val="09757AB5"/>
    <w:rsid w:val="09760B9C"/>
    <w:rsid w:val="099A1CCF"/>
    <w:rsid w:val="09A56C91"/>
    <w:rsid w:val="09A82D92"/>
    <w:rsid w:val="09C46844"/>
    <w:rsid w:val="09C94AB7"/>
    <w:rsid w:val="09E22A5D"/>
    <w:rsid w:val="09E87633"/>
    <w:rsid w:val="09FB1114"/>
    <w:rsid w:val="09FB55B8"/>
    <w:rsid w:val="09FB7366"/>
    <w:rsid w:val="09FF6F98"/>
    <w:rsid w:val="0A02363F"/>
    <w:rsid w:val="0A2118B5"/>
    <w:rsid w:val="0A454A85"/>
    <w:rsid w:val="0A5922DF"/>
    <w:rsid w:val="0A60366D"/>
    <w:rsid w:val="0A7534ED"/>
    <w:rsid w:val="0A7964DD"/>
    <w:rsid w:val="0A8D3DBE"/>
    <w:rsid w:val="0A9A5DF0"/>
    <w:rsid w:val="0ACE6829"/>
    <w:rsid w:val="0AD62B48"/>
    <w:rsid w:val="0AFA3582"/>
    <w:rsid w:val="0B473C64"/>
    <w:rsid w:val="0B70650A"/>
    <w:rsid w:val="0B7A69B0"/>
    <w:rsid w:val="0BB45F68"/>
    <w:rsid w:val="0BB93035"/>
    <w:rsid w:val="0BD92D6E"/>
    <w:rsid w:val="0BD95485"/>
    <w:rsid w:val="0BDB7D38"/>
    <w:rsid w:val="0BE973BA"/>
    <w:rsid w:val="0BFA3699"/>
    <w:rsid w:val="0C125258"/>
    <w:rsid w:val="0C177688"/>
    <w:rsid w:val="0C1D2B00"/>
    <w:rsid w:val="0C4D2770"/>
    <w:rsid w:val="0C5B0CCA"/>
    <w:rsid w:val="0C711B61"/>
    <w:rsid w:val="0C821608"/>
    <w:rsid w:val="0C945850"/>
    <w:rsid w:val="0C9B273A"/>
    <w:rsid w:val="0CBC5C8A"/>
    <w:rsid w:val="0CC04DC6"/>
    <w:rsid w:val="0CC9374C"/>
    <w:rsid w:val="0CCA5228"/>
    <w:rsid w:val="0CE1709F"/>
    <w:rsid w:val="0CFA729E"/>
    <w:rsid w:val="0D006A41"/>
    <w:rsid w:val="0D0522AA"/>
    <w:rsid w:val="0D077DD0"/>
    <w:rsid w:val="0D162709"/>
    <w:rsid w:val="0D186481"/>
    <w:rsid w:val="0D1E6F0B"/>
    <w:rsid w:val="0D421949"/>
    <w:rsid w:val="0D4536A9"/>
    <w:rsid w:val="0D5D20E6"/>
    <w:rsid w:val="0D723345"/>
    <w:rsid w:val="0D8B6C53"/>
    <w:rsid w:val="0D92142B"/>
    <w:rsid w:val="0D9553DC"/>
    <w:rsid w:val="0D964F5E"/>
    <w:rsid w:val="0DAE068F"/>
    <w:rsid w:val="0DAE649D"/>
    <w:rsid w:val="0DBB3044"/>
    <w:rsid w:val="0DD51C7C"/>
    <w:rsid w:val="0DD56120"/>
    <w:rsid w:val="0DD95C10"/>
    <w:rsid w:val="0DF51C0D"/>
    <w:rsid w:val="0DFE67C9"/>
    <w:rsid w:val="0E060087"/>
    <w:rsid w:val="0E0D6E79"/>
    <w:rsid w:val="0E2055ED"/>
    <w:rsid w:val="0E236E8B"/>
    <w:rsid w:val="0E40102B"/>
    <w:rsid w:val="0E4741D7"/>
    <w:rsid w:val="0E4806A0"/>
    <w:rsid w:val="0E5205B9"/>
    <w:rsid w:val="0E575B4B"/>
    <w:rsid w:val="0E753A46"/>
    <w:rsid w:val="0EA63619"/>
    <w:rsid w:val="0EC341CA"/>
    <w:rsid w:val="0EDD34DE"/>
    <w:rsid w:val="0EF34AB0"/>
    <w:rsid w:val="0EFD148A"/>
    <w:rsid w:val="0F0F5CAE"/>
    <w:rsid w:val="0F1242BB"/>
    <w:rsid w:val="0F3050A6"/>
    <w:rsid w:val="0F450AC6"/>
    <w:rsid w:val="0F465E76"/>
    <w:rsid w:val="0F706264"/>
    <w:rsid w:val="0F9A1418"/>
    <w:rsid w:val="0FA17752"/>
    <w:rsid w:val="0FAE612C"/>
    <w:rsid w:val="0FB22358"/>
    <w:rsid w:val="0FDC5544"/>
    <w:rsid w:val="0FF9577E"/>
    <w:rsid w:val="102F2DAB"/>
    <w:rsid w:val="10352EA6"/>
    <w:rsid w:val="108674CF"/>
    <w:rsid w:val="10922D88"/>
    <w:rsid w:val="109E0A4B"/>
    <w:rsid w:val="10A145F0"/>
    <w:rsid w:val="10A14840"/>
    <w:rsid w:val="10A23752"/>
    <w:rsid w:val="10D40911"/>
    <w:rsid w:val="10D80992"/>
    <w:rsid w:val="11243FFF"/>
    <w:rsid w:val="113718BF"/>
    <w:rsid w:val="11395884"/>
    <w:rsid w:val="11407F98"/>
    <w:rsid w:val="11557E4D"/>
    <w:rsid w:val="11565855"/>
    <w:rsid w:val="11665A0D"/>
    <w:rsid w:val="11733AE4"/>
    <w:rsid w:val="1188642D"/>
    <w:rsid w:val="11D01CF9"/>
    <w:rsid w:val="11D05C06"/>
    <w:rsid w:val="11EB7CC0"/>
    <w:rsid w:val="11F67404"/>
    <w:rsid w:val="12077CFA"/>
    <w:rsid w:val="121B43BF"/>
    <w:rsid w:val="12271A49"/>
    <w:rsid w:val="122907E8"/>
    <w:rsid w:val="122C7D0D"/>
    <w:rsid w:val="12352D67"/>
    <w:rsid w:val="124205D1"/>
    <w:rsid w:val="12635AA8"/>
    <w:rsid w:val="12696E37"/>
    <w:rsid w:val="126E62DF"/>
    <w:rsid w:val="127952CC"/>
    <w:rsid w:val="127E0B34"/>
    <w:rsid w:val="12855AA9"/>
    <w:rsid w:val="12A30FD7"/>
    <w:rsid w:val="12AA36D7"/>
    <w:rsid w:val="12CD386A"/>
    <w:rsid w:val="12F901BB"/>
    <w:rsid w:val="130F3E82"/>
    <w:rsid w:val="13165211"/>
    <w:rsid w:val="132E143F"/>
    <w:rsid w:val="13471AD0"/>
    <w:rsid w:val="134753CA"/>
    <w:rsid w:val="134C478E"/>
    <w:rsid w:val="13781A27"/>
    <w:rsid w:val="13826402"/>
    <w:rsid w:val="13845E89"/>
    <w:rsid w:val="13877EBC"/>
    <w:rsid w:val="13985C26"/>
    <w:rsid w:val="13B14F39"/>
    <w:rsid w:val="14092680"/>
    <w:rsid w:val="14301B15"/>
    <w:rsid w:val="1433594E"/>
    <w:rsid w:val="14564D5E"/>
    <w:rsid w:val="14661880"/>
    <w:rsid w:val="14726477"/>
    <w:rsid w:val="14870CC8"/>
    <w:rsid w:val="148E7ADC"/>
    <w:rsid w:val="1492781C"/>
    <w:rsid w:val="1499025C"/>
    <w:rsid w:val="149B6797"/>
    <w:rsid w:val="149D66D9"/>
    <w:rsid w:val="149D7870"/>
    <w:rsid w:val="149E531C"/>
    <w:rsid w:val="14B678F8"/>
    <w:rsid w:val="14C41530"/>
    <w:rsid w:val="14E07884"/>
    <w:rsid w:val="14F15522"/>
    <w:rsid w:val="150337D5"/>
    <w:rsid w:val="1504174F"/>
    <w:rsid w:val="150F3CC6"/>
    <w:rsid w:val="152F6751"/>
    <w:rsid w:val="1553452D"/>
    <w:rsid w:val="15542020"/>
    <w:rsid w:val="156156EE"/>
    <w:rsid w:val="156F29B6"/>
    <w:rsid w:val="157E0E4B"/>
    <w:rsid w:val="158263AD"/>
    <w:rsid w:val="158C60B3"/>
    <w:rsid w:val="158F501B"/>
    <w:rsid w:val="159452FD"/>
    <w:rsid w:val="15A9794A"/>
    <w:rsid w:val="15AB60E4"/>
    <w:rsid w:val="15AC2665"/>
    <w:rsid w:val="15B036FB"/>
    <w:rsid w:val="15B14B22"/>
    <w:rsid w:val="15BA33B1"/>
    <w:rsid w:val="15CD0276"/>
    <w:rsid w:val="15DB3A80"/>
    <w:rsid w:val="15E16D7A"/>
    <w:rsid w:val="15E46F00"/>
    <w:rsid w:val="15FE0734"/>
    <w:rsid w:val="16041350"/>
    <w:rsid w:val="16151C72"/>
    <w:rsid w:val="161A23FF"/>
    <w:rsid w:val="161F43DC"/>
    <w:rsid w:val="16290B92"/>
    <w:rsid w:val="16297009"/>
    <w:rsid w:val="16343A70"/>
    <w:rsid w:val="16411B20"/>
    <w:rsid w:val="165A618B"/>
    <w:rsid w:val="165C2217"/>
    <w:rsid w:val="167069E6"/>
    <w:rsid w:val="167D7D71"/>
    <w:rsid w:val="169E5ECA"/>
    <w:rsid w:val="16A3500D"/>
    <w:rsid w:val="16A90B55"/>
    <w:rsid w:val="16B36AE1"/>
    <w:rsid w:val="16C15493"/>
    <w:rsid w:val="16C855AF"/>
    <w:rsid w:val="16E42F30"/>
    <w:rsid w:val="16ED4897"/>
    <w:rsid w:val="16FE0496"/>
    <w:rsid w:val="16FE2244"/>
    <w:rsid w:val="172A0C99"/>
    <w:rsid w:val="173C0FBE"/>
    <w:rsid w:val="174C7453"/>
    <w:rsid w:val="17822E75"/>
    <w:rsid w:val="179A1DCD"/>
    <w:rsid w:val="179F296D"/>
    <w:rsid w:val="17A15E0B"/>
    <w:rsid w:val="17AF1790"/>
    <w:rsid w:val="17DE3E23"/>
    <w:rsid w:val="17E53404"/>
    <w:rsid w:val="17EC5092"/>
    <w:rsid w:val="1811244B"/>
    <w:rsid w:val="18187335"/>
    <w:rsid w:val="181D494B"/>
    <w:rsid w:val="183B7D55"/>
    <w:rsid w:val="183C2E3A"/>
    <w:rsid w:val="183D3240"/>
    <w:rsid w:val="18416A30"/>
    <w:rsid w:val="186E09C7"/>
    <w:rsid w:val="18937310"/>
    <w:rsid w:val="189E4F3F"/>
    <w:rsid w:val="18BE792B"/>
    <w:rsid w:val="18CB6A1D"/>
    <w:rsid w:val="18F224FA"/>
    <w:rsid w:val="18FC77C6"/>
    <w:rsid w:val="190D49C0"/>
    <w:rsid w:val="19147224"/>
    <w:rsid w:val="191D4341"/>
    <w:rsid w:val="19206CA1"/>
    <w:rsid w:val="19265A82"/>
    <w:rsid w:val="1938288F"/>
    <w:rsid w:val="19597C05"/>
    <w:rsid w:val="195C7136"/>
    <w:rsid w:val="19705D48"/>
    <w:rsid w:val="197762DD"/>
    <w:rsid w:val="19786A87"/>
    <w:rsid w:val="198B5F6F"/>
    <w:rsid w:val="19A05834"/>
    <w:rsid w:val="19A1648E"/>
    <w:rsid w:val="19B1359D"/>
    <w:rsid w:val="19B24E93"/>
    <w:rsid w:val="19B25567"/>
    <w:rsid w:val="19B7455F"/>
    <w:rsid w:val="19DB4ABE"/>
    <w:rsid w:val="1A015E61"/>
    <w:rsid w:val="1A0667DD"/>
    <w:rsid w:val="1A1B00A3"/>
    <w:rsid w:val="1A366BD3"/>
    <w:rsid w:val="1A402B73"/>
    <w:rsid w:val="1A766342"/>
    <w:rsid w:val="1A903AFB"/>
    <w:rsid w:val="1AA475A6"/>
    <w:rsid w:val="1AC11F06"/>
    <w:rsid w:val="1ACC0721"/>
    <w:rsid w:val="1B022F94"/>
    <w:rsid w:val="1B310517"/>
    <w:rsid w:val="1B3C1FFD"/>
    <w:rsid w:val="1B9118D8"/>
    <w:rsid w:val="1BA16335"/>
    <w:rsid w:val="1BA57132"/>
    <w:rsid w:val="1BA6218E"/>
    <w:rsid w:val="1BAD5FE6"/>
    <w:rsid w:val="1BB13D28"/>
    <w:rsid w:val="1BCE59A7"/>
    <w:rsid w:val="1BDF0508"/>
    <w:rsid w:val="1BE177E6"/>
    <w:rsid w:val="1BEE6D2B"/>
    <w:rsid w:val="1BF5598D"/>
    <w:rsid w:val="1C116575"/>
    <w:rsid w:val="1C305105"/>
    <w:rsid w:val="1C4A1A87"/>
    <w:rsid w:val="1C547B70"/>
    <w:rsid w:val="1C700BEF"/>
    <w:rsid w:val="1C7B17FA"/>
    <w:rsid w:val="1C896A53"/>
    <w:rsid w:val="1C972259"/>
    <w:rsid w:val="1C9D20E2"/>
    <w:rsid w:val="1CA05B4B"/>
    <w:rsid w:val="1CB11B06"/>
    <w:rsid w:val="1CBF2781"/>
    <w:rsid w:val="1CC306E9"/>
    <w:rsid w:val="1CD70D11"/>
    <w:rsid w:val="1CDF09E4"/>
    <w:rsid w:val="1CF42E6E"/>
    <w:rsid w:val="1CF70848"/>
    <w:rsid w:val="1D085BCA"/>
    <w:rsid w:val="1D104A7F"/>
    <w:rsid w:val="1D1074B6"/>
    <w:rsid w:val="1D3C4BFB"/>
    <w:rsid w:val="1D444728"/>
    <w:rsid w:val="1D7711E5"/>
    <w:rsid w:val="1D785D10"/>
    <w:rsid w:val="1D8D5398"/>
    <w:rsid w:val="1DC36C05"/>
    <w:rsid w:val="1DD26A50"/>
    <w:rsid w:val="1DE611EC"/>
    <w:rsid w:val="1DEB0CCB"/>
    <w:rsid w:val="1DFB128B"/>
    <w:rsid w:val="1E052B8D"/>
    <w:rsid w:val="1E0D7210"/>
    <w:rsid w:val="1E481B8A"/>
    <w:rsid w:val="1E641526"/>
    <w:rsid w:val="1E6B19BE"/>
    <w:rsid w:val="1E8A02A3"/>
    <w:rsid w:val="1E933BB9"/>
    <w:rsid w:val="1ECE2E43"/>
    <w:rsid w:val="1EE518CA"/>
    <w:rsid w:val="1EF1268E"/>
    <w:rsid w:val="1EFE4EDD"/>
    <w:rsid w:val="1F026649"/>
    <w:rsid w:val="1F11775E"/>
    <w:rsid w:val="1F1464D9"/>
    <w:rsid w:val="1F176598"/>
    <w:rsid w:val="1F417171"/>
    <w:rsid w:val="1F437CC6"/>
    <w:rsid w:val="1F444EB4"/>
    <w:rsid w:val="1F4F074B"/>
    <w:rsid w:val="1F5A6485"/>
    <w:rsid w:val="1F6D6E09"/>
    <w:rsid w:val="1F881E32"/>
    <w:rsid w:val="1F8D23B7"/>
    <w:rsid w:val="1FB35FEC"/>
    <w:rsid w:val="1FB45B95"/>
    <w:rsid w:val="1FC3519E"/>
    <w:rsid w:val="1FF57B15"/>
    <w:rsid w:val="202076CF"/>
    <w:rsid w:val="202D3B9A"/>
    <w:rsid w:val="20305F21"/>
    <w:rsid w:val="203B28A1"/>
    <w:rsid w:val="204A474C"/>
    <w:rsid w:val="20541126"/>
    <w:rsid w:val="20542ED4"/>
    <w:rsid w:val="2063580D"/>
    <w:rsid w:val="20644136"/>
    <w:rsid w:val="20695B32"/>
    <w:rsid w:val="207B343E"/>
    <w:rsid w:val="20801F1B"/>
    <w:rsid w:val="20994D8B"/>
    <w:rsid w:val="20B35E4D"/>
    <w:rsid w:val="20BB73F7"/>
    <w:rsid w:val="20D364EF"/>
    <w:rsid w:val="20DB1848"/>
    <w:rsid w:val="20DE6C42"/>
    <w:rsid w:val="20E95E3C"/>
    <w:rsid w:val="20EF2BFD"/>
    <w:rsid w:val="21260D15"/>
    <w:rsid w:val="212C2C54"/>
    <w:rsid w:val="212C428E"/>
    <w:rsid w:val="2144119B"/>
    <w:rsid w:val="215D109F"/>
    <w:rsid w:val="215E090F"/>
    <w:rsid w:val="21613AFB"/>
    <w:rsid w:val="2164771A"/>
    <w:rsid w:val="216A13BE"/>
    <w:rsid w:val="21735A99"/>
    <w:rsid w:val="2177331E"/>
    <w:rsid w:val="21837F15"/>
    <w:rsid w:val="219A78C7"/>
    <w:rsid w:val="21A8557E"/>
    <w:rsid w:val="21CE3BBD"/>
    <w:rsid w:val="21D02A2F"/>
    <w:rsid w:val="21E9116B"/>
    <w:rsid w:val="220B1CB9"/>
    <w:rsid w:val="220F05CF"/>
    <w:rsid w:val="22205764"/>
    <w:rsid w:val="224D407F"/>
    <w:rsid w:val="225275BA"/>
    <w:rsid w:val="225E003A"/>
    <w:rsid w:val="227B299A"/>
    <w:rsid w:val="227E692E"/>
    <w:rsid w:val="22801FB0"/>
    <w:rsid w:val="22873A35"/>
    <w:rsid w:val="228E4923"/>
    <w:rsid w:val="228F6446"/>
    <w:rsid w:val="22910410"/>
    <w:rsid w:val="22AE65BE"/>
    <w:rsid w:val="22B63195"/>
    <w:rsid w:val="22C70F1F"/>
    <w:rsid w:val="22DB079D"/>
    <w:rsid w:val="22E5250A"/>
    <w:rsid w:val="22F369D5"/>
    <w:rsid w:val="22F616B5"/>
    <w:rsid w:val="22FD0E5C"/>
    <w:rsid w:val="230778C7"/>
    <w:rsid w:val="231400F2"/>
    <w:rsid w:val="231A510B"/>
    <w:rsid w:val="235F406A"/>
    <w:rsid w:val="236A7616"/>
    <w:rsid w:val="236F7F68"/>
    <w:rsid w:val="2374647C"/>
    <w:rsid w:val="237C3267"/>
    <w:rsid w:val="237C5CD4"/>
    <w:rsid w:val="23A21A79"/>
    <w:rsid w:val="23A3664D"/>
    <w:rsid w:val="23BC326A"/>
    <w:rsid w:val="23BD72DF"/>
    <w:rsid w:val="23DA1E7B"/>
    <w:rsid w:val="23E629DD"/>
    <w:rsid w:val="23E7405F"/>
    <w:rsid w:val="23EA5501"/>
    <w:rsid w:val="24156E1F"/>
    <w:rsid w:val="243E45C7"/>
    <w:rsid w:val="2475240E"/>
    <w:rsid w:val="247955FF"/>
    <w:rsid w:val="24961E78"/>
    <w:rsid w:val="249A6459"/>
    <w:rsid w:val="249F7859"/>
    <w:rsid w:val="24B56686"/>
    <w:rsid w:val="24D665AE"/>
    <w:rsid w:val="24DE36B4"/>
    <w:rsid w:val="25201F1F"/>
    <w:rsid w:val="254C15F2"/>
    <w:rsid w:val="255B2F57"/>
    <w:rsid w:val="256A6BDA"/>
    <w:rsid w:val="256E456D"/>
    <w:rsid w:val="258A399C"/>
    <w:rsid w:val="25B34B41"/>
    <w:rsid w:val="26086C3B"/>
    <w:rsid w:val="261920D8"/>
    <w:rsid w:val="261B0492"/>
    <w:rsid w:val="261D14CE"/>
    <w:rsid w:val="26254703"/>
    <w:rsid w:val="26415CA9"/>
    <w:rsid w:val="26492DAF"/>
    <w:rsid w:val="264D0AF2"/>
    <w:rsid w:val="26571970"/>
    <w:rsid w:val="26655E3B"/>
    <w:rsid w:val="26DC30FF"/>
    <w:rsid w:val="26E75394"/>
    <w:rsid w:val="270B4948"/>
    <w:rsid w:val="27215AAC"/>
    <w:rsid w:val="2723400E"/>
    <w:rsid w:val="273E668C"/>
    <w:rsid w:val="274041B2"/>
    <w:rsid w:val="27594AEA"/>
    <w:rsid w:val="275F5A8A"/>
    <w:rsid w:val="27767BD4"/>
    <w:rsid w:val="27B8643F"/>
    <w:rsid w:val="27C132F1"/>
    <w:rsid w:val="27CB7D80"/>
    <w:rsid w:val="27CD1F54"/>
    <w:rsid w:val="27D86AE1"/>
    <w:rsid w:val="27DD7C53"/>
    <w:rsid w:val="27E014F2"/>
    <w:rsid w:val="281F201A"/>
    <w:rsid w:val="283F090E"/>
    <w:rsid w:val="2844798D"/>
    <w:rsid w:val="28691716"/>
    <w:rsid w:val="2897692D"/>
    <w:rsid w:val="289877FF"/>
    <w:rsid w:val="28C64B8B"/>
    <w:rsid w:val="28CD5F1A"/>
    <w:rsid w:val="28D366FF"/>
    <w:rsid w:val="28D9669A"/>
    <w:rsid w:val="28DF697D"/>
    <w:rsid w:val="291458F7"/>
    <w:rsid w:val="29243F86"/>
    <w:rsid w:val="297B7724"/>
    <w:rsid w:val="29826D04"/>
    <w:rsid w:val="29900559"/>
    <w:rsid w:val="29B6075C"/>
    <w:rsid w:val="29D532D8"/>
    <w:rsid w:val="29EE6148"/>
    <w:rsid w:val="29FB219D"/>
    <w:rsid w:val="2A005E7B"/>
    <w:rsid w:val="2A157B78"/>
    <w:rsid w:val="2A5A558B"/>
    <w:rsid w:val="2A663F30"/>
    <w:rsid w:val="2A6B59EA"/>
    <w:rsid w:val="2A8D5961"/>
    <w:rsid w:val="2A957654"/>
    <w:rsid w:val="2AD92954"/>
    <w:rsid w:val="2AEA2DB3"/>
    <w:rsid w:val="2AEC6B2B"/>
    <w:rsid w:val="2B0B4446"/>
    <w:rsid w:val="2B0B5F38"/>
    <w:rsid w:val="2B230BF3"/>
    <w:rsid w:val="2B471FB3"/>
    <w:rsid w:val="2B676CD8"/>
    <w:rsid w:val="2B6E0B76"/>
    <w:rsid w:val="2B88437A"/>
    <w:rsid w:val="2B88534B"/>
    <w:rsid w:val="2BB4516F"/>
    <w:rsid w:val="2BCD2F8E"/>
    <w:rsid w:val="2BE55328"/>
    <w:rsid w:val="2BFF463C"/>
    <w:rsid w:val="2C0E487F"/>
    <w:rsid w:val="2C133886"/>
    <w:rsid w:val="2C161986"/>
    <w:rsid w:val="2C180916"/>
    <w:rsid w:val="2C1E35F3"/>
    <w:rsid w:val="2C35005E"/>
    <w:rsid w:val="2C4F5B19"/>
    <w:rsid w:val="2C505CDF"/>
    <w:rsid w:val="2C521589"/>
    <w:rsid w:val="2C526E62"/>
    <w:rsid w:val="2C5524AE"/>
    <w:rsid w:val="2C6E3292"/>
    <w:rsid w:val="2C7E4AF1"/>
    <w:rsid w:val="2C862B2D"/>
    <w:rsid w:val="2C8974AE"/>
    <w:rsid w:val="2C901738"/>
    <w:rsid w:val="2C9651E0"/>
    <w:rsid w:val="2C9E07D1"/>
    <w:rsid w:val="2CA034F5"/>
    <w:rsid w:val="2CA64AB8"/>
    <w:rsid w:val="2CC118F2"/>
    <w:rsid w:val="2CD34A44"/>
    <w:rsid w:val="2CD47877"/>
    <w:rsid w:val="2CE101E6"/>
    <w:rsid w:val="2CEB1DDF"/>
    <w:rsid w:val="2CF00E40"/>
    <w:rsid w:val="2CF77C79"/>
    <w:rsid w:val="2CF96C08"/>
    <w:rsid w:val="2CFF066C"/>
    <w:rsid w:val="2D2360D5"/>
    <w:rsid w:val="2D3575D7"/>
    <w:rsid w:val="2D392A9A"/>
    <w:rsid w:val="2D3F2720"/>
    <w:rsid w:val="2D6A3D37"/>
    <w:rsid w:val="2D6F47E3"/>
    <w:rsid w:val="2D8017AD"/>
    <w:rsid w:val="2DB43204"/>
    <w:rsid w:val="2DB54923"/>
    <w:rsid w:val="2DBF6A28"/>
    <w:rsid w:val="2DC75DE6"/>
    <w:rsid w:val="2DD04934"/>
    <w:rsid w:val="2DDB4BC1"/>
    <w:rsid w:val="2E0F2B31"/>
    <w:rsid w:val="2E220AB6"/>
    <w:rsid w:val="2E232138"/>
    <w:rsid w:val="2E255EB0"/>
    <w:rsid w:val="2E3A7D96"/>
    <w:rsid w:val="2E4427DA"/>
    <w:rsid w:val="2E5C5D76"/>
    <w:rsid w:val="2E5D389C"/>
    <w:rsid w:val="2E630C84"/>
    <w:rsid w:val="2E641B42"/>
    <w:rsid w:val="2E84600A"/>
    <w:rsid w:val="2E956466"/>
    <w:rsid w:val="2EA15273"/>
    <w:rsid w:val="2EBF37A7"/>
    <w:rsid w:val="2EBF4B0B"/>
    <w:rsid w:val="2ED26038"/>
    <w:rsid w:val="2ED86F63"/>
    <w:rsid w:val="2EED10C4"/>
    <w:rsid w:val="2EF7784D"/>
    <w:rsid w:val="2EFA10EB"/>
    <w:rsid w:val="2EFB21A9"/>
    <w:rsid w:val="2F1A353B"/>
    <w:rsid w:val="2F330B37"/>
    <w:rsid w:val="2F3C1703"/>
    <w:rsid w:val="2F407445"/>
    <w:rsid w:val="2F544C9F"/>
    <w:rsid w:val="2F5702EB"/>
    <w:rsid w:val="2F6F0666"/>
    <w:rsid w:val="2F860BD0"/>
    <w:rsid w:val="2F904E2B"/>
    <w:rsid w:val="2F927575"/>
    <w:rsid w:val="2FF574A1"/>
    <w:rsid w:val="300246FB"/>
    <w:rsid w:val="301D42EF"/>
    <w:rsid w:val="30240B15"/>
    <w:rsid w:val="30250D25"/>
    <w:rsid w:val="3025488D"/>
    <w:rsid w:val="302B0671"/>
    <w:rsid w:val="3044084D"/>
    <w:rsid w:val="30644D23"/>
    <w:rsid w:val="30894E1C"/>
    <w:rsid w:val="308E3881"/>
    <w:rsid w:val="30A848CD"/>
    <w:rsid w:val="30B05F05"/>
    <w:rsid w:val="30CD3408"/>
    <w:rsid w:val="30CF4EA4"/>
    <w:rsid w:val="30D616E4"/>
    <w:rsid w:val="30F57DBC"/>
    <w:rsid w:val="30FA3624"/>
    <w:rsid w:val="31002A27"/>
    <w:rsid w:val="310A4AEB"/>
    <w:rsid w:val="310D2023"/>
    <w:rsid w:val="313308E4"/>
    <w:rsid w:val="313D0B39"/>
    <w:rsid w:val="314D7BF8"/>
    <w:rsid w:val="3163741B"/>
    <w:rsid w:val="3177076A"/>
    <w:rsid w:val="31857392"/>
    <w:rsid w:val="318E1BB8"/>
    <w:rsid w:val="319475D5"/>
    <w:rsid w:val="319976C6"/>
    <w:rsid w:val="319A711F"/>
    <w:rsid w:val="31A15954"/>
    <w:rsid w:val="31AC5F7F"/>
    <w:rsid w:val="31D840B5"/>
    <w:rsid w:val="31E46E3B"/>
    <w:rsid w:val="320643AF"/>
    <w:rsid w:val="32130E41"/>
    <w:rsid w:val="322841C1"/>
    <w:rsid w:val="322D6302"/>
    <w:rsid w:val="32562ADC"/>
    <w:rsid w:val="326F46E0"/>
    <w:rsid w:val="3277206D"/>
    <w:rsid w:val="327A3BC6"/>
    <w:rsid w:val="327D450D"/>
    <w:rsid w:val="327F745D"/>
    <w:rsid w:val="3284589B"/>
    <w:rsid w:val="328E671A"/>
    <w:rsid w:val="32990C1B"/>
    <w:rsid w:val="32AA5062"/>
    <w:rsid w:val="32C24615"/>
    <w:rsid w:val="32CB013A"/>
    <w:rsid w:val="32D3412D"/>
    <w:rsid w:val="32E32F1F"/>
    <w:rsid w:val="32E4458C"/>
    <w:rsid w:val="32E8120D"/>
    <w:rsid w:val="32F347CF"/>
    <w:rsid w:val="32F848CB"/>
    <w:rsid w:val="33007B2E"/>
    <w:rsid w:val="330306C4"/>
    <w:rsid w:val="330B1B18"/>
    <w:rsid w:val="33292A5A"/>
    <w:rsid w:val="333368B2"/>
    <w:rsid w:val="33372EAB"/>
    <w:rsid w:val="3341378C"/>
    <w:rsid w:val="334C66DF"/>
    <w:rsid w:val="335C4122"/>
    <w:rsid w:val="335D1989"/>
    <w:rsid w:val="33786E01"/>
    <w:rsid w:val="337A0A4C"/>
    <w:rsid w:val="337A388B"/>
    <w:rsid w:val="33911204"/>
    <w:rsid w:val="33AF3D68"/>
    <w:rsid w:val="33AF6666"/>
    <w:rsid w:val="33BE6F4E"/>
    <w:rsid w:val="33C63C91"/>
    <w:rsid w:val="33CB572B"/>
    <w:rsid w:val="33CE657B"/>
    <w:rsid w:val="33EA3E24"/>
    <w:rsid w:val="33EC7B9C"/>
    <w:rsid w:val="33FB0977"/>
    <w:rsid w:val="34034EE6"/>
    <w:rsid w:val="340842AA"/>
    <w:rsid w:val="341C53BA"/>
    <w:rsid w:val="342C131A"/>
    <w:rsid w:val="34312EC5"/>
    <w:rsid w:val="344A041F"/>
    <w:rsid w:val="34560A62"/>
    <w:rsid w:val="34661EED"/>
    <w:rsid w:val="347C39A8"/>
    <w:rsid w:val="34847DD4"/>
    <w:rsid w:val="34853B4C"/>
    <w:rsid w:val="34AE30A3"/>
    <w:rsid w:val="34B34723"/>
    <w:rsid w:val="34C92940"/>
    <w:rsid w:val="34E41339"/>
    <w:rsid w:val="34EB6364"/>
    <w:rsid w:val="34F565DC"/>
    <w:rsid w:val="35132F06"/>
    <w:rsid w:val="35373099"/>
    <w:rsid w:val="3538296D"/>
    <w:rsid w:val="354E440C"/>
    <w:rsid w:val="358A766C"/>
    <w:rsid w:val="358B2CE3"/>
    <w:rsid w:val="358C26FA"/>
    <w:rsid w:val="35A95FA6"/>
    <w:rsid w:val="35BC7A10"/>
    <w:rsid w:val="35BE2E72"/>
    <w:rsid w:val="35C32BDC"/>
    <w:rsid w:val="35D5640E"/>
    <w:rsid w:val="363F7DC0"/>
    <w:rsid w:val="364610BA"/>
    <w:rsid w:val="36724494"/>
    <w:rsid w:val="3679649B"/>
    <w:rsid w:val="367D0F7F"/>
    <w:rsid w:val="36826C31"/>
    <w:rsid w:val="368F0CBF"/>
    <w:rsid w:val="36916FED"/>
    <w:rsid w:val="36A469C4"/>
    <w:rsid w:val="36A521D9"/>
    <w:rsid w:val="36F55EAA"/>
    <w:rsid w:val="370132C0"/>
    <w:rsid w:val="370F0532"/>
    <w:rsid w:val="372B09DB"/>
    <w:rsid w:val="372B3383"/>
    <w:rsid w:val="37763F45"/>
    <w:rsid w:val="3784095E"/>
    <w:rsid w:val="37895E9F"/>
    <w:rsid w:val="37E40B8A"/>
    <w:rsid w:val="37EA2644"/>
    <w:rsid w:val="37EB1F18"/>
    <w:rsid w:val="38044D88"/>
    <w:rsid w:val="3806031D"/>
    <w:rsid w:val="382C513A"/>
    <w:rsid w:val="38417D8A"/>
    <w:rsid w:val="3842422E"/>
    <w:rsid w:val="38526F7A"/>
    <w:rsid w:val="387A2F34"/>
    <w:rsid w:val="387C555A"/>
    <w:rsid w:val="387E2D8D"/>
    <w:rsid w:val="389C521D"/>
    <w:rsid w:val="38B67A98"/>
    <w:rsid w:val="38E52970"/>
    <w:rsid w:val="38EA21D0"/>
    <w:rsid w:val="38F372D7"/>
    <w:rsid w:val="38F65019"/>
    <w:rsid w:val="38FB43DD"/>
    <w:rsid w:val="390F44C3"/>
    <w:rsid w:val="39641F82"/>
    <w:rsid w:val="39684912"/>
    <w:rsid w:val="397441F3"/>
    <w:rsid w:val="398919E9"/>
    <w:rsid w:val="39A16C97"/>
    <w:rsid w:val="39A24859"/>
    <w:rsid w:val="39A56B84"/>
    <w:rsid w:val="39A77BB2"/>
    <w:rsid w:val="39AD5743"/>
    <w:rsid w:val="39BE5B37"/>
    <w:rsid w:val="39CD1EE3"/>
    <w:rsid w:val="39CD78A2"/>
    <w:rsid w:val="39D1471A"/>
    <w:rsid w:val="39DA31B6"/>
    <w:rsid w:val="39ED6FFB"/>
    <w:rsid w:val="3A1D25B8"/>
    <w:rsid w:val="3A455B54"/>
    <w:rsid w:val="3A81200E"/>
    <w:rsid w:val="3A850402"/>
    <w:rsid w:val="3A9C399E"/>
    <w:rsid w:val="3AA52E29"/>
    <w:rsid w:val="3AA91B3C"/>
    <w:rsid w:val="3ABB7AA2"/>
    <w:rsid w:val="3ACE7FFB"/>
    <w:rsid w:val="3AD1189A"/>
    <w:rsid w:val="3AD62A0C"/>
    <w:rsid w:val="3AFD68A7"/>
    <w:rsid w:val="3B1F45BC"/>
    <w:rsid w:val="3B255741"/>
    <w:rsid w:val="3B345984"/>
    <w:rsid w:val="3B36794F"/>
    <w:rsid w:val="3B367AA6"/>
    <w:rsid w:val="3B437161"/>
    <w:rsid w:val="3B450A85"/>
    <w:rsid w:val="3B506C62"/>
    <w:rsid w:val="3B514FD2"/>
    <w:rsid w:val="3B693880"/>
    <w:rsid w:val="3B854AB6"/>
    <w:rsid w:val="3B8E1539"/>
    <w:rsid w:val="3B9D177C"/>
    <w:rsid w:val="3BA046F2"/>
    <w:rsid w:val="3BA50630"/>
    <w:rsid w:val="3BD80550"/>
    <w:rsid w:val="3BE31551"/>
    <w:rsid w:val="3BE56E1B"/>
    <w:rsid w:val="3BED2DB3"/>
    <w:rsid w:val="3C06053D"/>
    <w:rsid w:val="3C215F09"/>
    <w:rsid w:val="3C436B55"/>
    <w:rsid w:val="3C595E61"/>
    <w:rsid w:val="3C622D83"/>
    <w:rsid w:val="3C722AD6"/>
    <w:rsid w:val="3C7324DC"/>
    <w:rsid w:val="3CAA7145"/>
    <w:rsid w:val="3CB74ABF"/>
    <w:rsid w:val="3CC0618E"/>
    <w:rsid w:val="3CC35212"/>
    <w:rsid w:val="3CC828E4"/>
    <w:rsid w:val="3CD14C56"/>
    <w:rsid w:val="3CD25455"/>
    <w:rsid w:val="3CD4741F"/>
    <w:rsid w:val="3CD87391"/>
    <w:rsid w:val="3D1D70A7"/>
    <w:rsid w:val="3D2263DC"/>
    <w:rsid w:val="3D2C1009"/>
    <w:rsid w:val="3D502922"/>
    <w:rsid w:val="3D5A545D"/>
    <w:rsid w:val="3D605157"/>
    <w:rsid w:val="3DA212CB"/>
    <w:rsid w:val="3DE53203"/>
    <w:rsid w:val="3DE60DD6"/>
    <w:rsid w:val="3DEA0B3C"/>
    <w:rsid w:val="3E004349"/>
    <w:rsid w:val="3E0F7B1D"/>
    <w:rsid w:val="3E234AB8"/>
    <w:rsid w:val="3E32264F"/>
    <w:rsid w:val="3E4009FD"/>
    <w:rsid w:val="3E444130"/>
    <w:rsid w:val="3E524A87"/>
    <w:rsid w:val="3E5C1BAD"/>
    <w:rsid w:val="3E9230EE"/>
    <w:rsid w:val="3E9F6F17"/>
    <w:rsid w:val="3EA37CD2"/>
    <w:rsid w:val="3ED656D0"/>
    <w:rsid w:val="3ED95969"/>
    <w:rsid w:val="3EDF3E59"/>
    <w:rsid w:val="3EE06168"/>
    <w:rsid w:val="3EE85404"/>
    <w:rsid w:val="3EED2C7E"/>
    <w:rsid w:val="3F141725"/>
    <w:rsid w:val="3F190458"/>
    <w:rsid w:val="3F1B1335"/>
    <w:rsid w:val="3F200257"/>
    <w:rsid w:val="3F286DBF"/>
    <w:rsid w:val="3F5C4CEB"/>
    <w:rsid w:val="3F8D1475"/>
    <w:rsid w:val="3F975C22"/>
    <w:rsid w:val="3FA70E1B"/>
    <w:rsid w:val="3FB5178A"/>
    <w:rsid w:val="3FC64109"/>
    <w:rsid w:val="3FCC77A7"/>
    <w:rsid w:val="3FD65247"/>
    <w:rsid w:val="3FD81621"/>
    <w:rsid w:val="3FDB385A"/>
    <w:rsid w:val="3FDF6807"/>
    <w:rsid w:val="3FE23C01"/>
    <w:rsid w:val="3FE3145D"/>
    <w:rsid w:val="3FE35525"/>
    <w:rsid w:val="3FE71217"/>
    <w:rsid w:val="3FFF4431"/>
    <w:rsid w:val="40061FE5"/>
    <w:rsid w:val="400E0CEC"/>
    <w:rsid w:val="4022565B"/>
    <w:rsid w:val="402266F3"/>
    <w:rsid w:val="403629A3"/>
    <w:rsid w:val="403B122D"/>
    <w:rsid w:val="404B007A"/>
    <w:rsid w:val="405A7C3B"/>
    <w:rsid w:val="405B7334"/>
    <w:rsid w:val="405C70C5"/>
    <w:rsid w:val="406B3BF6"/>
    <w:rsid w:val="40B65678"/>
    <w:rsid w:val="40C31C84"/>
    <w:rsid w:val="40CD2BBC"/>
    <w:rsid w:val="40CE74E8"/>
    <w:rsid w:val="40D05B99"/>
    <w:rsid w:val="40D55514"/>
    <w:rsid w:val="40D7128C"/>
    <w:rsid w:val="40FE0F0E"/>
    <w:rsid w:val="41390199"/>
    <w:rsid w:val="41561B7B"/>
    <w:rsid w:val="415D5C35"/>
    <w:rsid w:val="415F2382"/>
    <w:rsid w:val="41644CA3"/>
    <w:rsid w:val="417C604D"/>
    <w:rsid w:val="418238EE"/>
    <w:rsid w:val="418C651A"/>
    <w:rsid w:val="41C47F76"/>
    <w:rsid w:val="41DF75B5"/>
    <w:rsid w:val="41F3051E"/>
    <w:rsid w:val="421568CA"/>
    <w:rsid w:val="422229DB"/>
    <w:rsid w:val="422A6B5F"/>
    <w:rsid w:val="422B11FE"/>
    <w:rsid w:val="422F2C0A"/>
    <w:rsid w:val="427C658F"/>
    <w:rsid w:val="42997BDD"/>
    <w:rsid w:val="42AC4D28"/>
    <w:rsid w:val="42B60CBA"/>
    <w:rsid w:val="42BA4570"/>
    <w:rsid w:val="42C43A92"/>
    <w:rsid w:val="42D00689"/>
    <w:rsid w:val="42DB62DB"/>
    <w:rsid w:val="42F40D87"/>
    <w:rsid w:val="43157031"/>
    <w:rsid w:val="431F6F1A"/>
    <w:rsid w:val="43204D6E"/>
    <w:rsid w:val="432E4410"/>
    <w:rsid w:val="433E0C67"/>
    <w:rsid w:val="434171A0"/>
    <w:rsid w:val="434F476D"/>
    <w:rsid w:val="43530C9D"/>
    <w:rsid w:val="43661D30"/>
    <w:rsid w:val="436C09A1"/>
    <w:rsid w:val="436E0D52"/>
    <w:rsid w:val="436F047F"/>
    <w:rsid w:val="436F39FE"/>
    <w:rsid w:val="436F7EA2"/>
    <w:rsid w:val="43863FBF"/>
    <w:rsid w:val="43BA63BC"/>
    <w:rsid w:val="43E56FFE"/>
    <w:rsid w:val="44071DF4"/>
    <w:rsid w:val="442347E8"/>
    <w:rsid w:val="44384517"/>
    <w:rsid w:val="44420629"/>
    <w:rsid w:val="445B2639"/>
    <w:rsid w:val="44676DCB"/>
    <w:rsid w:val="44894274"/>
    <w:rsid w:val="44C77869"/>
    <w:rsid w:val="44D51F86"/>
    <w:rsid w:val="44E70410"/>
    <w:rsid w:val="44FA2AC6"/>
    <w:rsid w:val="450E5B4A"/>
    <w:rsid w:val="452B604A"/>
    <w:rsid w:val="45363083"/>
    <w:rsid w:val="453C0257"/>
    <w:rsid w:val="45406B12"/>
    <w:rsid w:val="455A06DD"/>
    <w:rsid w:val="45752E50"/>
    <w:rsid w:val="458F482B"/>
    <w:rsid w:val="45B10696"/>
    <w:rsid w:val="45BC36A1"/>
    <w:rsid w:val="45DA2E00"/>
    <w:rsid w:val="45EF1111"/>
    <w:rsid w:val="460C7409"/>
    <w:rsid w:val="460D74FE"/>
    <w:rsid w:val="463833CE"/>
    <w:rsid w:val="463F1478"/>
    <w:rsid w:val="464A2500"/>
    <w:rsid w:val="464C0026"/>
    <w:rsid w:val="465D4CB9"/>
    <w:rsid w:val="46B207DF"/>
    <w:rsid w:val="46B86825"/>
    <w:rsid w:val="46EA07B2"/>
    <w:rsid w:val="46F506BE"/>
    <w:rsid w:val="46F82CC1"/>
    <w:rsid w:val="4703337B"/>
    <w:rsid w:val="47150D60"/>
    <w:rsid w:val="471E65B1"/>
    <w:rsid w:val="471F1784"/>
    <w:rsid w:val="47242D51"/>
    <w:rsid w:val="473311E6"/>
    <w:rsid w:val="47347438"/>
    <w:rsid w:val="474074AC"/>
    <w:rsid w:val="475A2341"/>
    <w:rsid w:val="4760647F"/>
    <w:rsid w:val="478D0F2A"/>
    <w:rsid w:val="47A72EC9"/>
    <w:rsid w:val="47B71E17"/>
    <w:rsid w:val="47CA7D9C"/>
    <w:rsid w:val="47CC40D8"/>
    <w:rsid w:val="47CD2511"/>
    <w:rsid w:val="48082673"/>
    <w:rsid w:val="480E3260"/>
    <w:rsid w:val="48480CC1"/>
    <w:rsid w:val="48597B07"/>
    <w:rsid w:val="48691B36"/>
    <w:rsid w:val="48741AB6"/>
    <w:rsid w:val="487B1097"/>
    <w:rsid w:val="48877A3B"/>
    <w:rsid w:val="488C0CE1"/>
    <w:rsid w:val="489C2DB7"/>
    <w:rsid w:val="489E1D09"/>
    <w:rsid w:val="48A028AB"/>
    <w:rsid w:val="48BD520B"/>
    <w:rsid w:val="48C1039E"/>
    <w:rsid w:val="48EB1D78"/>
    <w:rsid w:val="490023BE"/>
    <w:rsid w:val="49024B59"/>
    <w:rsid w:val="490B4F84"/>
    <w:rsid w:val="491D3EFC"/>
    <w:rsid w:val="491F1A22"/>
    <w:rsid w:val="493666B5"/>
    <w:rsid w:val="494877A6"/>
    <w:rsid w:val="495C0DBE"/>
    <w:rsid w:val="49663358"/>
    <w:rsid w:val="49724393"/>
    <w:rsid w:val="497C0C22"/>
    <w:rsid w:val="497F6965"/>
    <w:rsid w:val="49975BE8"/>
    <w:rsid w:val="49C425C9"/>
    <w:rsid w:val="49EF3581"/>
    <w:rsid w:val="49F36E3A"/>
    <w:rsid w:val="49F66C27"/>
    <w:rsid w:val="49FA5FEB"/>
    <w:rsid w:val="4A1C69A8"/>
    <w:rsid w:val="4A282B58"/>
    <w:rsid w:val="4A2C2648"/>
    <w:rsid w:val="4A372D9B"/>
    <w:rsid w:val="4A38723F"/>
    <w:rsid w:val="4A451346"/>
    <w:rsid w:val="4A5676C5"/>
    <w:rsid w:val="4A5A4C2D"/>
    <w:rsid w:val="4A791606"/>
    <w:rsid w:val="4AA541A9"/>
    <w:rsid w:val="4AC24D5B"/>
    <w:rsid w:val="4AD3077D"/>
    <w:rsid w:val="4AE04468"/>
    <w:rsid w:val="4B00188B"/>
    <w:rsid w:val="4B1F5D09"/>
    <w:rsid w:val="4B21248D"/>
    <w:rsid w:val="4B2B3A38"/>
    <w:rsid w:val="4B313C8F"/>
    <w:rsid w:val="4B6D633F"/>
    <w:rsid w:val="4B797CFE"/>
    <w:rsid w:val="4B841636"/>
    <w:rsid w:val="4B96714B"/>
    <w:rsid w:val="4BA95F1B"/>
    <w:rsid w:val="4BB16CD5"/>
    <w:rsid w:val="4BB5666E"/>
    <w:rsid w:val="4BB723FD"/>
    <w:rsid w:val="4BB870EB"/>
    <w:rsid w:val="4BE8259F"/>
    <w:rsid w:val="4BEE2F77"/>
    <w:rsid w:val="4BFD14B6"/>
    <w:rsid w:val="4C0F1BEA"/>
    <w:rsid w:val="4C181FF7"/>
    <w:rsid w:val="4C2C7B3F"/>
    <w:rsid w:val="4C3C28EB"/>
    <w:rsid w:val="4C7327B1"/>
    <w:rsid w:val="4C87625C"/>
    <w:rsid w:val="4CA56323"/>
    <w:rsid w:val="4CC50B32"/>
    <w:rsid w:val="4CEE4F6C"/>
    <w:rsid w:val="4CF66F3E"/>
    <w:rsid w:val="4D0478AD"/>
    <w:rsid w:val="4D0A4797"/>
    <w:rsid w:val="4D187642"/>
    <w:rsid w:val="4D2553D4"/>
    <w:rsid w:val="4D2F41FE"/>
    <w:rsid w:val="4D56422A"/>
    <w:rsid w:val="4D6F3B43"/>
    <w:rsid w:val="4D712FDA"/>
    <w:rsid w:val="4D746E8E"/>
    <w:rsid w:val="4D800456"/>
    <w:rsid w:val="4D862070"/>
    <w:rsid w:val="4D92310A"/>
    <w:rsid w:val="4D9D385D"/>
    <w:rsid w:val="4DC4703C"/>
    <w:rsid w:val="4DCD7C9F"/>
    <w:rsid w:val="4DE17BEE"/>
    <w:rsid w:val="4DE90850"/>
    <w:rsid w:val="4E035C02"/>
    <w:rsid w:val="4E1A6C5C"/>
    <w:rsid w:val="4E1E6324"/>
    <w:rsid w:val="4E4F4B57"/>
    <w:rsid w:val="4E5C1A72"/>
    <w:rsid w:val="4E615284"/>
    <w:rsid w:val="4EA64556"/>
    <w:rsid w:val="4EAD29E4"/>
    <w:rsid w:val="4EC310A1"/>
    <w:rsid w:val="4F043B94"/>
    <w:rsid w:val="4F1B205A"/>
    <w:rsid w:val="4F2A7373"/>
    <w:rsid w:val="4F2E5442"/>
    <w:rsid w:val="4F2F1144"/>
    <w:rsid w:val="4F30313F"/>
    <w:rsid w:val="4F52580A"/>
    <w:rsid w:val="4F691C49"/>
    <w:rsid w:val="4F6A776F"/>
    <w:rsid w:val="4F702FD7"/>
    <w:rsid w:val="4F707F08"/>
    <w:rsid w:val="4F9273F2"/>
    <w:rsid w:val="4FD277EE"/>
    <w:rsid w:val="4FDA7D75"/>
    <w:rsid w:val="4FE439C5"/>
    <w:rsid w:val="4FF57980"/>
    <w:rsid w:val="501E6ED7"/>
    <w:rsid w:val="5035087B"/>
    <w:rsid w:val="507C775A"/>
    <w:rsid w:val="508D5E0B"/>
    <w:rsid w:val="508F1B83"/>
    <w:rsid w:val="50AC6291"/>
    <w:rsid w:val="50B25281"/>
    <w:rsid w:val="50D74B77"/>
    <w:rsid w:val="50E579F5"/>
    <w:rsid w:val="50E87836"/>
    <w:rsid w:val="50EA500B"/>
    <w:rsid w:val="50F83282"/>
    <w:rsid w:val="50FB4B23"/>
    <w:rsid w:val="51173459"/>
    <w:rsid w:val="51265C7E"/>
    <w:rsid w:val="512960E9"/>
    <w:rsid w:val="514814EC"/>
    <w:rsid w:val="5153670D"/>
    <w:rsid w:val="5157474A"/>
    <w:rsid w:val="515F1555"/>
    <w:rsid w:val="51A83B47"/>
    <w:rsid w:val="51AC22C1"/>
    <w:rsid w:val="51B17E6B"/>
    <w:rsid w:val="51CB2747"/>
    <w:rsid w:val="51CD131C"/>
    <w:rsid w:val="51D6014D"/>
    <w:rsid w:val="51DB032E"/>
    <w:rsid w:val="51EB4B97"/>
    <w:rsid w:val="51EE6435"/>
    <w:rsid w:val="51EF091F"/>
    <w:rsid w:val="5201260D"/>
    <w:rsid w:val="52072F1E"/>
    <w:rsid w:val="5217644D"/>
    <w:rsid w:val="522D1654"/>
    <w:rsid w:val="523C1C8B"/>
    <w:rsid w:val="523F4EE3"/>
    <w:rsid w:val="524620FA"/>
    <w:rsid w:val="526B7D82"/>
    <w:rsid w:val="5274360D"/>
    <w:rsid w:val="52756B57"/>
    <w:rsid w:val="52947CB3"/>
    <w:rsid w:val="52972F71"/>
    <w:rsid w:val="52BF7DD2"/>
    <w:rsid w:val="52DA5E34"/>
    <w:rsid w:val="530A3743"/>
    <w:rsid w:val="53395DD6"/>
    <w:rsid w:val="5347038D"/>
    <w:rsid w:val="534A6CD4"/>
    <w:rsid w:val="534E7AD3"/>
    <w:rsid w:val="538A6632"/>
    <w:rsid w:val="538B4884"/>
    <w:rsid w:val="53A63921"/>
    <w:rsid w:val="53AC47FA"/>
    <w:rsid w:val="53CC5791"/>
    <w:rsid w:val="53D95D45"/>
    <w:rsid w:val="53DA1367"/>
    <w:rsid w:val="53EB53BD"/>
    <w:rsid w:val="53F8359B"/>
    <w:rsid w:val="54505185"/>
    <w:rsid w:val="545671EC"/>
    <w:rsid w:val="54611097"/>
    <w:rsid w:val="5487370E"/>
    <w:rsid w:val="549B777E"/>
    <w:rsid w:val="54A67917"/>
    <w:rsid w:val="54B27D2C"/>
    <w:rsid w:val="54C4758E"/>
    <w:rsid w:val="54CD4A28"/>
    <w:rsid w:val="54D15F1A"/>
    <w:rsid w:val="54D264E2"/>
    <w:rsid w:val="54D65699"/>
    <w:rsid w:val="54E01D6C"/>
    <w:rsid w:val="54E47B17"/>
    <w:rsid w:val="54E9481D"/>
    <w:rsid w:val="54F226E1"/>
    <w:rsid w:val="55094443"/>
    <w:rsid w:val="554127C0"/>
    <w:rsid w:val="55560EC1"/>
    <w:rsid w:val="5579695E"/>
    <w:rsid w:val="557D19A9"/>
    <w:rsid w:val="55B87486"/>
    <w:rsid w:val="55C470D8"/>
    <w:rsid w:val="55CE6CAA"/>
    <w:rsid w:val="55DF5DA8"/>
    <w:rsid w:val="55EF136D"/>
    <w:rsid w:val="55F55C55"/>
    <w:rsid w:val="56156687"/>
    <w:rsid w:val="56177EC9"/>
    <w:rsid w:val="5635492A"/>
    <w:rsid w:val="5684052B"/>
    <w:rsid w:val="56921A85"/>
    <w:rsid w:val="569976E5"/>
    <w:rsid w:val="56B764F3"/>
    <w:rsid w:val="56E16569"/>
    <w:rsid w:val="56F25D16"/>
    <w:rsid w:val="56F72230"/>
    <w:rsid w:val="56F770C8"/>
    <w:rsid w:val="56F95FA8"/>
    <w:rsid w:val="570F0DAD"/>
    <w:rsid w:val="57136DC9"/>
    <w:rsid w:val="571C1C97"/>
    <w:rsid w:val="571E3EBF"/>
    <w:rsid w:val="57342B3C"/>
    <w:rsid w:val="57394670"/>
    <w:rsid w:val="57413F62"/>
    <w:rsid w:val="57443D1C"/>
    <w:rsid w:val="5769056B"/>
    <w:rsid w:val="57715B3F"/>
    <w:rsid w:val="577949F3"/>
    <w:rsid w:val="579730CB"/>
    <w:rsid w:val="579B705F"/>
    <w:rsid w:val="57F246BE"/>
    <w:rsid w:val="57F648EB"/>
    <w:rsid w:val="5809221B"/>
    <w:rsid w:val="5814296E"/>
    <w:rsid w:val="582B03E3"/>
    <w:rsid w:val="585F0D52"/>
    <w:rsid w:val="586525C2"/>
    <w:rsid w:val="586557AC"/>
    <w:rsid w:val="5867455C"/>
    <w:rsid w:val="587A5C94"/>
    <w:rsid w:val="588B42F5"/>
    <w:rsid w:val="588D4BFA"/>
    <w:rsid w:val="58A81A34"/>
    <w:rsid w:val="58BF6D7E"/>
    <w:rsid w:val="58C139D3"/>
    <w:rsid w:val="58C93758"/>
    <w:rsid w:val="58DE5456"/>
    <w:rsid w:val="5939268C"/>
    <w:rsid w:val="59617E35"/>
    <w:rsid w:val="59654806"/>
    <w:rsid w:val="596E25BB"/>
    <w:rsid w:val="59722042"/>
    <w:rsid w:val="59777658"/>
    <w:rsid w:val="59796F2C"/>
    <w:rsid w:val="597C7E8C"/>
    <w:rsid w:val="598839CF"/>
    <w:rsid w:val="59901BF4"/>
    <w:rsid w:val="599E0ACF"/>
    <w:rsid w:val="59AD3D34"/>
    <w:rsid w:val="59B03888"/>
    <w:rsid w:val="59C503C4"/>
    <w:rsid w:val="59F91818"/>
    <w:rsid w:val="5A1504F5"/>
    <w:rsid w:val="5A172243"/>
    <w:rsid w:val="5A196ED2"/>
    <w:rsid w:val="5A3317D1"/>
    <w:rsid w:val="5A395B76"/>
    <w:rsid w:val="5A3A2881"/>
    <w:rsid w:val="5A432F55"/>
    <w:rsid w:val="5A5878B5"/>
    <w:rsid w:val="5AA2093F"/>
    <w:rsid w:val="5AA95EA4"/>
    <w:rsid w:val="5AD63E09"/>
    <w:rsid w:val="5AD703AE"/>
    <w:rsid w:val="5AF1353F"/>
    <w:rsid w:val="5B123195"/>
    <w:rsid w:val="5B223606"/>
    <w:rsid w:val="5B266C40"/>
    <w:rsid w:val="5B2A657A"/>
    <w:rsid w:val="5B4332B6"/>
    <w:rsid w:val="5B4B66A7"/>
    <w:rsid w:val="5B5E0F00"/>
    <w:rsid w:val="5B6E72A3"/>
    <w:rsid w:val="5B964CC3"/>
    <w:rsid w:val="5B9E7C72"/>
    <w:rsid w:val="5BA87F9D"/>
    <w:rsid w:val="5BAF4E87"/>
    <w:rsid w:val="5BDE39BF"/>
    <w:rsid w:val="5BE65C1B"/>
    <w:rsid w:val="5BFD68E7"/>
    <w:rsid w:val="5C1271C4"/>
    <w:rsid w:val="5C5A3EA2"/>
    <w:rsid w:val="5C675762"/>
    <w:rsid w:val="5C682BEC"/>
    <w:rsid w:val="5C773E55"/>
    <w:rsid w:val="5C9A1694"/>
    <w:rsid w:val="5C9D1184"/>
    <w:rsid w:val="5CA7123C"/>
    <w:rsid w:val="5CAE15E3"/>
    <w:rsid w:val="5CC42BB4"/>
    <w:rsid w:val="5CC826A5"/>
    <w:rsid w:val="5CDC7EFE"/>
    <w:rsid w:val="5CF77950"/>
    <w:rsid w:val="5D101956"/>
    <w:rsid w:val="5D441D14"/>
    <w:rsid w:val="5D65280D"/>
    <w:rsid w:val="5D972077"/>
    <w:rsid w:val="5DAE426C"/>
    <w:rsid w:val="5DAF467E"/>
    <w:rsid w:val="5DCD04E0"/>
    <w:rsid w:val="5DD03A54"/>
    <w:rsid w:val="5DD15BF4"/>
    <w:rsid w:val="5DD25BBB"/>
    <w:rsid w:val="5E1D1CEB"/>
    <w:rsid w:val="5E225DE5"/>
    <w:rsid w:val="5E23390B"/>
    <w:rsid w:val="5E311C0C"/>
    <w:rsid w:val="5E6A5C9B"/>
    <w:rsid w:val="5E860D80"/>
    <w:rsid w:val="5E895C8E"/>
    <w:rsid w:val="5EA87763"/>
    <w:rsid w:val="5ED510A9"/>
    <w:rsid w:val="5EEC01A1"/>
    <w:rsid w:val="5F20216B"/>
    <w:rsid w:val="5F36439B"/>
    <w:rsid w:val="5F755A2A"/>
    <w:rsid w:val="5F814D8D"/>
    <w:rsid w:val="5F8959EF"/>
    <w:rsid w:val="5F920D48"/>
    <w:rsid w:val="5FA36AB1"/>
    <w:rsid w:val="5FA40A7B"/>
    <w:rsid w:val="5FA6034F"/>
    <w:rsid w:val="5FB07420"/>
    <w:rsid w:val="5FC04410"/>
    <w:rsid w:val="5FC652C4"/>
    <w:rsid w:val="5FC845C3"/>
    <w:rsid w:val="5FCB6F0A"/>
    <w:rsid w:val="5FE62E42"/>
    <w:rsid w:val="601C6864"/>
    <w:rsid w:val="601F4747"/>
    <w:rsid w:val="602F6597"/>
    <w:rsid w:val="6052321D"/>
    <w:rsid w:val="60696BC9"/>
    <w:rsid w:val="607F790E"/>
    <w:rsid w:val="608508AD"/>
    <w:rsid w:val="60A305F2"/>
    <w:rsid w:val="60A42170"/>
    <w:rsid w:val="60C5514D"/>
    <w:rsid w:val="60E5134B"/>
    <w:rsid w:val="60FD45FF"/>
    <w:rsid w:val="6114463B"/>
    <w:rsid w:val="611A0FF5"/>
    <w:rsid w:val="612B3202"/>
    <w:rsid w:val="616008F1"/>
    <w:rsid w:val="61847169"/>
    <w:rsid w:val="618625DD"/>
    <w:rsid w:val="61903065"/>
    <w:rsid w:val="61932B55"/>
    <w:rsid w:val="61B7149D"/>
    <w:rsid w:val="61CF0031"/>
    <w:rsid w:val="620852F1"/>
    <w:rsid w:val="621048C9"/>
    <w:rsid w:val="6210694A"/>
    <w:rsid w:val="621231A6"/>
    <w:rsid w:val="621641CF"/>
    <w:rsid w:val="62210161"/>
    <w:rsid w:val="62703DA5"/>
    <w:rsid w:val="62861F1F"/>
    <w:rsid w:val="629139EC"/>
    <w:rsid w:val="62917095"/>
    <w:rsid w:val="62A16A87"/>
    <w:rsid w:val="62CF7FE7"/>
    <w:rsid w:val="62D423EB"/>
    <w:rsid w:val="62D94CCA"/>
    <w:rsid w:val="631D2A8C"/>
    <w:rsid w:val="63462575"/>
    <w:rsid w:val="63493E13"/>
    <w:rsid w:val="635A1B7D"/>
    <w:rsid w:val="63666773"/>
    <w:rsid w:val="63851E4D"/>
    <w:rsid w:val="638B7F88"/>
    <w:rsid w:val="63936E3D"/>
    <w:rsid w:val="63A64DC2"/>
    <w:rsid w:val="63A90E76"/>
    <w:rsid w:val="63B55005"/>
    <w:rsid w:val="63CB5CCC"/>
    <w:rsid w:val="63EB4ECB"/>
    <w:rsid w:val="63F975E8"/>
    <w:rsid w:val="63FA3360"/>
    <w:rsid w:val="640B731B"/>
    <w:rsid w:val="641073AB"/>
    <w:rsid w:val="641745A0"/>
    <w:rsid w:val="645C36D2"/>
    <w:rsid w:val="64754794"/>
    <w:rsid w:val="64824B18"/>
    <w:rsid w:val="64881976"/>
    <w:rsid w:val="64942E6C"/>
    <w:rsid w:val="64AE3CB5"/>
    <w:rsid w:val="64B90B25"/>
    <w:rsid w:val="64CD637E"/>
    <w:rsid w:val="64DC03FF"/>
    <w:rsid w:val="64EF2799"/>
    <w:rsid w:val="64F425BA"/>
    <w:rsid w:val="650D6603"/>
    <w:rsid w:val="65202952"/>
    <w:rsid w:val="65210C32"/>
    <w:rsid w:val="652225D5"/>
    <w:rsid w:val="652439B2"/>
    <w:rsid w:val="652F2B95"/>
    <w:rsid w:val="65311E05"/>
    <w:rsid w:val="65451957"/>
    <w:rsid w:val="659770B8"/>
    <w:rsid w:val="65B46366"/>
    <w:rsid w:val="65BD63F3"/>
    <w:rsid w:val="65D025CA"/>
    <w:rsid w:val="65F570CF"/>
    <w:rsid w:val="66320B8F"/>
    <w:rsid w:val="663E7534"/>
    <w:rsid w:val="66661757"/>
    <w:rsid w:val="66763171"/>
    <w:rsid w:val="667C005C"/>
    <w:rsid w:val="66826386"/>
    <w:rsid w:val="66976C44"/>
    <w:rsid w:val="669B7B39"/>
    <w:rsid w:val="66AC7A81"/>
    <w:rsid w:val="66AE4D0B"/>
    <w:rsid w:val="66B5494D"/>
    <w:rsid w:val="66B84695"/>
    <w:rsid w:val="66D103A8"/>
    <w:rsid w:val="66DE0D17"/>
    <w:rsid w:val="66EF6A80"/>
    <w:rsid w:val="66F96425"/>
    <w:rsid w:val="66F978FF"/>
    <w:rsid w:val="66FB71D3"/>
    <w:rsid w:val="670C5884"/>
    <w:rsid w:val="670D5158"/>
    <w:rsid w:val="672D2BD5"/>
    <w:rsid w:val="67461D48"/>
    <w:rsid w:val="67472418"/>
    <w:rsid w:val="67486190"/>
    <w:rsid w:val="674A6CAF"/>
    <w:rsid w:val="676034DA"/>
    <w:rsid w:val="67694A84"/>
    <w:rsid w:val="67784F2E"/>
    <w:rsid w:val="678A67A9"/>
    <w:rsid w:val="678F1925"/>
    <w:rsid w:val="67942577"/>
    <w:rsid w:val="67A92539"/>
    <w:rsid w:val="67CA4EF1"/>
    <w:rsid w:val="67CD115B"/>
    <w:rsid w:val="67D61178"/>
    <w:rsid w:val="67E20393"/>
    <w:rsid w:val="67F76A7E"/>
    <w:rsid w:val="67F86871"/>
    <w:rsid w:val="684352D5"/>
    <w:rsid w:val="684D1CB0"/>
    <w:rsid w:val="685748DD"/>
    <w:rsid w:val="686F7E78"/>
    <w:rsid w:val="687E455F"/>
    <w:rsid w:val="687E630D"/>
    <w:rsid w:val="688B0A2A"/>
    <w:rsid w:val="68A5389A"/>
    <w:rsid w:val="68AF3CA2"/>
    <w:rsid w:val="68BB130F"/>
    <w:rsid w:val="68CB0E27"/>
    <w:rsid w:val="68CC560D"/>
    <w:rsid w:val="68E97265"/>
    <w:rsid w:val="68EF0FB9"/>
    <w:rsid w:val="691E189E"/>
    <w:rsid w:val="69236596"/>
    <w:rsid w:val="692635EB"/>
    <w:rsid w:val="69342E70"/>
    <w:rsid w:val="693B41FE"/>
    <w:rsid w:val="6951757E"/>
    <w:rsid w:val="69561384"/>
    <w:rsid w:val="69775165"/>
    <w:rsid w:val="69807E63"/>
    <w:rsid w:val="69B230A2"/>
    <w:rsid w:val="69E2224C"/>
    <w:rsid w:val="69F819AA"/>
    <w:rsid w:val="6A002D52"/>
    <w:rsid w:val="6A136F29"/>
    <w:rsid w:val="6A187723"/>
    <w:rsid w:val="6A1D1B56"/>
    <w:rsid w:val="6A1D2B18"/>
    <w:rsid w:val="6A595414"/>
    <w:rsid w:val="6A5A4A67"/>
    <w:rsid w:val="6A6E7FF3"/>
    <w:rsid w:val="6A700C09"/>
    <w:rsid w:val="6A8E3BBF"/>
    <w:rsid w:val="6AA67D9D"/>
    <w:rsid w:val="6AAD6A36"/>
    <w:rsid w:val="6ABC60FE"/>
    <w:rsid w:val="6AC57AA5"/>
    <w:rsid w:val="6ADC556D"/>
    <w:rsid w:val="6AE00FFB"/>
    <w:rsid w:val="6AE91C23"/>
    <w:rsid w:val="6B1D5B77"/>
    <w:rsid w:val="6B2D6ABE"/>
    <w:rsid w:val="6B3B6738"/>
    <w:rsid w:val="6B3D24B0"/>
    <w:rsid w:val="6B5F4FB5"/>
    <w:rsid w:val="6B685053"/>
    <w:rsid w:val="6B7F4739"/>
    <w:rsid w:val="6B8A4FC9"/>
    <w:rsid w:val="6B9A5FD4"/>
    <w:rsid w:val="6BA75B7B"/>
    <w:rsid w:val="6BC67FC5"/>
    <w:rsid w:val="6C033F85"/>
    <w:rsid w:val="6C042FCD"/>
    <w:rsid w:val="6C20148A"/>
    <w:rsid w:val="6C44786E"/>
    <w:rsid w:val="6C9431CC"/>
    <w:rsid w:val="6CAB1AEE"/>
    <w:rsid w:val="6CAE2F39"/>
    <w:rsid w:val="6CAF10DA"/>
    <w:rsid w:val="6CB513FE"/>
    <w:rsid w:val="6CBB03BB"/>
    <w:rsid w:val="6CD25442"/>
    <w:rsid w:val="6CDA06B8"/>
    <w:rsid w:val="6CE90CE7"/>
    <w:rsid w:val="6D0715F8"/>
    <w:rsid w:val="6D221DD5"/>
    <w:rsid w:val="6D426B56"/>
    <w:rsid w:val="6D505108"/>
    <w:rsid w:val="6D920165"/>
    <w:rsid w:val="6DBB5AC1"/>
    <w:rsid w:val="6DC75091"/>
    <w:rsid w:val="6DCF4F15"/>
    <w:rsid w:val="6E0468F3"/>
    <w:rsid w:val="6E0F7A08"/>
    <w:rsid w:val="6E38263C"/>
    <w:rsid w:val="6E526272"/>
    <w:rsid w:val="6E573B2B"/>
    <w:rsid w:val="6E721EAF"/>
    <w:rsid w:val="6E7D0394"/>
    <w:rsid w:val="6E94481B"/>
    <w:rsid w:val="6EA2373C"/>
    <w:rsid w:val="6ED0776A"/>
    <w:rsid w:val="6EDF387E"/>
    <w:rsid w:val="6F0357BE"/>
    <w:rsid w:val="6F0B01CF"/>
    <w:rsid w:val="6F241291"/>
    <w:rsid w:val="6F6F075E"/>
    <w:rsid w:val="6F7658CB"/>
    <w:rsid w:val="6F976FBE"/>
    <w:rsid w:val="6FA359EB"/>
    <w:rsid w:val="6FB42615"/>
    <w:rsid w:val="6FC36CFC"/>
    <w:rsid w:val="6FCA63E4"/>
    <w:rsid w:val="6FD26F3F"/>
    <w:rsid w:val="6FF218DD"/>
    <w:rsid w:val="6FF42BE0"/>
    <w:rsid w:val="6FFC41AF"/>
    <w:rsid w:val="703D168D"/>
    <w:rsid w:val="704C4F43"/>
    <w:rsid w:val="706C2EEF"/>
    <w:rsid w:val="70707EDF"/>
    <w:rsid w:val="70761F1B"/>
    <w:rsid w:val="707B1384"/>
    <w:rsid w:val="708C1ED2"/>
    <w:rsid w:val="70CB230C"/>
    <w:rsid w:val="70E32593"/>
    <w:rsid w:val="70E801A2"/>
    <w:rsid w:val="7104581E"/>
    <w:rsid w:val="71132E62"/>
    <w:rsid w:val="711D41EA"/>
    <w:rsid w:val="71222297"/>
    <w:rsid w:val="712D7C1F"/>
    <w:rsid w:val="714348B5"/>
    <w:rsid w:val="71554590"/>
    <w:rsid w:val="715874AB"/>
    <w:rsid w:val="715D01AD"/>
    <w:rsid w:val="71697CFB"/>
    <w:rsid w:val="71712C88"/>
    <w:rsid w:val="719941B8"/>
    <w:rsid w:val="719E357C"/>
    <w:rsid w:val="71A87F57"/>
    <w:rsid w:val="71BD1788"/>
    <w:rsid w:val="71C50B09"/>
    <w:rsid w:val="71F31C95"/>
    <w:rsid w:val="720F27CE"/>
    <w:rsid w:val="722515A8"/>
    <w:rsid w:val="723979C9"/>
    <w:rsid w:val="727265AC"/>
    <w:rsid w:val="727B1B10"/>
    <w:rsid w:val="727D13E4"/>
    <w:rsid w:val="72867BDE"/>
    <w:rsid w:val="728A58AF"/>
    <w:rsid w:val="72A526E9"/>
    <w:rsid w:val="72D71070"/>
    <w:rsid w:val="72EC1039"/>
    <w:rsid w:val="72F13B80"/>
    <w:rsid w:val="73004C2C"/>
    <w:rsid w:val="7304330F"/>
    <w:rsid w:val="732E5FCC"/>
    <w:rsid w:val="73337CF4"/>
    <w:rsid w:val="733817AF"/>
    <w:rsid w:val="73412411"/>
    <w:rsid w:val="734463A5"/>
    <w:rsid w:val="73520AC2"/>
    <w:rsid w:val="7358775B"/>
    <w:rsid w:val="737B7DB9"/>
    <w:rsid w:val="73840550"/>
    <w:rsid w:val="739509AF"/>
    <w:rsid w:val="73BA729E"/>
    <w:rsid w:val="73C052CC"/>
    <w:rsid w:val="73D55C55"/>
    <w:rsid w:val="73DC3547"/>
    <w:rsid w:val="73ED2599"/>
    <w:rsid w:val="740D6797"/>
    <w:rsid w:val="74113F05"/>
    <w:rsid w:val="74163F16"/>
    <w:rsid w:val="741C69DA"/>
    <w:rsid w:val="742424F5"/>
    <w:rsid w:val="744103B3"/>
    <w:rsid w:val="7450221E"/>
    <w:rsid w:val="74566390"/>
    <w:rsid w:val="749F595E"/>
    <w:rsid w:val="74AA2238"/>
    <w:rsid w:val="74D15A17"/>
    <w:rsid w:val="74DF0134"/>
    <w:rsid w:val="74F87650"/>
    <w:rsid w:val="75114065"/>
    <w:rsid w:val="751A5610"/>
    <w:rsid w:val="751A7DE7"/>
    <w:rsid w:val="752C17D6"/>
    <w:rsid w:val="7539539D"/>
    <w:rsid w:val="75695C4F"/>
    <w:rsid w:val="759248B8"/>
    <w:rsid w:val="759C7DD3"/>
    <w:rsid w:val="75A153E9"/>
    <w:rsid w:val="75CB6E7D"/>
    <w:rsid w:val="75EA3234"/>
    <w:rsid w:val="75ED3231"/>
    <w:rsid w:val="75F61B52"/>
    <w:rsid w:val="75FC2C73"/>
    <w:rsid w:val="76047756"/>
    <w:rsid w:val="76155660"/>
    <w:rsid w:val="761B33ED"/>
    <w:rsid w:val="761E5D99"/>
    <w:rsid w:val="761F03BE"/>
    <w:rsid w:val="762B1157"/>
    <w:rsid w:val="764A5A81"/>
    <w:rsid w:val="766111DA"/>
    <w:rsid w:val="76612DCA"/>
    <w:rsid w:val="766528BB"/>
    <w:rsid w:val="767764CD"/>
    <w:rsid w:val="767B20DE"/>
    <w:rsid w:val="767B7C93"/>
    <w:rsid w:val="7694586D"/>
    <w:rsid w:val="769B430F"/>
    <w:rsid w:val="76B4739E"/>
    <w:rsid w:val="76BF021D"/>
    <w:rsid w:val="76C75323"/>
    <w:rsid w:val="76D1655C"/>
    <w:rsid w:val="76D25D41"/>
    <w:rsid w:val="76E666DE"/>
    <w:rsid w:val="76E72AA0"/>
    <w:rsid w:val="7701090C"/>
    <w:rsid w:val="77151797"/>
    <w:rsid w:val="771A711A"/>
    <w:rsid w:val="771D4F43"/>
    <w:rsid w:val="772A600E"/>
    <w:rsid w:val="77336515"/>
    <w:rsid w:val="77362975"/>
    <w:rsid w:val="773C5143"/>
    <w:rsid w:val="774244C3"/>
    <w:rsid w:val="77444BC6"/>
    <w:rsid w:val="77577349"/>
    <w:rsid w:val="775A6197"/>
    <w:rsid w:val="777C4360"/>
    <w:rsid w:val="778D1016"/>
    <w:rsid w:val="77955421"/>
    <w:rsid w:val="77A411C1"/>
    <w:rsid w:val="77B238DE"/>
    <w:rsid w:val="77F71C38"/>
    <w:rsid w:val="780D57F6"/>
    <w:rsid w:val="78106856"/>
    <w:rsid w:val="781E4FE7"/>
    <w:rsid w:val="7884096A"/>
    <w:rsid w:val="78850FF2"/>
    <w:rsid w:val="789524E8"/>
    <w:rsid w:val="78A53442"/>
    <w:rsid w:val="78B611AB"/>
    <w:rsid w:val="78CA10FB"/>
    <w:rsid w:val="78E03E67"/>
    <w:rsid w:val="78F06D68"/>
    <w:rsid w:val="78F55DA6"/>
    <w:rsid w:val="790E548B"/>
    <w:rsid w:val="79236E7C"/>
    <w:rsid w:val="792A1B99"/>
    <w:rsid w:val="793F6C2A"/>
    <w:rsid w:val="794013BD"/>
    <w:rsid w:val="79494E01"/>
    <w:rsid w:val="796B1B89"/>
    <w:rsid w:val="797B008A"/>
    <w:rsid w:val="798516DF"/>
    <w:rsid w:val="798C015E"/>
    <w:rsid w:val="79921C19"/>
    <w:rsid w:val="79C618C2"/>
    <w:rsid w:val="79CB3FC0"/>
    <w:rsid w:val="79D73ACF"/>
    <w:rsid w:val="79E46056"/>
    <w:rsid w:val="7A0C534E"/>
    <w:rsid w:val="7A222CE3"/>
    <w:rsid w:val="7A4961A5"/>
    <w:rsid w:val="7A735C4D"/>
    <w:rsid w:val="7A8C2B0C"/>
    <w:rsid w:val="7A8E7C8A"/>
    <w:rsid w:val="7A9F01F0"/>
    <w:rsid w:val="7AFD610D"/>
    <w:rsid w:val="7B0152A5"/>
    <w:rsid w:val="7B0408F4"/>
    <w:rsid w:val="7B112B38"/>
    <w:rsid w:val="7B1741A3"/>
    <w:rsid w:val="7B1A26B7"/>
    <w:rsid w:val="7B2A5E81"/>
    <w:rsid w:val="7B2C7E4B"/>
    <w:rsid w:val="7B2F16E9"/>
    <w:rsid w:val="7B3F423B"/>
    <w:rsid w:val="7B7567C0"/>
    <w:rsid w:val="7B7B66DC"/>
    <w:rsid w:val="7B7D2454"/>
    <w:rsid w:val="7B7E25C3"/>
    <w:rsid w:val="7B9072BC"/>
    <w:rsid w:val="7B944A08"/>
    <w:rsid w:val="7B9B28DB"/>
    <w:rsid w:val="7B9F57C7"/>
    <w:rsid w:val="7BB802ED"/>
    <w:rsid w:val="7C0634F8"/>
    <w:rsid w:val="7C077F70"/>
    <w:rsid w:val="7C266648"/>
    <w:rsid w:val="7C2823C0"/>
    <w:rsid w:val="7C563402"/>
    <w:rsid w:val="7C5E2286"/>
    <w:rsid w:val="7C686C61"/>
    <w:rsid w:val="7C765D1B"/>
    <w:rsid w:val="7C7B659E"/>
    <w:rsid w:val="7C7E0232"/>
    <w:rsid w:val="7C9712F4"/>
    <w:rsid w:val="7C9B0FDB"/>
    <w:rsid w:val="7CBA4D6C"/>
    <w:rsid w:val="7CC85951"/>
    <w:rsid w:val="7CCC5441"/>
    <w:rsid w:val="7CD23C7F"/>
    <w:rsid w:val="7CD24BAE"/>
    <w:rsid w:val="7CE56503"/>
    <w:rsid w:val="7D033147"/>
    <w:rsid w:val="7D1066E2"/>
    <w:rsid w:val="7D1B3CD3"/>
    <w:rsid w:val="7D227CB6"/>
    <w:rsid w:val="7D300C5A"/>
    <w:rsid w:val="7D3139AC"/>
    <w:rsid w:val="7D4C0330"/>
    <w:rsid w:val="7D811B7B"/>
    <w:rsid w:val="7D836171"/>
    <w:rsid w:val="7DB84FA7"/>
    <w:rsid w:val="7DBA0B43"/>
    <w:rsid w:val="7DBD3D6D"/>
    <w:rsid w:val="7DFC3B04"/>
    <w:rsid w:val="7E1773F8"/>
    <w:rsid w:val="7E26089F"/>
    <w:rsid w:val="7E261FC8"/>
    <w:rsid w:val="7E3E4800"/>
    <w:rsid w:val="7E696CC0"/>
    <w:rsid w:val="7E7B41B8"/>
    <w:rsid w:val="7E7F0292"/>
    <w:rsid w:val="7E835AFC"/>
    <w:rsid w:val="7E851714"/>
    <w:rsid w:val="7E88060D"/>
    <w:rsid w:val="7E966D9F"/>
    <w:rsid w:val="7EA45F4A"/>
    <w:rsid w:val="7EE02B0F"/>
    <w:rsid w:val="7EE94CE8"/>
    <w:rsid w:val="7EF16259"/>
    <w:rsid w:val="7EF163A6"/>
    <w:rsid w:val="7F0D7FB9"/>
    <w:rsid w:val="7F115666"/>
    <w:rsid w:val="7F2272AB"/>
    <w:rsid w:val="7F2B0D53"/>
    <w:rsid w:val="7F4E65E2"/>
    <w:rsid w:val="7F6A7194"/>
    <w:rsid w:val="7F7F5D50"/>
    <w:rsid w:val="7F9A5B2F"/>
    <w:rsid w:val="7FA0125F"/>
    <w:rsid w:val="7FA043A1"/>
    <w:rsid w:val="7FD12D6F"/>
    <w:rsid w:val="7FD278E7"/>
    <w:rsid w:val="7FD44B5D"/>
    <w:rsid w:val="7FEA3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qFormat/>
    <w:uiPriority w:val="0"/>
    <w:pPr>
      <w:jc w:val="left"/>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17"/>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annotation subject"/>
    <w:basedOn w:val="3"/>
    <w:next w:val="3"/>
    <w:link w:val="19"/>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Emphasis"/>
    <w:basedOn w:val="13"/>
    <w:qFormat/>
    <w:uiPriority w:val="0"/>
    <w:rPr>
      <w:i/>
    </w:rPr>
  </w:style>
  <w:style w:type="character" w:styleId="16">
    <w:name w:val="annotation reference"/>
    <w:basedOn w:val="13"/>
    <w:qFormat/>
    <w:uiPriority w:val="0"/>
    <w:rPr>
      <w:sz w:val="21"/>
      <w:szCs w:val="21"/>
    </w:rPr>
  </w:style>
  <w:style w:type="character" w:customStyle="1" w:styleId="17">
    <w:name w:val="批注框文本 Char"/>
    <w:basedOn w:val="13"/>
    <w:link w:val="5"/>
    <w:qFormat/>
    <w:uiPriority w:val="0"/>
    <w:rPr>
      <w:rFonts w:ascii="Times New Roman" w:hAnsi="Times New Roman"/>
      <w:kern w:val="2"/>
      <w:sz w:val="18"/>
      <w:szCs w:val="18"/>
    </w:rPr>
  </w:style>
  <w:style w:type="character" w:customStyle="1" w:styleId="18">
    <w:name w:val="批注文字 Char"/>
    <w:basedOn w:val="13"/>
    <w:link w:val="3"/>
    <w:qFormat/>
    <w:uiPriority w:val="0"/>
    <w:rPr>
      <w:rFonts w:ascii="Times New Roman" w:hAnsi="Times New Roman"/>
      <w:kern w:val="2"/>
      <w:sz w:val="21"/>
      <w:szCs w:val="22"/>
    </w:rPr>
  </w:style>
  <w:style w:type="character" w:customStyle="1" w:styleId="19">
    <w:name w:val="批注主题 Char"/>
    <w:basedOn w:val="18"/>
    <w:link w:val="10"/>
    <w:qFormat/>
    <w:uiPriority w:val="0"/>
  </w:style>
  <w:style w:type="character" w:customStyle="1" w:styleId="20">
    <w:name w:val="font51"/>
    <w:basedOn w:val="13"/>
    <w:qFormat/>
    <w:uiPriority w:val="0"/>
    <w:rPr>
      <w:rFonts w:hint="eastAsia" w:ascii="宋体" w:hAnsi="宋体" w:eastAsia="宋体" w:cs="宋体"/>
      <w:color w:val="000000"/>
      <w:sz w:val="20"/>
      <w:szCs w:val="20"/>
      <w:u w:val="none"/>
    </w:rPr>
  </w:style>
  <w:style w:type="paragraph" w:customStyle="1" w:styleId="21">
    <w:name w:val="WPSOffice手动目录 1"/>
    <w:qFormat/>
    <w:uiPriority w:val="0"/>
    <w:pPr>
      <w:ind w:leftChars="0"/>
    </w:pPr>
    <w:rPr>
      <w:rFonts w:ascii="Times New Roman" w:hAnsi="Times New Roman" w:eastAsia="宋体" w:cs="Times New Roman"/>
      <w:sz w:val="20"/>
      <w:szCs w:val="20"/>
    </w:rPr>
  </w:style>
  <w:style w:type="character" w:customStyle="1" w:styleId="22">
    <w:name w:val="font31"/>
    <w:basedOn w:val="13"/>
    <w:qFormat/>
    <w:uiPriority w:val="0"/>
    <w:rPr>
      <w:rFonts w:hint="eastAsia" w:ascii="宋体" w:hAnsi="宋体" w:eastAsia="宋体" w:cs="宋体"/>
      <w:color w:val="000000"/>
      <w:sz w:val="20"/>
      <w:szCs w:val="20"/>
      <w:u w:val="none"/>
    </w:rPr>
  </w:style>
  <w:style w:type="character" w:customStyle="1" w:styleId="23">
    <w:name w:val="font21"/>
    <w:qFormat/>
    <w:uiPriority w:val="0"/>
    <w:rPr>
      <w:rFonts w:hint="eastAsia" w:ascii="宋体" w:hAnsi="宋体" w:eastAsia="宋体" w:cs="宋体"/>
      <w:color w:val="000000"/>
      <w:sz w:val="20"/>
      <w:szCs w:val="20"/>
      <w:u w:val="none"/>
    </w:rPr>
  </w:style>
  <w:style w:type="character" w:customStyle="1" w:styleId="24">
    <w:name w:val="font41"/>
    <w:basedOn w:val="13"/>
    <w:qFormat/>
    <w:uiPriority w:val="0"/>
    <w:rPr>
      <w:rFonts w:hint="eastAsia" w:ascii="宋体" w:hAnsi="宋体" w:eastAsia="宋体" w:cs="宋体"/>
      <w:b/>
      <w:bCs/>
      <w:color w:val="000000"/>
      <w:sz w:val="18"/>
      <w:szCs w:val="18"/>
      <w:u w:val="none"/>
    </w:rPr>
  </w:style>
  <w:style w:type="character" w:customStyle="1" w:styleId="25">
    <w:name w:val="font11"/>
    <w:basedOn w:val="13"/>
    <w:qFormat/>
    <w:uiPriority w:val="0"/>
    <w:rPr>
      <w:rFonts w:hint="eastAsia" w:ascii="仿宋" w:hAnsi="仿宋" w:eastAsia="仿宋" w:cs="仿宋"/>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40</Pages>
  <Words>24304</Words>
  <Characters>25907</Characters>
  <Lines>1</Lines>
  <Paragraphs>1</Paragraphs>
  <TotalTime>1</TotalTime>
  <ScaleCrop>false</ScaleCrop>
  <LinksUpToDate>false</LinksUpToDate>
  <CharactersWithSpaces>28589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2022-07-02T01:45:00Z</cp:lastPrinted>
  <dcterms:modified xsi:type="dcterms:W3CDTF">2023-01-12T07:51:43Z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F06476C999714E83BD453945B9F21708</vt:lpwstr>
  </property>
</Properties>
</file>