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top w:val="single" w:color="auto" w:sz="4" w:space="0"/>
          <w:left w:val="single" w:color="auto" w:sz="4" w:space="0"/>
          <w:bottom w:val="single" w:color="auto" w:sz="4" w:space="0"/>
          <w:right w:val="single" w:color="auto" w:sz="4" w:space="0"/>
          <w:between w:val="none" w:color="auto" w:sz="0" w:space="0"/>
        </w:pBdr>
        <w:kinsoku/>
        <w:wordWrap/>
        <w:overflowPunct/>
        <w:topLinePunct w:val="0"/>
        <w:autoSpaceDE/>
        <w:autoSpaceDN/>
        <w:bidi w:val="0"/>
        <w:spacing w:line="240" w:lineRule="atLeast"/>
        <w:ind w:left="0" w:leftChars="0" w:right="-420" w:rightChars="-200" w:firstLine="560" w:firstLineChars="200"/>
        <w:jc w:val="center"/>
        <w:rPr>
          <w:rFonts w:hint="eastAsia" w:ascii="仿宋_GB2312" w:hAnsi="仿宋_GB2312" w:eastAsia="仿宋_GB2312" w:cs="仿宋_GB2312"/>
          <w:i w:val="0"/>
          <w:iCs w:val="0"/>
          <w:color w:val="auto"/>
          <w:sz w:val="28"/>
          <w:szCs w:val="28"/>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left"/>
        <w:rPr>
          <w:rFonts w:hint="eastAsia" w:ascii="仿宋_GB2312" w:hAnsi="仿宋_GB2312" w:eastAsia="仿宋_GB2312" w:cs="仿宋_GB2312"/>
          <w:i w:val="0"/>
          <w:iCs w:val="0"/>
          <w:color w:val="auto"/>
          <w:highlight w:val="none"/>
        </w:rPr>
      </w:pPr>
      <w:r>
        <w:rPr>
          <w:rFonts w:hint="eastAsia" w:ascii="仿宋_GB2312" w:hAnsi="仿宋_GB2312" w:eastAsia="仿宋_GB2312" w:cs="仿宋_GB2312"/>
          <w:i w:val="0"/>
          <w:iCs w:val="0"/>
          <w:color w:val="auto"/>
          <w:kern w:val="0"/>
          <w:sz w:val="24"/>
          <w:szCs w:val="24"/>
          <w:highlight w:val="none"/>
        </w:rPr>
        <w:drawing>
          <wp:anchor distT="0" distB="0" distL="114300" distR="114300" simplePos="0" relativeHeight="251659264" behindDoc="0" locked="0" layoutInCell="1" allowOverlap="1">
            <wp:simplePos x="0" y="0"/>
            <wp:positionH relativeFrom="column">
              <wp:posOffset>1682115</wp:posOffset>
            </wp:positionH>
            <wp:positionV relativeFrom="paragraph">
              <wp:posOffset>125730</wp:posOffset>
            </wp:positionV>
            <wp:extent cx="3528695" cy="467995"/>
            <wp:effectExtent l="0" t="0" r="14605" b="825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0"/>
                    <a:stretch>
                      <a:fillRect/>
                    </a:stretch>
                  </pic:blipFill>
                  <pic:spPr>
                    <a:xfrm>
                      <a:off x="0" y="0"/>
                      <a:ext cx="3528695" cy="467995"/>
                    </a:xfrm>
                    <a:prstGeom prst="rect">
                      <a:avLst/>
                    </a:prstGeom>
                    <a:noFill/>
                    <a:ln>
                      <a:noFill/>
                    </a:ln>
                  </pic:spPr>
                </pic:pic>
              </a:graphicData>
            </a:graphic>
          </wp:anchor>
        </w:drawing>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left"/>
        <w:rPr>
          <w:rFonts w:hint="eastAsia" w:ascii="仿宋_GB2312" w:hAnsi="仿宋_GB2312" w:eastAsia="仿宋_GB2312" w:cs="仿宋_GB2312"/>
          <w:i w:val="0"/>
          <w:iCs w:val="0"/>
          <w:color w:val="auto"/>
          <w:highlight w:val="none"/>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b/>
          <w:i w:val="0"/>
          <w:iCs w:val="0"/>
          <w:color w:val="auto"/>
          <w:sz w:val="52"/>
          <w:szCs w:val="52"/>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0" w:firstLineChars="0"/>
        <w:jc w:val="center"/>
        <w:rPr>
          <w:rFonts w:hint="eastAsia" w:ascii="仿宋_GB2312" w:hAnsi="仿宋_GB2312" w:eastAsia="仿宋_GB2312" w:cs="仿宋_GB2312"/>
          <w:bCs w:val="0"/>
          <w:i w:val="0"/>
          <w:iCs w:val="0"/>
          <w:color w:val="auto"/>
          <w:sz w:val="40"/>
          <w:szCs w:val="40"/>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0" w:firstLineChars="0"/>
        <w:jc w:val="center"/>
        <w:rPr>
          <w:rFonts w:hint="eastAsia" w:ascii="仿宋_GB2312" w:hAnsi="仿宋_GB2312" w:eastAsia="仿宋_GB2312" w:cs="仿宋_GB2312"/>
          <w:bCs w:val="0"/>
          <w:i w:val="0"/>
          <w:iCs w:val="0"/>
          <w:color w:val="auto"/>
          <w:sz w:val="40"/>
          <w:szCs w:val="40"/>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435" w:line="240" w:lineRule="atLeast"/>
        <w:ind w:right="-420" w:rightChars="-200" w:firstLine="0" w:firstLineChars="0"/>
        <w:jc w:val="center"/>
        <w:rPr>
          <w:rFonts w:hint="eastAsia" w:ascii="仿宋_GB2312" w:hAnsi="仿宋_GB2312" w:eastAsia="仿宋_GB2312" w:cs="仿宋_GB2312"/>
          <w:b/>
          <w:i w:val="0"/>
          <w:iCs w:val="0"/>
          <w:color w:val="auto"/>
          <w:sz w:val="52"/>
          <w:szCs w:val="52"/>
          <w:highlight w:val="none"/>
          <w:u w:val="single"/>
          <w:lang w:val="en-US" w:eastAsia="zh-CN"/>
        </w:rPr>
      </w:pPr>
      <w:r>
        <w:rPr>
          <w:rFonts w:hint="eastAsia" w:ascii="仿宋_GB2312" w:hAnsi="仿宋_GB2312" w:eastAsia="仿宋_GB2312" w:cs="仿宋_GB2312"/>
          <w:b/>
          <w:i w:val="0"/>
          <w:iCs w:val="0"/>
          <w:color w:val="auto"/>
          <w:sz w:val="52"/>
          <w:szCs w:val="52"/>
          <w:highlight w:val="none"/>
          <w:u w:val="single"/>
          <w:lang w:val="en-US" w:eastAsia="zh-CN"/>
        </w:rPr>
        <w:t xml:space="preserve"> 常平环保专业基地A4-01地块</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435" w:line="240" w:lineRule="atLeast"/>
        <w:ind w:right="-420" w:rightChars="-200" w:firstLine="0" w:firstLineChars="0"/>
        <w:jc w:val="center"/>
        <w:rPr>
          <w:rFonts w:hint="eastAsia" w:ascii="仿宋_GB2312" w:hAnsi="仿宋_GB2312" w:eastAsia="仿宋_GB2312" w:cs="仿宋_GB2312"/>
          <w:b/>
          <w:i w:val="0"/>
          <w:iCs w:val="0"/>
          <w:color w:val="auto"/>
          <w:sz w:val="52"/>
          <w:szCs w:val="52"/>
          <w:highlight w:val="none"/>
          <w:u w:val="single"/>
          <w:lang w:val="en-US" w:eastAsia="zh-CN"/>
        </w:rPr>
      </w:pPr>
      <w:r>
        <w:rPr>
          <w:rFonts w:hint="eastAsia" w:ascii="仿宋_GB2312" w:hAnsi="仿宋_GB2312" w:eastAsia="仿宋_GB2312" w:cs="仿宋_GB2312"/>
          <w:b/>
          <w:i w:val="0"/>
          <w:iCs w:val="0"/>
          <w:color w:val="auto"/>
          <w:sz w:val="52"/>
          <w:szCs w:val="52"/>
          <w:highlight w:val="none"/>
          <w:u w:val="single"/>
          <w:lang w:val="en-US" w:eastAsia="zh-CN"/>
        </w:rPr>
        <w:t>印花及洗水项目预应力管桩</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u w:val="none"/>
          <w:lang w:val="en-US" w:eastAsia="zh-CN"/>
        </w:rPr>
      </w:pPr>
      <w:r>
        <w:rPr>
          <w:rFonts w:hint="eastAsia" w:ascii="仿宋_GB2312" w:hAnsi="仿宋_GB2312" w:eastAsia="仿宋_GB2312" w:cs="仿宋_GB2312"/>
          <w:b/>
          <w:i w:val="0"/>
          <w:iCs w:val="0"/>
          <w:color w:val="auto"/>
          <w:sz w:val="52"/>
          <w:szCs w:val="52"/>
          <w:highlight w:val="none"/>
          <w:u w:val="none"/>
          <w:lang w:val="en-US" w:eastAsia="zh-CN"/>
        </w:rPr>
        <w:t>施</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u w:val="none"/>
          <w:lang w:val="en-US" w:eastAsia="zh-CN"/>
        </w:rPr>
      </w:pPr>
      <w:r>
        <w:rPr>
          <w:rFonts w:hint="eastAsia" w:ascii="仿宋_GB2312" w:hAnsi="仿宋_GB2312" w:eastAsia="仿宋_GB2312" w:cs="仿宋_GB2312"/>
          <w:b/>
          <w:i w:val="0"/>
          <w:iCs w:val="0"/>
          <w:color w:val="auto"/>
          <w:sz w:val="52"/>
          <w:szCs w:val="52"/>
          <w:highlight w:val="none"/>
          <w:u w:val="none"/>
          <w:lang w:val="en-US" w:eastAsia="zh-CN"/>
        </w:rPr>
        <w:t>工</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u w:val="none"/>
          <w:lang w:val="en-US" w:eastAsia="zh-CN"/>
        </w:rPr>
      </w:pPr>
      <w:r>
        <w:rPr>
          <w:rFonts w:hint="eastAsia" w:ascii="仿宋_GB2312" w:hAnsi="仿宋_GB2312" w:eastAsia="仿宋_GB2312" w:cs="仿宋_GB2312"/>
          <w:b/>
          <w:i w:val="0"/>
          <w:iCs w:val="0"/>
          <w:color w:val="auto"/>
          <w:sz w:val="52"/>
          <w:szCs w:val="52"/>
          <w:highlight w:val="none"/>
          <w:u w:val="none"/>
          <w:lang w:val="en-US" w:eastAsia="zh-CN"/>
        </w:rPr>
        <w:t>合</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lang w:val="en-US" w:eastAsia="zh-CN"/>
        </w:rPr>
      </w:pPr>
      <w:r>
        <w:rPr>
          <w:rFonts w:hint="eastAsia" w:ascii="仿宋_GB2312" w:hAnsi="仿宋_GB2312" w:eastAsia="仿宋_GB2312" w:cs="仿宋_GB2312"/>
          <w:b/>
          <w:i w:val="0"/>
          <w:iCs w:val="0"/>
          <w:color w:val="auto"/>
          <w:sz w:val="52"/>
          <w:szCs w:val="52"/>
          <w:highlight w:val="none"/>
          <w:lang w:val="en-US" w:eastAsia="zh-CN"/>
        </w:rPr>
        <w:t>同</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240" w:lineRule="atLeast"/>
        <w:ind w:right="-420" w:rightChars="-200" w:firstLine="1680" w:firstLineChars="600"/>
        <w:jc w:val="both"/>
        <w:textAlignment w:val="auto"/>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合同编号：ZTJA-SG-CPGYY-2023-</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240" w:lineRule="atLeast"/>
        <w:ind w:right="-420" w:rightChars="-200" w:firstLine="1680" w:firstLineChars="600"/>
        <w:jc w:val="both"/>
        <w:textAlignment w:val="auto"/>
        <w:rPr>
          <w:rFonts w:hint="eastAsia" w:ascii="仿宋_GB2312" w:hAnsi="仿宋_GB2312" w:eastAsia="仿宋_GB2312" w:cs="仿宋_GB2312"/>
          <w:b w:val="0"/>
          <w:bCs w:val="0"/>
          <w:i w:val="0"/>
          <w:iCs w:val="0"/>
          <w:color w:val="auto"/>
          <w:sz w:val="28"/>
          <w:szCs w:val="28"/>
          <w:highlight w:val="none"/>
          <w:u w:val="singl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甲方（发包方）：东莞市中泰建安工程有限公司</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240" w:lineRule="atLeast"/>
        <w:ind w:right="-420" w:rightChars="-200" w:firstLine="1680" w:firstLineChars="600"/>
        <w:jc w:val="both"/>
        <w:textAlignment w:val="auto"/>
        <w:rPr>
          <w:rFonts w:hint="eastAsia" w:ascii="仿宋_GB2312" w:hAnsi="仿宋_GB2312" w:eastAsia="仿宋_GB2312" w:cs="仿宋_GB2312"/>
          <w:b w:val="0"/>
          <w:bCs w:val="0"/>
          <w:i w:val="0"/>
          <w:iCs w:val="0"/>
          <w:color w:val="auto"/>
          <w:sz w:val="28"/>
          <w:szCs w:val="28"/>
          <w:highlight w:val="none"/>
          <w:u w:val="singl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乙方（承包方）：</w:t>
      </w:r>
      <w:r>
        <w:rPr>
          <w:rFonts w:hint="eastAsia" w:ascii="仿宋_GB2312" w:hAnsi="仿宋_GB2312" w:eastAsia="仿宋_GB2312" w:cs="仿宋_GB2312"/>
          <w:b w:val="0"/>
          <w:bCs w:val="0"/>
          <w:i w:val="0"/>
          <w:iCs w:val="0"/>
          <w:color w:val="auto"/>
          <w:sz w:val="28"/>
          <w:szCs w:val="28"/>
          <w:highlight w:val="none"/>
          <w:u w:val="none"/>
          <w:lang w:val="en-US" w:eastAsia="zh-CN"/>
        </w:rPr>
        <w:t xml:space="preserve"> </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1680" w:firstLineChars="600"/>
        <w:jc w:val="both"/>
        <w:rPr>
          <w:rFonts w:hint="eastAsia" w:ascii="仿宋_GB2312" w:hAnsi="仿宋_GB2312" w:eastAsia="仿宋_GB2312" w:cs="仿宋_GB2312"/>
          <w:b w:val="0"/>
          <w:bCs w:val="0"/>
          <w:i w:val="0"/>
          <w:iCs w:val="0"/>
          <w:color w:val="auto"/>
          <w:sz w:val="28"/>
          <w:szCs w:val="28"/>
          <w:highlight w:val="none"/>
          <w:u w:val="none"/>
          <w:lang w:val="en-US" w:eastAsia="zh-CN"/>
        </w:rPr>
      </w:pPr>
      <w:r>
        <w:rPr>
          <w:rFonts w:hint="eastAsia" w:ascii="仿宋_GB2312" w:hAnsi="仿宋_GB2312" w:eastAsia="仿宋_GB2312" w:cs="仿宋_GB2312"/>
          <w:b w:val="0"/>
          <w:bCs w:val="0"/>
          <w:i w:val="0"/>
          <w:iCs w:val="0"/>
          <w:color w:val="auto"/>
          <w:sz w:val="28"/>
          <w:szCs w:val="28"/>
          <w:highlight w:val="none"/>
          <w:u w:val="none"/>
          <w:lang w:val="en-US" w:eastAsia="zh-CN"/>
        </w:rPr>
        <w:t>签订日期：2023年</w:t>
      </w:r>
      <w:r>
        <w:rPr>
          <w:rFonts w:hint="eastAsia" w:ascii="仿宋_GB2312" w:hAnsi="仿宋_GB2312" w:eastAsia="仿宋_GB2312" w:cs="仿宋_GB2312"/>
          <w:b w:val="0"/>
          <w:bCs w:val="0"/>
          <w:i w:val="0"/>
          <w:iCs w:val="0"/>
          <w:color w:val="auto"/>
          <w:sz w:val="28"/>
          <w:szCs w:val="28"/>
          <w:highlight w:val="none"/>
          <w:u w:val="single"/>
          <w:lang w:val="en-US" w:eastAsia="zh-CN"/>
        </w:rPr>
        <w:t xml:space="preserve">   </w:t>
      </w:r>
      <w:r>
        <w:rPr>
          <w:rFonts w:hint="eastAsia" w:ascii="仿宋_GB2312" w:hAnsi="仿宋_GB2312" w:eastAsia="仿宋_GB2312" w:cs="仿宋_GB2312"/>
          <w:b w:val="0"/>
          <w:bCs w:val="0"/>
          <w:i w:val="0"/>
          <w:iCs w:val="0"/>
          <w:color w:val="auto"/>
          <w:sz w:val="28"/>
          <w:szCs w:val="28"/>
          <w:highlight w:val="none"/>
          <w:u w:val="none"/>
          <w:lang w:val="en-US" w:eastAsia="zh-CN"/>
        </w:rPr>
        <w:t>月</w:t>
      </w:r>
      <w:r>
        <w:rPr>
          <w:rFonts w:hint="eastAsia" w:ascii="仿宋_GB2312" w:hAnsi="仿宋_GB2312" w:eastAsia="仿宋_GB2312" w:cs="仿宋_GB2312"/>
          <w:b w:val="0"/>
          <w:bCs w:val="0"/>
          <w:i w:val="0"/>
          <w:iCs w:val="0"/>
          <w:color w:val="auto"/>
          <w:sz w:val="28"/>
          <w:szCs w:val="28"/>
          <w:highlight w:val="none"/>
          <w:u w:val="single"/>
          <w:lang w:val="en-US" w:eastAsia="zh-CN"/>
        </w:rPr>
        <w:t xml:space="preserve">    </w:t>
      </w:r>
      <w:r>
        <w:rPr>
          <w:rFonts w:hint="eastAsia" w:ascii="仿宋_GB2312" w:hAnsi="仿宋_GB2312" w:eastAsia="仿宋_GB2312" w:cs="仿宋_GB2312"/>
          <w:b w:val="0"/>
          <w:bCs w:val="0"/>
          <w:i w:val="0"/>
          <w:iCs w:val="0"/>
          <w:color w:val="auto"/>
          <w:sz w:val="28"/>
          <w:szCs w:val="28"/>
          <w:highlight w:val="none"/>
          <w:u w:val="none"/>
          <w:lang w:val="en-US" w:eastAsia="zh-CN"/>
        </w:rPr>
        <w:t>日</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1680" w:firstLineChars="600"/>
        <w:jc w:val="both"/>
        <w:rPr>
          <w:rFonts w:hint="eastAsia" w:ascii="仿宋_GB2312" w:hAnsi="仿宋_GB2312" w:eastAsia="仿宋_GB2312" w:cs="仿宋_GB2312"/>
          <w:b w:val="0"/>
          <w:i w:val="0"/>
          <w:iCs w:val="0"/>
          <w:color w:val="auto"/>
          <w:sz w:val="32"/>
          <w:szCs w:val="32"/>
          <w:highlight w:val="none"/>
          <w:u w:val="none"/>
        </w:rPr>
      </w:pPr>
      <w:r>
        <w:rPr>
          <w:rFonts w:hint="eastAsia" w:ascii="仿宋_GB2312" w:hAnsi="仿宋_GB2312" w:eastAsia="仿宋_GB2312" w:cs="仿宋_GB2312"/>
          <w:b w:val="0"/>
          <w:bCs w:val="0"/>
          <w:i w:val="0"/>
          <w:iCs w:val="0"/>
          <w:color w:val="auto"/>
          <w:sz w:val="28"/>
          <w:szCs w:val="28"/>
          <w:highlight w:val="none"/>
          <w:u w:val="none"/>
          <w:lang w:val="en-US" w:eastAsia="zh-CN"/>
        </w:rPr>
        <w:t>签订地点：广东东莞南城。</w:t>
      </w:r>
      <w:r>
        <w:rPr>
          <w:rFonts w:hint="eastAsia" w:ascii="仿宋_GB2312" w:hAnsi="仿宋_GB2312" w:eastAsia="仿宋_GB2312" w:cs="仿宋_GB2312"/>
          <w:b w:val="0"/>
          <w:i w:val="0"/>
          <w:iCs w:val="0"/>
          <w:color w:val="auto"/>
          <w:sz w:val="32"/>
          <w:szCs w:val="32"/>
          <w:highlight w:val="none"/>
          <w:lang w:val="en-US" w:eastAsia="zh-CN"/>
        </w:rPr>
        <w:t xml:space="preserve"> </w:t>
      </w:r>
      <w:r>
        <w:rPr>
          <w:rFonts w:hint="eastAsia" w:ascii="仿宋_GB2312" w:hAnsi="仿宋_GB2312" w:eastAsia="仿宋_GB2312" w:cs="仿宋_GB2312"/>
          <w:i w:val="0"/>
          <w:iCs w:val="0"/>
          <w:color w:val="auto"/>
          <w:sz w:val="32"/>
          <w:szCs w:val="32"/>
          <w:highlight w:val="none"/>
          <w:u w:val="none"/>
        </w:rPr>
        <w:t xml:space="preserve">                      </w:t>
      </w:r>
    </w:p>
    <w:p>
      <w:pPr>
        <w:keepNext w:val="0"/>
        <w:keepLines w:val="0"/>
        <w:pageBreakBefore w:val="0"/>
        <w:kinsoku/>
        <w:wordWrap/>
        <w:overflowPunct/>
        <w:topLinePunct w:val="0"/>
        <w:autoSpaceDE/>
        <w:autoSpaceDN/>
        <w:bidi w:val="0"/>
        <w:spacing w:before="435" w:line="240" w:lineRule="atLeast"/>
        <w:ind w:right="-420" w:rightChars="-200" w:firstLine="640" w:firstLineChars="200"/>
        <w:jc w:val="center"/>
        <w:rPr>
          <w:rFonts w:hint="eastAsia" w:ascii="仿宋_GB2312" w:hAnsi="仿宋_GB2312" w:eastAsia="仿宋_GB2312" w:cs="仿宋_GB2312"/>
          <w:i w:val="0"/>
          <w:iCs w:val="0"/>
          <w:color w:val="auto"/>
          <w:sz w:val="32"/>
          <w:szCs w:val="32"/>
          <w:highlight w:val="none"/>
        </w:rPr>
        <w:sectPr>
          <w:footerReference r:id="rId3" w:type="even"/>
          <w:pgSz w:w="11906" w:h="16838"/>
          <w:pgMar w:top="567" w:right="1206" w:bottom="567" w:left="620" w:header="964" w:footer="567" w:gutter="0"/>
          <w:pgBorders>
            <w:top w:val="none" w:sz="0" w:space="0"/>
            <w:left w:val="none" w:sz="0" w:space="0"/>
            <w:bottom w:val="none" w:sz="0" w:space="0"/>
            <w:right w:val="none" w:sz="0" w:space="0"/>
          </w:pgBorders>
          <w:pgNumType w:fmt="decimal"/>
          <w:cols w:space="0" w:num="1"/>
          <w:docGrid w:type="lines" w:linePitch="293" w:charSpace="0"/>
        </w:sectPr>
      </w:pPr>
    </w:p>
    <w:p>
      <w:pPr>
        <w:keepNext w:val="0"/>
        <w:keepLines w:val="0"/>
        <w:pageBreakBefore w:val="0"/>
        <w:kinsoku/>
        <w:wordWrap/>
        <w:overflowPunct/>
        <w:topLinePunct w:val="0"/>
        <w:autoSpaceDE/>
        <w:autoSpaceDN/>
        <w:bidi w:val="0"/>
        <w:spacing w:before="435" w:line="240" w:lineRule="atLeast"/>
        <w:ind w:right="-420" w:rightChars="-200" w:firstLine="560" w:firstLineChars="200"/>
        <w:jc w:val="center"/>
        <w:outlineLvl w:val="0"/>
        <w:rPr>
          <w:rFonts w:hint="eastAsia" w:ascii="仿宋_GB2312" w:hAnsi="仿宋_GB2312" w:eastAsia="仿宋_GB2312" w:cs="仿宋_GB2312"/>
          <w:i w:val="0"/>
          <w:iCs w:val="0"/>
          <w:color w:val="auto"/>
          <w:sz w:val="28"/>
          <w:szCs w:val="28"/>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2" w:firstLineChars="200"/>
        <w:rPr>
          <w:rFonts w:hint="eastAsia" w:ascii="仿宋_GB2312" w:hAnsi="仿宋_GB2312" w:eastAsia="仿宋_GB2312" w:cs="仿宋_GB2312"/>
          <w:b/>
          <w:bCs/>
          <w:i w:val="0"/>
          <w:iCs w:val="0"/>
          <w:color w:val="auto"/>
          <w:kern w:val="0"/>
          <w:szCs w:val="21"/>
          <w:highlight w:val="none"/>
        </w:rPr>
      </w:pPr>
    </w:p>
    <w:sdt>
      <w:sdtPr>
        <w:rPr>
          <w:rFonts w:hint="eastAsia" w:ascii="仿宋_GB2312" w:hAnsi="仿宋_GB2312" w:eastAsia="仿宋_GB2312" w:cs="仿宋_GB2312"/>
          <w:b/>
          <w:bCs/>
          <w:i w:val="0"/>
          <w:iCs w:val="0"/>
          <w:color w:val="auto"/>
          <w:kern w:val="2"/>
          <w:sz w:val="21"/>
          <w:szCs w:val="22"/>
          <w:highlight w:val="none"/>
          <w:lang w:val="en-US" w:eastAsia="zh-CN" w:bidi="ar-SA"/>
        </w:rPr>
        <w:id w:val="147469943"/>
        <w15:color w:val="DBDBDB"/>
        <w:docPartObj>
          <w:docPartGallery w:val="Table of Contents"/>
          <w:docPartUnique/>
        </w:docPartObj>
      </w:sdtPr>
      <w:sdtEndPr>
        <w:rPr>
          <w:rFonts w:hint="eastAsia" w:ascii="仿宋_GB2312" w:hAnsi="仿宋_GB2312" w:eastAsia="仿宋_GB2312" w:cs="仿宋_GB2312"/>
          <w:b/>
          <w:bCs w:val="0"/>
          <w:i w:val="0"/>
          <w:iCs w:val="0"/>
          <w:color w:val="auto"/>
          <w:kern w:val="0"/>
          <w:sz w:val="24"/>
          <w:szCs w:val="24"/>
          <w:highlight w:val="none"/>
          <w:lang w:val="en-US" w:eastAsia="zh-CN" w:bidi="ar-SA"/>
        </w:rPr>
      </w:sdtEndPr>
      <w:sdtContent>
        <w:p>
          <w:pPr>
            <w:keepNext w:val="0"/>
            <w:keepLines w:val="0"/>
            <w:pageBreakBefore w:val="0"/>
            <w:kinsoku/>
            <w:wordWrap/>
            <w:overflowPunct/>
            <w:topLinePunct w:val="0"/>
            <w:autoSpaceDE/>
            <w:autoSpaceDN/>
            <w:bidi w:val="0"/>
            <w:spacing w:before="0" w:beforeLines="0" w:after="0" w:afterLines="0" w:line="240" w:lineRule="atLeast"/>
            <w:ind w:left="0" w:leftChars="0" w:right="-420" w:rightChars="-200" w:firstLine="0" w:firstLineChars="0"/>
            <w:jc w:val="center"/>
            <w:rPr>
              <w:rFonts w:hint="eastAsia" w:ascii="仿宋_GB2312" w:hAnsi="仿宋_GB2312" w:eastAsia="仿宋_GB2312" w:cs="仿宋_GB2312"/>
              <w:b/>
              <w:bCs/>
              <w:i w:val="0"/>
              <w:iCs w:val="0"/>
              <w:color w:val="auto"/>
              <w:sz w:val="32"/>
              <w:szCs w:val="32"/>
              <w:highlight w:val="none"/>
            </w:rPr>
          </w:pPr>
          <w:r>
            <w:rPr>
              <w:rFonts w:hint="eastAsia" w:ascii="仿宋_GB2312" w:hAnsi="仿宋_GB2312" w:eastAsia="仿宋_GB2312" w:cs="仿宋_GB2312"/>
              <w:b/>
              <w:bCs/>
              <w:i w:val="0"/>
              <w:iCs w:val="0"/>
              <w:color w:val="auto"/>
              <w:sz w:val="32"/>
              <w:szCs w:val="32"/>
              <w:highlight w:val="none"/>
            </w:rPr>
            <w:t>目录</w:t>
          </w:r>
        </w:p>
        <w:p>
          <w:pPr>
            <w:keepNext w:val="0"/>
            <w:keepLines w:val="0"/>
            <w:pageBreakBefore w:val="0"/>
            <w:kinsoku/>
            <w:wordWrap/>
            <w:overflowPunct/>
            <w:topLinePunct w:val="0"/>
            <w:autoSpaceDE/>
            <w:autoSpaceDN/>
            <w:bidi w:val="0"/>
            <w:spacing w:before="0" w:beforeLines="0" w:after="0" w:afterLines="0" w:line="240" w:lineRule="atLeast"/>
            <w:ind w:left="0" w:leftChars="0" w:right="-420" w:rightChars="-200" w:firstLine="0" w:firstLineChars="0"/>
            <w:jc w:val="center"/>
            <w:rPr>
              <w:rFonts w:hint="eastAsia" w:ascii="仿宋_GB2312" w:hAnsi="仿宋_GB2312" w:eastAsia="仿宋_GB2312" w:cs="仿宋_GB2312"/>
              <w:b/>
              <w:bCs/>
              <w:i w:val="0"/>
              <w:iCs w:val="0"/>
              <w:color w:val="auto"/>
              <w:sz w:val="28"/>
              <w:szCs w:val="28"/>
              <w:highlight w:val="none"/>
            </w:rPr>
          </w:pPr>
        </w:p>
        <w:p>
          <w:pPr>
            <w:pStyle w:val="10"/>
            <w:tabs>
              <w:tab w:val="right" w:leader="dot" w:pos="9640"/>
            </w:tabs>
            <w:rPr>
              <w:rFonts w:hint="eastAsia" w:ascii="仿宋" w:hAnsi="仿宋" w:eastAsia="仿宋" w:cs="仿宋"/>
              <w:sz w:val="24"/>
              <w:szCs w:val="24"/>
            </w:rPr>
          </w:pPr>
          <w:r>
            <w:rPr>
              <w:rFonts w:hint="eastAsia" w:ascii="仿宋" w:hAnsi="仿宋" w:eastAsia="仿宋" w:cs="仿宋"/>
              <w:b/>
              <w:bCs/>
              <w:i w:val="0"/>
              <w:iCs w:val="0"/>
              <w:color w:val="auto"/>
              <w:kern w:val="0"/>
              <w:sz w:val="24"/>
              <w:szCs w:val="24"/>
              <w:highlight w:val="none"/>
            </w:rPr>
            <w:fldChar w:fldCharType="begin"/>
          </w:r>
          <w:r>
            <w:rPr>
              <w:rFonts w:hint="eastAsia" w:ascii="仿宋" w:hAnsi="仿宋" w:eastAsia="仿宋" w:cs="仿宋"/>
              <w:b/>
              <w:bCs/>
              <w:i w:val="0"/>
              <w:iCs w:val="0"/>
              <w:color w:val="auto"/>
              <w:kern w:val="0"/>
              <w:sz w:val="24"/>
              <w:szCs w:val="24"/>
              <w:highlight w:val="none"/>
            </w:rPr>
            <w:instrText xml:space="preserve">TOC \o "1-1" \h \u </w:instrText>
          </w:r>
          <w:r>
            <w:rPr>
              <w:rFonts w:hint="eastAsia" w:ascii="仿宋" w:hAnsi="仿宋" w:eastAsia="仿宋" w:cs="仿宋"/>
              <w:b/>
              <w:bCs/>
              <w:i w:val="0"/>
              <w:iCs w:val="0"/>
              <w:color w:val="auto"/>
              <w:kern w:val="0"/>
              <w:sz w:val="24"/>
              <w:szCs w:val="24"/>
              <w:highlight w:val="none"/>
            </w:rPr>
            <w:fldChar w:fldCharType="separate"/>
          </w: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_Toc13700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第一章 </w:t>
          </w:r>
          <w:r>
            <w:rPr>
              <w:rFonts w:hint="eastAsia" w:ascii="仿宋" w:hAnsi="仿宋" w:eastAsia="仿宋" w:cs="仿宋"/>
              <w:bCs/>
              <w:i w:val="0"/>
              <w:iCs w:val="0"/>
              <w:sz w:val="24"/>
              <w:szCs w:val="24"/>
              <w:highlight w:val="none"/>
              <w:lang w:val="en-US" w:eastAsia="zh-CN"/>
            </w:rPr>
            <w:t>项目概况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_Toc13700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_Toc15935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第二章 </w:t>
          </w:r>
          <w:r>
            <w:rPr>
              <w:rFonts w:hint="eastAsia" w:ascii="仿宋" w:hAnsi="仿宋" w:eastAsia="仿宋" w:cs="仿宋"/>
              <w:bCs/>
              <w:i w:val="0"/>
              <w:iCs w:val="0"/>
              <w:sz w:val="24"/>
              <w:szCs w:val="24"/>
              <w:highlight w:val="none"/>
              <w:lang w:val="en-US" w:eastAsia="zh-CN"/>
            </w:rPr>
            <w:t>承包方式</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_Toc15935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_Toc13192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第三章 </w:t>
          </w:r>
          <w:r>
            <w:rPr>
              <w:rFonts w:hint="eastAsia" w:ascii="仿宋" w:hAnsi="仿宋" w:eastAsia="仿宋" w:cs="仿宋"/>
              <w:bCs/>
              <w:i w:val="0"/>
              <w:iCs w:val="0"/>
              <w:sz w:val="24"/>
              <w:szCs w:val="24"/>
              <w:highlight w:val="none"/>
              <w:lang w:val="en-US" w:eastAsia="zh-CN"/>
            </w:rPr>
            <w:t>乙方承包范围及主要工程内容</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_Toc13192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_Toc24812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第四章 </w:t>
          </w:r>
          <w:r>
            <w:rPr>
              <w:rFonts w:hint="eastAsia" w:ascii="仿宋" w:hAnsi="仿宋" w:eastAsia="仿宋" w:cs="仿宋"/>
              <w:bCs/>
              <w:i w:val="0"/>
              <w:iCs w:val="0"/>
              <w:sz w:val="24"/>
              <w:szCs w:val="24"/>
              <w:highlight w:val="none"/>
              <w:lang w:val="en-US" w:eastAsia="zh-CN"/>
            </w:rPr>
            <w:t>工期</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_Toc24812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_Toc15861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第五章 </w:t>
          </w:r>
          <w:r>
            <w:rPr>
              <w:rFonts w:hint="eastAsia" w:ascii="仿宋" w:hAnsi="仿宋" w:eastAsia="仿宋" w:cs="仿宋"/>
              <w:bCs/>
              <w:i w:val="0"/>
              <w:iCs w:val="0"/>
              <w:sz w:val="24"/>
              <w:szCs w:val="24"/>
              <w:highlight w:val="none"/>
              <w:lang w:val="en-US" w:eastAsia="zh-CN"/>
            </w:rPr>
            <w:t>工程质量标准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_Toc15861 \h </w:instrText>
          </w:r>
          <w:r>
            <w:rPr>
              <w:rFonts w:hint="eastAsia" w:ascii="仿宋" w:hAnsi="仿宋" w:eastAsia="仿宋" w:cs="仿宋"/>
              <w:sz w:val="24"/>
              <w:szCs w:val="24"/>
            </w:rPr>
            <w:fldChar w:fldCharType="separate"/>
          </w:r>
          <w:r>
            <w:rPr>
              <w:rFonts w:hint="eastAsia" w:ascii="仿宋" w:hAnsi="仿宋" w:eastAsia="仿宋" w:cs="仿宋"/>
              <w:sz w:val="24"/>
              <w:szCs w:val="24"/>
            </w:rPr>
            <w:t>5</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_Toc4204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第六章 </w:t>
          </w:r>
          <w:r>
            <w:rPr>
              <w:rFonts w:hint="eastAsia" w:ascii="仿宋" w:hAnsi="仿宋" w:eastAsia="仿宋" w:cs="仿宋"/>
              <w:bCs/>
              <w:i w:val="0"/>
              <w:iCs w:val="0"/>
              <w:sz w:val="24"/>
              <w:szCs w:val="24"/>
              <w:highlight w:val="none"/>
              <w:lang w:val="en-US" w:eastAsia="zh-CN"/>
            </w:rPr>
            <w:t>合同价款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_Toc4204 \h </w:instrText>
          </w:r>
          <w:r>
            <w:rPr>
              <w:rFonts w:hint="eastAsia" w:ascii="仿宋" w:hAnsi="仿宋" w:eastAsia="仿宋" w:cs="仿宋"/>
              <w:sz w:val="24"/>
              <w:szCs w:val="24"/>
            </w:rPr>
            <w:fldChar w:fldCharType="separate"/>
          </w:r>
          <w:r>
            <w:rPr>
              <w:rFonts w:hint="eastAsia" w:ascii="仿宋" w:hAnsi="仿宋" w:eastAsia="仿宋" w:cs="仿宋"/>
              <w:sz w:val="24"/>
              <w:szCs w:val="24"/>
            </w:rPr>
            <w:t>6</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_Toc20672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第七章 </w:t>
          </w:r>
          <w:r>
            <w:rPr>
              <w:rFonts w:hint="eastAsia" w:ascii="仿宋" w:hAnsi="仿宋" w:eastAsia="仿宋" w:cs="仿宋"/>
              <w:bCs/>
              <w:i w:val="0"/>
              <w:iCs w:val="0"/>
              <w:sz w:val="24"/>
              <w:szCs w:val="24"/>
              <w:highlight w:val="none"/>
              <w:lang w:val="en-US" w:eastAsia="zh-CN"/>
            </w:rPr>
            <w:t>计量计价方式及结算方式</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_Toc20672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_Toc19273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第八章 </w:t>
          </w:r>
          <w:r>
            <w:rPr>
              <w:rFonts w:hint="eastAsia" w:ascii="仿宋" w:hAnsi="仿宋" w:eastAsia="仿宋" w:cs="仿宋"/>
              <w:bCs/>
              <w:i w:val="0"/>
              <w:iCs w:val="0"/>
              <w:sz w:val="24"/>
              <w:szCs w:val="24"/>
              <w:highlight w:val="none"/>
              <w:lang w:val="en-US" w:eastAsia="zh-CN"/>
            </w:rPr>
            <w:t>付款方式</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_Toc19273 \h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_Toc16656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第九章 </w:t>
          </w:r>
          <w:r>
            <w:rPr>
              <w:rFonts w:hint="eastAsia" w:ascii="仿宋" w:hAnsi="仿宋" w:eastAsia="仿宋" w:cs="仿宋"/>
              <w:bCs/>
              <w:i w:val="0"/>
              <w:iCs w:val="0"/>
              <w:sz w:val="24"/>
              <w:szCs w:val="24"/>
              <w:highlight w:val="none"/>
              <w:lang w:val="en-US" w:eastAsia="zh-CN"/>
            </w:rPr>
            <w:t>双方责任和权利</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_Toc16656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_Toc10186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第十章 </w:t>
          </w:r>
          <w:r>
            <w:rPr>
              <w:rFonts w:hint="eastAsia" w:ascii="仿宋" w:hAnsi="仿宋" w:eastAsia="仿宋" w:cs="仿宋"/>
              <w:bCs/>
              <w:i w:val="0"/>
              <w:iCs w:val="0"/>
              <w:sz w:val="24"/>
              <w:szCs w:val="24"/>
              <w:highlight w:val="none"/>
              <w:lang w:val="en-US" w:eastAsia="zh-CN"/>
            </w:rPr>
            <w:t>安全生产、文明施工要求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_Toc10186 \h </w:instrText>
          </w:r>
          <w:r>
            <w:rPr>
              <w:rFonts w:hint="eastAsia" w:ascii="仿宋" w:hAnsi="仿宋" w:eastAsia="仿宋" w:cs="仿宋"/>
              <w:sz w:val="24"/>
              <w:szCs w:val="24"/>
            </w:rPr>
            <w:fldChar w:fldCharType="separate"/>
          </w:r>
          <w:r>
            <w:rPr>
              <w:rFonts w:hint="eastAsia" w:ascii="仿宋" w:hAnsi="仿宋" w:eastAsia="仿宋" w:cs="仿宋"/>
              <w:sz w:val="24"/>
              <w:szCs w:val="24"/>
            </w:rPr>
            <w:t>21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_Toc29407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第十一章 </w:t>
          </w:r>
          <w:r>
            <w:rPr>
              <w:rFonts w:hint="eastAsia" w:ascii="仿宋" w:hAnsi="仿宋" w:eastAsia="仿宋" w:cs="仿宋"/>
              <w:bCs/>
              <w:i w:val="0"/>
              <w:iCs w:val="0"/>
              <w:sz w:val="24"/>
              <w:szCs w:val="24"/>
              <w:highlight w:val="none"/>
              <w:lang w:val="en-US" w:eastAsia="zh-CN"/>
            </w:rPr>
            <w:t>甲供材料设备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_Toc29407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_Toc19847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第十二章 </w:t>
          </w:r>
          <w:r>
            <w:rPr>
              <w:rFonts w:hint="eastAsia" w:ascii="仿宋" w:hAnsi="仿宋" w:eastAsia="仿宋" w:cs="仿宋"/>
              <w:bCs/>
              <w:i w:val="0"/>
              <w:iCs w:val="0"/>
              <w:sz w:val="24"/>
              <w:szCs w:val="24"/>
              <w:highlight w:val="none"/>
              <w:lang w:val="en-US" w:eastAsia="zh-CN"/>
            </w:rPr>
            <w:t>验收及保修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_Toc19847 \h </w:instrText>
          </w:r>
          <w:r>
            <w:rPr>
              <w:rFonts w:hint="eastAsia" w:ascii="仿宋" w:hAnsi="仿宋" w:eastAsia="仿宋" w:cs="仿宋"/>
              <w:sz w:val="24"/>
              <w:szCs w:val="24"/>
            </w:rPr>
            <w:fldChar w:fldCharType="separate"/>
          </w:r>
          <w:r>
            <w:rPr>
              <w:rFonts w:hint="eastAsia"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_Toc7368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第十三章 </w:t>
          </w:r>
          <w:r>
            <w:rPr>
              <w:rFonts w:hint="eastAsia" w:ascii="仿宋" w:hAnsi="仿宋" w:eastAsia="仿宋" w:cs="仿宋"/>
              <w:bCs/>
              <w:i w:val="0"/>
              <w:iCs w:val="0"/>
              <w:sz w:val="24"/>
              <w:szCs w:val="24"/>
              <w:highlight w:val="none"/>
              <w:lang w:val="en-US" w:eastAsia="zh-CN"/>
            </w:rPr>
            <w:t>保险</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_Toc7368 \h </w:instrText>
          </w:r>
          <w:r>
            <w:rPr>
              <w:rFonts w:hint="eastAsia" w:ascii="仿宋" w:hAnsi="仿宋" w:eastAsia="仿宋" w:cs="仿宋"/>
              <w:sz w:val="24"/>
              <w:szCs w:val="24"/>
            </w:rPr>
            <w:fldChar w:fldCharType="separate"/>
          </w:r>
          <w:r>
            <w:rPr>
              <w:rFonts w:hint="eastAsia" w:ascii="仿宋" w:hAnsi="仿宋" w:eastAsia="仿宋" w:cs="仿宋"/>
              <w:sz w:val="24"/>
              <w:szCs w:val="24"/>
            </w:rPr>
            <w:t>24</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_Toc6283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第十四章 </w:t>
          </w:r>
          <w:r>
            <w:rPr>
              <w:rFonts w:hint="eastAsia" w:ascii="仿宋" w:hAnsi="仿宋" w:eastAsia="仿宋" w:cs="仿宋"/>
              <w:bCs/>
              <w:i w:val="0"/>
              <w:iCs w:val="0"/>
              <w:sz w:val="24"/>
              <w:szCs w:val="24"/>
              <w:highlight w:val="none"/>
              <w:lang w:val="en-US" w:eastAsia="zh-CN"/>
            </w:rPr>
            <w:t>奖罚条款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_Toc6283 \h </w:instrText>
          </w:r>
          <w:r>
            <w:rPr>
              <w:rFonts w:hint="eastAsia" w:ascii="仿宋" w:hAnsi="仿宋" w:eastAsia="仿宋" w:cs="仿宋"/>
              <w:sz w:val="24"/>
              <w:szCs w:val="24"/>
            </w:rPr>
            <w:fldChar w:fldCharType="separate"/>
          </w:r>
          <w:r>
            <w:rPr>
              <w:rFonts w:hint="eastAsia" w:ascii="仿宋" w:hAnsi="仿宋" w:eastAsia="仿宋" w:cs="仿宋"/>
              <w:sz w:val="24"/>
              <w:szCs w:val="24"/>
            </w:rPr>
            <w:t>24</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_Toc4891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第十五章 </w:t>
          </w:r>
          <w:r>
            <w:rPr>
              <w:rFonts w:hint="eastAsia" w:ascii="仿宋" w:hAnsi="仿宋" w:eastAsia="仿宋" w:cs="仿宋"/>
              <w:bCs/>
              <w:i w:val="0"/>
              <w:iCs w:val="0"/>
              <w:sz w:val="24"/>
              <w:szCs w:val="24"/>
              <w:highlight w:val="none"/>
              <w:lang w:val="en-US" w:eastAsia="zh-CN"/>
            </w:rPr>
            <w:t>违约条款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_Toc4891 \h </w:instrText>
          </w:r>
          <w:r>
            <w:rPr>
              <w:rFonts w:hint="eastAsia" w:ascii="仿宋" w:hAnsi="仿宋" w:eastAsia="仿宋" w:cs="仿宋"/>
              <w:sz w:val="24"/>
              <w:szCs w:val="24"/>
            </w:rPr>
            <w:fldChar w:fldCharType="separate"/>
          </w:r>
          <w:r>
            <w:rPr>
              <w:rFonts w:hint="eastAsia" w:ascii="仿宋" w:hAnsi="仿宋" w:eastAsia="仿宋" w:cs="仿宋"/>
              <w:sz w:val="24"/>
              <w:szCs w:val="24"/>
            </w:rPr>
            <w:t>27</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_Toc6802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第十六章 </w:t>
          </w:r>
          <w:r>
            <w:rPr>
              <w:rFonts w:hint="eastAsia" w:ascii="仿宋" w:hAnsi="仿宋" w:eastAsia="仿宋" w:cs="仿宋"/>
              <w:bCs/>
              <w:i w:val="0"/>
              <w:iCs w:val="0"/>
              <w:sz w:val="24"/>
              <w:szCs w:val="24"/>
              <w:highlight w:val="none"/>
              <w:lang w:val="en-US" w:eastAsia="zh-CN"/>
            </w:rPr>
            <w:t>廉洁条款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_Toc6802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_Toc7336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第十七章 </w:t>
          </w:r>
          <w:r>
            <w:rPr>
              <w:rFonts w:hint="eastAsia" w:ascii="仿宋" w:hAnsi="仿宋" w:eastAsia="仿宋" w:cs="仿宋"/>
              <w:bCs/>
              <w:i w:val="0"/>
              <w:iCs w:val="0"/>
              <w:sz w:val="24"/>
              <w:szCs w:val="24"/>
              <w:highlight w:val="none"/>
              <w:lang w:val="en-US" w:eastAsia="zh-CN"/>
            </w:rPr>
            <w:t>其他</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_Toc7336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_Toc4900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i w:val="0"/>
              <w:iCs w:val="0"/>
              <w:sz w:val="24"/>
              <w:szCs w:val="24"/>
              <w:highlight w:val="none"/>
              <w:shd w:val="clear" w:color="auto" w:fill="auto"/>
              <w:lang w:val="en-US" w:eastAsia="zh-CN"/>
            </w:rPr>
            <w:t>附件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_Toc4900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p>
        <w:p>
          <w:pPr>
            <w:keepNext w:val="0"/>
            <w:keepLines w:val="0"/>
            <w:pageBreakBefore w:val="0"/>
            <w:kinsoku/>
            <w:wordWrap/>
            <w:overflowPunct/>
            <w:topLinePunct w:val="0"/>
            <w:autoSpaceDE/>
            <w:autoSpaceDN/>
            <w:bidi w:val="0"/>
            <w:spacing w:line="240" w:lineRule="atLeast"/>
            <w:ind w:left="0" w:leftChars="0" w:right="-420" w:rightChars="-200" w:firstLine="480" w:firstLineChars="200"/>
            <w:jc w:val="center"/>
            <w:rPr>
              <w:rFonts w:hint="eastAsia" w:ascii="仿宋_GB2312" w:hAnsi="仿宋_GB2312" w:eastAsia="仿宋_GB2312" w:cs="仿宋_GB2312"/>
              <w:b/>
              <w:bCs w:val="0"/>
              <w:i w:val="0"/>
              <w:iCs w:val="0"/>
              <w:color w:val="auto"/>
              <w:kern w:val="0"/>
              <w:sz w:val="24"/>
              <w:szCs w:val="24"/>
              <w:highlight w:val="none"/>
            </w:rPr>
          </w:pPr>
          <w:r>
            <w:rPr>
              <w:rFonts w:hint="eastAsia" w:ascii="仿宋" w:hAnsi="仿宋" w:eastAsia="仿宋" w:cs="仿宋"/>
              <w:bCs/>
              <w:i w:val="0"/>
              <w:iCs w:val="0"/>
              <w:color w:val="auto"/>
              <w:kern w:val="0"/>
              <w:sz w:val="24"/>
              <w:szCs w:val="24"/>
              <w:highlight w:val="none"/>
            </w:rPr>
            <w:fldChar w:fldCharType="end"/>
          </w:r>
        </w:p>
      </w:sdtContent>
    </w:sdt>
    <w:p>
      <w:pPr>
        <w:keepNext w:val="0"/>
        <w:keepLines w:val="0"/>
        <w:pageBreakBefore w:val="0"/>
        <w:kinsoku/>
        <w:wordWrap/>
        <w:overflowPunct/>
        <w:topLinePunct w:val="0"/>
        <w:autoSpaceDE/>
        <w:autoSpaceDN/>
        <w:bidi w:val="0"/>
        <w:spacing w:line="240" w:lineRule="atLeast"/>
        <w:ind w:left="0" w:leftChars="0" w:right="-420" w:rightChars="-200" w:firstLine="420" w:firstLineChars="200"/>
        <w:rPr>
          <w:rFonts w:hint="eastAsia" w:ascii="仿宋_GB2312" w:hAnsi="仿宋_GB2312" w:eastAsia="仿宋_GB2312" w:cs="仿宋_GB2312"/>
          <w:i w:val="0"/>
          <w:iCs w:val="0"/>
          <w:color w:val="auto"/>
          <w:kern w:val="0"/>
          <w:szCs w:val="21"/>
          <w:highlight w:val="none"/>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sectPr>
          <w:footerReference r:id="rId4" w:type="default"/>
          <w:pgSz w:w="11906" w:h="16838"/>
          <w:pgMar w:top="567" w:right="1206" w:bottom="567" w:left="1060"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560" w:firstLineChars="200"/>
        <w:textAlignment w:val="auto"/>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14:textFill>
            <w14:solidFill>
              <w14:schemeClr w14:val="tx1"/>
            </w14:solidFill>
          </w14:textFill>
        </w:rPr>
        <w:t>根据《中华人民共</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和国民法典》《中华人民共和国建筑法》《建设工程质量管理条例》及有关法律、法规，甲乙双方在平等、自愿、公平和诚实信用的基础上，就乙方承包</w:t>
      </w:r>
      <w:r>
        <w:rPr>
          <w:rFonts w:hint="eastAsia" w:ascii="仿宋_GB2312" w:hAnsi="仿宋_GB2312" w:eastAsia="仿宋_GB2312" w:cs="仿宋_GB2312"/>
          <w:b w:val="0"/>
          <w:bCs w:val="0"/>
          <w:i w:val="0"/>
          <w:iCs w:val="0"/>
          <w:color w:val="auto"/>
          <w:sz w:val="28"/>
          <w:szCs w:val="28"/>
          <w:highlight w:val="none"/>
          <w:u w:val="single"/>
          <w:shd w:val="clear" w:color="auto" w:fill="auto"/>
        </w:rPr>
        <w:t>常平环保专业基地A</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none"/>
          <w:u w:val="single"/>
          <w:shd w:val="clear" w:color="auto" w:fill="auto"/>
        </w:rPr>
        <w:t>-0</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none"/>
          <w:u w:val="single"/>
          <w:shd w:val="clear" w:color="auto" w:fill="auto"/>
        </w:rPr>
        <w:t>地块</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印花及水洗</w:t>
      </w:r>
      <w:r>
        <w:rPr>
          <w:rFonts w:hint="eastAsia" w:ascii="仿宋_GB2312" w:hAnsi="仿宋_GB2312" w:eastAsia="仿宋_GB2312" w:cs="仿宋_GB2312"/>
          <w:b w:val="0"/>
          <w:bCs w:val="0"/>
          <w:i w:val="0"/>
          <w:iCs w:val="0"/>
          <w:color w:val="auto"/>
          <w:sz w:val="28"/>
          <w:szCs w:val="28"/>
          <w:highlight w:val="none"/>
          <w:u w:val="single"/>
          <w:shd w:val="clear" w:color="auto" w:fill="auto"/>
        </w:rPr>
        <w:t>项目预应力管桩工程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（以下简称“本工程”）有关事项协商一致，特签订本合同以共同遵守。</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本合同范围内，对</w:t>
      </w:r>
      <w:r>
        <w:rPr>
          <w:rFonts w:hint="eastAsia" w:ascii="仿宋" w:hAnsi="仿宋" w:eastAsia="仿宋" w:cs="仿宋"/>
          <w:i w:val="0"/>
          <w:iCs w:val="0"/>
          <w:color w:val="000000" w:themeColor="text1"/>
          <w:kern w:val="0"/>
          <w:sz w:val="28"/>
          <w:szCs w:val="28"/>
          <w:highlight w:val="none"/>
          <w:u w:val="none"/>
          <w:shd w:val="clear" w:color="auto" w:fill="auto"/>
          <w:lang w:val="en-US" w:eastAsia="zh-CN"/>
          <w14:textFill>
            <w14:solidFill>
              <w14:schemeClr w14:val="tx1"/>
            </w14:solidFill>
          </w14:textFill>
        </w:rPr>
        <w:t>以</w:t>
      </w:r>
      <w:r>
        <w:rPr>
          <w:rFonts w:hint="eastAsia" w:ascii="仿宋" w:hAnsi="仿宋" w:eastAsia="仿宋" w:cs="仿宋"/>
          <w:b/>
          <w:bCs/>
          <w:i w:val="0"/>
          <w:iCs w:val="0"/>
          <w:color w:val="000000" w:themeColor="text1"/>
          <w:sz w:val="28"/>
          <w:szCs w:val="28"/>
          <w:highlight w:val="none"/>
          <w:u w:val="none"/>
          <w:lang w:val="en-US" w:eastAsia="zh-CN"/>
          <w14:textFill>
            <w14:solidFill>
              <w14:schemeClr w14:val="tx1"/>
            </w14:solidFill>
          </w14:textFill>
        </w:rPr>
        <w:sym w:font="Wingdings" w:char="00FE"/>
      </w:r>
      <w:r>
        <w:rPr>
          <w:rFonts w:hint="eastAsia" w:ascii="仿宋" w:hAnsi="仿宋" w:eastAsia="仿宋" w:cs="仿宋"/>
          <w:i w:val="0"/>
          <w:iCs w:val="0"/>
          <w:color w:val="000000" w:themeColor="text1"/>
          <w:kern w:val="0"/>
          <w:sz w:val="28"/>
          <w:szCs w:val="28"/>
          <w:highlight w:val="none"/>
          <w:u w:val="none"/>
          <w:shd w:val="clear" w:color="auto" w:fill="auto"/>
          <w:lang w:val="en-US" w:eastAsia="zh-CN"/>
          <w14:textFill>
            <w14:solidFill>
              <w14:schemeClr w14:val="tx1"/>
            </w14:solidFill>
          </w14:textFill>
        </w:rPr>
        <w:t>或</w:t>
      </w:r>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sym w:font="Wingdings" w:char="00A8"/>
      </w:r>
      <w:r>
        <w:rPr>
          <w:rFonts w:hint="eastAsia" w:ascii="仿宋" w:hAnsi="仿宋" w:eastAsia="仿宋" w:cs="仿宋"/>
          <w:i w:val="0"/>
          <w:iCs w:val="0"/>
          <w:color w:val="000000" w:themeColor="text1"/>
          <w:kern w:val="0"/>
          <w:sz w:val="28"/>
          <w:szCs w:val="28"/>
          <w:highlight w:val="none"/>
          <w:u w:val="none"/>
          <w:shd w:val="clear" w:color="auto" w:fill="auto"/>
          <w:lang w:val="en-US" w:eastAsia="zh-CN"/>
          <w14:textFill>
            <w14:solidFill>
              <w14:schemeClr w14:val="tx1"/>
            </w14:solidFill>
          </w14:textFill>
        </w:rPr>
        <w:t>开头的内容，以</w:t>
      </w:r>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sym w:font="Wingdings" w:char="00FE"/>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开头的内容为准。</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_GB2312" w:hAnsi="仿宋_GB2312" w:eastAsia="仿宋_GB2312" w:cs="仿宋_GB2312"/>
          <w:i w:val="0"/>
          <w:iCs w:val="0"/>
          <w:color w:val="auto"/>
          <w:kern w:val="0"/>
          <w:sz w:val="28"/>
          <w:szCs w:val="28"/>
          <w:highlight w:val="none"/>
          <w:shd w:val="clear" w:color="auto" w:fill="auto"/>
          <w:lang w:eastAsia="zh-CN"/>
        </w:rPr>
      </w:pPr>
    </w:p>
    <w:p>
      <w:pPr>
        <w:keepNext w:val="0"/>
        <w:keepLines w:val="0"/>
        <w:pageBreakBefore w:val="0"/>
        <w:numPr>
          <w:ilvl w:val="0"/>
          <w:numId w:val="1"/>
        </w:numPr>
        <w:kinsoku/>
        <w:wordWrap/>
        <w:overflowPunct/>
        <w:topLinePunct w:val="0"/>
        <w:autoSpaceDE/>
        <w:autoSpaceDN/>
        <w:bidi w:val="0"/>
        <w:snapToGrid w:val="0"/>
        <w:spacing w:line="560" w:lineRule="exact"/>
        <w:ind w:left="0" w:leftChars="0" w:right="-420" w:rightChars="-200" w:firstLine="0" w:firstLineChars="0"/>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0" w:name="_Toc26146"/>
      <w:bookmarkStart w:id="1" w:name="_Toc1208"/>
      <w:bookmarkStart w:id="2" w:name="_Toc13700"/>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项目概况</w:t>
      </w:r>
      <w:bookmarkEnd w:id="0"/>
      <w:bookmarkEnd w:id="1"/>
      <w:bookmarkEnd w:id="2"/>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none"/>
          <w:u w:val="single"/>
          <w:shd w:val="clear" w:color="auto" w:fill="auto"/>
          <w:lang w:eastAsia="zh-CN"/>
        </w:rPr>
      </w:pPr>
      <w:r>
        <w:rPr>
          <w:rFonts w:hint="eastAsia" w:ascii="仿宋_GB2312" w:hAnsi="仿宋_GB2312" w:eastAsia="仿宋_GB2312" w:cs="仿宋_GB2312"/>
          <w:i w:val="0"/>
          <w:iCs w:val="0"/>
          <w:color w:val="auto"/>
          <w:sz w:val="28"/>
          <w:szCs w:val="28"/>
          <w:highlight w:val="none"/>
          <w:shd w:val="clear" w:color="auto" w:fill="auto"/>
        </w:rPr>
        <w:t>1.1项目名称：</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rPr>
        <w:t>常平环保专业基地A</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none"/>
          <w:u w:val="single"/>
          <w:shd w:val="clear" w:color="auto" w:fill="auto"/>
        </w:rPr>
        <w:t>-0</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none"/>
          <w:u w:val="single"/>
          <w:shd w:val="clear" w:color="auto" w:fill="auto"/>
        </w:rPr>
        <w:t>地块</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印花及水洗</w:t>
      </w:r>
      <w:r>
        <w:rPr>
          <w:rFonts w:hint="eastAsia" w:ascii="仿宋_GB2312" w:hAnsi="仿宋_GB2312" w:eastAsia="仿宋_GB2312" w:cs="仿宋_GB2312"/>
          <w:b w:val="0"/>
          <w:bCs w:val="0"/>
          <w:i w:val="0"/>
          <w:iCs w:val="0"/>
          <w:color w:val="auto"/>
          <w:sz w:val="28"/>
          <w:szCs w:val="28"/>
          <w:highlight w:val="none"/>
          <w:u w:val="single"/>
          <w:shd w:val="clear" w:color="auto" w:fill="auto"/>
        </w:rPr>
        <w:t>项目</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以下简称“本项目”</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rPr>
        <w:t>1.2项目地址：</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i w:val="0"/>
          <w:iCs w:val="0"/>
          <w:color w:val="auto"/>
          <w:sz w:val="28"/>
          <w:szCs w:val="28"/>
          <w:highlight w:val="none"/>
          <w:u w:val="single"/>
          <w:shd w:val="clear" w:color="auto" w:fill="auto"/>
        </w:rPr>
        <w:t>东莞市</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常平镇司马村谢常路石马河东边 </w:t>
      </w:r>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yellow"/>
          <w:u w:val="single"/>
          <w:shd w:val="clear" w:color="auto" w:fill="auto"/>
          <w:lang w:val="en-US" w:eastAsia="zh-CN"/>
        </w:rPr>
      </w:pPr>
      <w:r>
        <w:rPr>
          <w:rFonts w:hint="eastAsia" w:ascii="仿宋_GB2312" w:hAnsi="仿宋_GB2312" w:eastAsia="仿宋_GB2312" w:cs="仿宋_GB2312"/>
          <w:i w:val="0"/>
          <w:iCs w:val="0"/>
          <w:color w:val="auto"/>
          <w:sz w:val="28"/>
          <w:szCs w:val="28"/>
          <w:highlight w:val="yellow"/>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kinsoku/>
        <w:wordWrap/>
        <w:overflowPunct/>
        <w:topLinePunct w:val="0"/>
        <w:autoSpaceDE/>
        <w:autoSpaceDN/>
        <w:bidi w:val="0"/>
        <w:snapToGrid w:val="0"/>
        <w:spacing w:line="560" w:lineRule="exact"/>
        <w:ind w:left="0" w:leftChars="0" w:right="-420" w:rightChars="-20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1.4甲方提供施工基础条件及主要设施：</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乙方施工期间可使用甲方现场已有设施，甲方不另提供其他设施。</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3" w:name="_Toc9670"/>
      <w:bookmarkStart w:id="4" w:name="_Toc27213"/>
      <w:bookmarkStart w:id="5" w:name="_Toc15935"/>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承包</w:t>
      </w:r>
      <w:bookmarkEnd w:id="3"/>
      <w:bookmarkEnd w:id="4"/>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方式</w:t>
      </w:r>
      <w:bookmarkEnd w:id="5"/>
    </w:p>
    <w:p>
      <w:pPr>
        <w:keepNext w:val="0"/>
        <w:keepLines w:val="0"/>
        <w:pageBreakBefore w:val="0"/>
        <w:widowControl w:val="0"/>
        <w:tabs>
          <w:tab w:val="right" w:pos="8306"/>
        </w:tabs>
        <w:kinsoku/>
        <w:wordWrap/>
        <w:overflowPunct/>
        <w:topLinePunct w:val="0"/>
        <w:autoSpaceDE/>
        <w:autoSpaceDN/>
        <w:bidi w:val="0"/>
        <w:adjustRightInd/>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yellow"/>
        </w:rPr>
      </w:pPr>
      <w:r>
        <w:rPr>
          <w:rFonts w:hint="eastAsia" w:ascii="仿宋_GB2312" w:hAnsi="仿宋_GB2312" w:eastAsia="仿宋_GB2312" w:cs="仿宋_GB2312"/>
          <w:b w:val="0"/>
          <w:bCs w:val="0"/>
          <w:i w:val="0"/>
          <w:iCs w:val="0"/>
          <w:color w:val="auto"/>
          <w:kern w:val="0"/>
          <w:sz w:val="28"/>
          <w:szCs w:val="28"/>
          <w:highlight w:val="yellow"/>
          <w:shd w:val="clear" w:color="auto" w:fill="auto"/>
          <w:lang w:val="en-US" w:eastAsia="zh-CN"/>
        </w:rPr>
        <w:t>2.1</w:t>
      </w:r>
      <w:r>
        <w:rPr>
          <w:rFonts w:hint="eastAsia" w:ascii="仿宋" w:hAnsi="仿宋" w:eastAsia="仿宋" w:cs="仿宋"/>
          <w:i w:val="0"/>
          <w:iCs w:val="0"/>
          <w:color w:val="000000" w:themeColor="text1"/>
          <w:sz w:val="28"/>
          <w:szCs w:val="28"/>
          <w:highlight w:val="yellow"/>
          <w:u w:val="none"/>
          <w:shd w:val="clear" w:color="auto" w:fill="auto"/>
          <w:lang w:val="en-US" w:eastAsia="zh-CN"/>
          <w14:textFill>
            <w14:solidFill>
              <w14:schemeClr w14:val="tx1"/>
            </w14:solidFill>
          </w14:textFill>
        </w:rPr>
        <w:t>乙方对本工程的</w:t>
      </w:r>
      <w:r>
        <w:rPr>
          <w:rFonts w:hint="eastAsia" w:ascii="仿宋_GB2312" w:hAnsi="仿宋_GB2312" w:eastAsia="仿宋_GB2312" w:cs="仿宋_GB2312"/>
          <w:i w:val="0"/>
          <w:iCs w:val="0"/>
          <w:color w:val="auto"/>
          <w:sz w:val="28"/>
          <w:szCs w:val="28"/>
          <w:highlight w:val="yellow"/>
          <w:lang w:val="en-US" w:eastAsia="zh-CN"/>
        </w:rPr>
        <w:t>承包方式：</w:t>
      </w:r>
      <w:r>
        <w:rPr>
          <w:rFonts w:hint="eastAsia" w:ascii="仿宋_GB2312" w:hAnsi="仿宋_GB2312" w:eastAsia="仿宋_GB2312" w:cs="仿宋_GB2312"/>
          <w:i w:val="0"/>
          <w:iCs w:val="0"/>
          <w:color w:val="auto"/>
          <w:sz w:val="28"/>
          <w:szCs w:val="28"/>
          <w:highlight w:val="yellow"/>
        </w:rPr>
        <w:t>包工、包料</w:t>
      </w:r>
      <w:r>
        <w:rPr>
          <w:rFonts w:hint="eastAsia" w:ascii="仿宋" w:hAnsi="仿宋" w:eastAsia="仿宋" w:cs="仿宋"/>
          <w:b w:val="0"/>
          <w:bCs w:val="0"/>
          <w:i w:val="0"/>
          <w:iCs w:val="0"/>
          <w:color w:val="auto"/>
          <w:sz w:val="28"/>
          <w:szCs w:val="28"/>
          <w:highlight w:val="yellow"/>
          <w:u w:val="none"/>
          <w:shd w:val="clear" w:color="auto" w:fill="auto"/>
          <w:lang w:val="en-US" w:eastAsia="zh-CN"/>
        </w:rPr>
        <w:t>（仅不含甲供材）</w:t>
      </w:r>
      <w:r>
        <w:rPr>
          <w:rFonts w:hint="eastAsia" w:ascii="仿宋_GB2312" w:hAnsi="仿宋_GB2312" w:eastAsia="仿宋_GB2312" w:cs="仿宋_GB2312"/>
          <w:i w:val="0"/>
          <w:iCs w:val="0"/>
          <w:color w:val="auto"/>
          <w:sz w:val="28"/>
          <w:szCs w:val="28"/>
          <w:highlight w:val="yellow"/>
        </w:rPr>
        <w:t>、包机械设备（含进退场费、材料设备装卸搬运及保管等）、包安全文明施工、包水电、包住宿、包安装、包成品保护、包工期、包质量、包措施、包利润、包管理费、包税金、包风险、包保险、包场地清理、包产品检验检测合格、包断桩处理、包现场记录资料、包桩基测验测量、包锯凿桩头、包桩长度不够时接桩、包各种因素引起的物价上涨的风险及其他所有风险等本工程涉及的全部内容及费用。</w:t>
      </w:r>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jc w:val="left"/>
        <w:textAlignment w:val="auto"/>
        <w:rPr>
          <w:rFonts w:hint="default" w:ascii="仿宋_GB2312" w:hAnsi="仿宋_GB2312" w:eastAsia="仿宋_GB2312" w:cs="仿宋_GB2312"/>
          <w:b w:val="0"/>
          <w:bCs w:val="0"/>
          <w:i w:val="0"/>
          <w:iCs w:val="0"/>
          <w:color w:val="auto"/>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2.2</w:t>
      </w:r>
      <w:r>
        <w:rPr>
          <w:rFonts w:hint="eastAsia" w:ascii="仿宋_GB2312" w:hAnsi="仿宋_GB2312" w:eastAsia="仿宋_GB2312" w:cs="仿宋_GB2312"/>
          <w:i w:val="0"/>
          <w:iCs w:val="0"/>
          <w:color w:val="auto"/>
          <w:sz w:val="28"/>
          <w:szCs w:val="28"/>
          <w:highlight w:val="none"/>
          <w:lang w:val="en-US" w:eastAsia="zh-CN"/>
        </w:rPr>
        <w:t>乙方不负责本工程的施工水电，不负责路面破除与恢复。</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6" w:name="_Toc13192"/>
      <w:bookmarkStart w:id="7" w:name="_Toc24928"/>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乙方承包范围及主要工程内容</w:t>
      </w:r>
      <w:bookmarkEnd w:id="6"/>
      <w:bookmarkEnd w:id="7"/>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jc w:val="left"/>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bookmarkStart w:id="8" w:name="_Toc15548"/>
      <w:bookmarkStart w:id="9" w:name="_Toc15468"/>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本项目所有本工程图纸及报价清单</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范围</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高强预应力混凝土管桩（φ500PHC（125）AB型） </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等的</w:t>
      </w:r>
      <w:r>
        <w:rPr>
          <w:rFonts w:hint="eastAsia" w:ascii="仿宋" w:hAnsi="仿宋" w:eastAsia="仿宋" w:cs="仿宋"/>
          <w:i w:val="0"/>
          <w:iCs w:val="0"/>
          <w:color w:val="000000" w:themeColor="text1"/>
          <w:sz w:val="28"/>
          <w:szCs w:val="28"/>
          <w:highlight w:val="none"/>
          <w14:textFill>
            <w14:solidFill>
              <w14:schemeClr w14:val="tx1"/>
            </w14:solidFill>
          </w14:textFill>
        </w:rPr>
        <w:t>相关工作由乙方施工，</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具体施工范围按图纸、规范及甲方要求施工</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，过程中产生的全部人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报酬、材料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本合同约定的甲供材除外</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none"/>
          <w14:textFill>
            <w14:solidFill>
              <w14:schemeClr w14:val="tx1"/>
            </w14:solidFill>
          </w14:textFill>
        </w:rPr>
        <w:t>机械设备（含进退场费、材料设备装卸搬运及保管等）</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机具、</w:t>
      </w:r>
      <w:r>
        <w:rPr>
          <w:rFonts w:hint="eastAsia" w:ascii="仿宋" w:hAnsi="仿宋" w:eastAsia="仿宋" w:cs="仿宋"/>
          <w:i w:val="0"/>
          <w:iCs w:val="0"/>
          <w:color w:val="000000" w:themeColor="text1"/>
          <w:sz w:val="28"/>
          <w:szCs w:val="28"/>
          <w:highlight w:val="none"/>
          <w14:textFill>
            <w14:solidFill>
              <w14:schemeClr w14:val="tx1"/>
            </w14:solidFill>
          </w14:textFill>
        </w:rPr>
        <w:t>安全文明施工</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施工管理等由乙方解决</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3.2甲方提供的本工程图纸、清单所含内容由乙方施工，本合同另有约定的除外。</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3.3乙方自行控制好施工管理，自行组织对施工的有关质量、安全、进度、成本等现场组织管理工作，按甲方项目部确定的施工方案进行施工。</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3.4乙方对本工程质量按合同约定承担责任，对本工程的施工质量、安全生产、文明施工、工期进度和甲供材料限额使用等相关事项承担全部责任。</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3.5甲方提供的本工程图纸、清单所含内容由乙方施工，本合同另有约定的除外。甲方有权调整乙方的承包范围及内容，乙方不得以任何理由拒绝，否则甲方有权单方解除合同。</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3.6乙方自备机具的维修及养护由乙方自行负责；乙方自备/采购的材料、设备或小型机具必须符合设计规范及施工总包合同的要求。</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3.7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乙方自行控制施工管理，自行组织</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施工的有关质量、安全、进度、成本等现场组织管理工作</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具体施工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方案以甲方确定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为准。</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3.9合同单价内乙方负责施工的内容包括但不限于：</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3.9.1严格执行甲方发布的质量通病细则，所产生的费用已包含在合同单价内。</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3.9.2配备本工程所需电工，且电工须持证上岗。甲方电工仅对乙方电工进行监督、检查、管理、指导。</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3.9.3本工程具体作法以甲方与建设单位书面确认的交楼标准及施工图纸为准。</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3.9.4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合同总价内，不属于增加工程，除非双方额外签证，否则结算时不予计费。</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3.10乙方承包的风险：本工程施工过程中如出现赶工、交叉作业、停工及工人工资、材料费、机具费上涨等风险，相关费用增减已在合同单价中一次性考虑，乙方不得就上述原因要求甲方增补费用及另行计价。</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3.11乙方负责解决其人员的社会保险、工伤保险、人身意外伤害保险事宜，乙方对本工程质量按合同约定承担保修责任，对本工程的施工质量、安全生产、文明施工、工期进度和甲供材限额使用等相关事项承担全部责任。</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3.12乙方对本工程的施工质量、安全生产、文明施工、工期进度等相关问题承担全部责任。</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3.13本项目设计变更引起的增加工程，无论工程量大小及施工难度系数高低，如甲方要求乙方施工，乙方须按甲方要求施工，相关费用按本合同约定办理。</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3.14施工现场内本工程所需材料、机具的运输不另计费。材料进、出场时，派工人上、下车，上下车费用包含在合同单价内</w:t>
      </w:r>
      <w:r>
        <w:rPr>
          <w:rFonts w:hint="eastAsia" w:ascii="仿宋" w:hAnsi="仿宋" w:eastAsia="仿宋" w:cs="仿宋"/>
          <w:i w:val="0"/>
          <w:iCs w:val="0"/>
          <w:color w:val="auto"/>
          <w:sz w:val="28"/>
          <w:szCs w:val="28"/>
          <w:highlight w:val="none"/>
          <w:lang w:val="en-US" w:eastAsia="zh-CN"/>
        </w:rPr>
        <w:t>（甲供主材则材料卸车费用由乙方负责且费用包含在合同</w:t>
      </w:r>
      <w:r>
        <w:rPr>
          <w:rFonts w:hint="eastAsia" w:ascii="仿宋" w:hAnsi="仿宋" w:eastAsia="仿宋" w:cs="仿宋"/>
          <w:i w:val="0"/>
          <w:iCs w:val="0"/>
          <w:color w:val="auto"/>
          <w:sz w:val="28"/>
          <w:szCs w:val="28"/>
          <w:highlight w:val="none"/>
          <w:u w:val="single"/>
          <w:lang w:val="en-US" w:eastAsia="zh-CN"/>
        </w:rPr>
        <w:t>单</w:t>
      </w:r>
      <w:r>
        <w:rPr>
          <w:rFonts w:hint="eastAsia" w:ascii="仿宋" w:hAnsi="仿宋" w:eastAsia="仿宋" w:cs="仿宋"/>
          <w:i w:val="0"/>
          <w:iCs w:val="0"/>
          <w:color w:val="auto"/>
          <w:sz w:val="28"/>
          <w:szCs w:val="28"/>
          <w:highlight w:val="none"/>
          <w:lang w:val="en-US" w:eastAsia="zh-CN"/>
        </w:rPr>
        <w:t>价中）。</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3.15</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3.16</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乙方确认本工程桩机</w:t>
      </w:r>
      <w:r>
        <w:rPr>
          <w:rFonts w:hint="eastAsia" w:ascii="仿宋" w:hAnsi="仿宋" w:eastAsia="仿宋" w:cs="仿宋"/>
          <w:i w:val="0"/>
          <w:iCs w:val="0"/>
          <w:color w:val="000000" w:themeColor="text1"/>
          <w:sz w:val="28"/>
          <w:szCs w:val="28"/>
          <w:highlight w:val="yellow"/>
          <w:u w:val="single"/>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u w:val="none"/>
          <w:lang w:val="en-US" w:eastAsia="zh-CN"/>
          <w14:textFill>
            <w14:solidFill>
              <w14:schemeClr w14:val="tx1"/>
            </w14:solidFill>
          </w14:textFill>
        </w:rPr>
        <w:t>型号</w:t>
      </w:r>
      <w:r>
        <w:rPr>
          <w:rFonts w:hint="eastAsia" w:ascii="仿宋" w:hAnsi="仿宋" w:eastAsia="仿宋" w:cs="仿宋"/>
          <w:i w:val="0"/>
          <w:iCs w:val="0"/>
          <w:color w:val="000000" w:themeColor="text1"/>
          <w:sz w:val="28"/>
          <w:szCs w:val="28"/>
          <w:highlight w:val="yellow"/>
          <w:u w:val="single"/>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u w:val="none"/>
          <w:lang w:val="en-US" w:eastAsia="zh-CN"/>
          <w14:textFill>
            <w14:solidFill>
              <w14:schemeClr w14:val="tx1"/>
            </w14:solidFill>
          </w14:textFill>
        </w:rPr>
        <w:t>台，且以满足甲方工期可随时增加、减少桩机及配套设备。</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10" w:name="_Toc24812"/>
      <w:bookmarkStart w:id="11" w:name="_Toc29520"/>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工期</w:t>
      </w:r>
      <w:bookmarkEnd w:id="10"/>
      <w:bookmarkEnd w:id="11"/>
    </w:p>
    <w:p>
      <w:pPr>
        <w:keepNext w:val="0"/>
        <w:keepLines w:val="0"/>
        <w:pageBreakBefore w:val="0"/>
        <w:tabs>
          <w:tab w:val="right" w:pos="8306"/>
        </w:tabs>
        <w:kinsoku/>
        <w:wordWrap/>
        <w:overflowPunct/>
        <w:topLinePunct w:val="0"/>
        <w:autoSpaceDE/>
        <w:autoSpaceDN/>
        <w:bidi w:val="0"/>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14:textFill>
            <w14:solidFill>
              <w14:schemeClr w14:val="tx1"/>
            </w14:solidFill>
          </w14:textFill>
        </w:rPr>
        <w:t>.1</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w:t>
      </w:r>
      <w:r>
        <w:rPr>
          <w:rFonts w:hint="eastAsia" w:ascii="仿宋" w:hAnsi="仿宋" w:eastAsia="仿宋" w:cs="仿宋"/>
          <w:i w:val="0"/>
          <w:iCs w:val="0"/>
          <w:color w:val="000000" w:themeColor="text1"/>
          <w:sz w:val="28"/>
          <w:szCs w:val="28"/>
          <w:highlight w:val="none"/>
          <w14:textFill>
            <w14:solidFill>
              <w14:schemeClr w14:val="tx1"/>
            </w14:solidFill>
          </w14:textFill>
        </w:rPr>
        <w:t>工期</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详见下表：</w:t>
      </w:r>
    </w:p>
    <w:tbl>
      <w:tblPr>
        <w:tblStyle w:val="13"/>
        <w:tblW w:w="51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2"/>
        <w:gridCol w:w="1386"/>
        <w:gridCol w:w="1771"/>
        <w:gridCol w:w="2427"/>
        <w:gridCol w:w="2234"/>
        <w:gridCol w:w="9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42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序号</w:t>
            </w:r>
          </w:p>
        </w:tc>
        <w:tc>
          <w:tcPr>
            <w:tcW w:w="725" w:type="pct"/>
            <w:tcBorders>
              <w:tl2br w:val="nil"/>
              <w:tr2bl w:val="nil"/>
            </w:tcBorders>
            <w:noWrap/>
            <w:tcMar>
              <w:top w:w="15" w:type="dxa"/>
              <w:left w:w="15" w:type="dxa"/>
              <w:right w:w="15" w:type="dxa"/>
            </w:tcMar>
            <w:vAlign w:val="center"/>
          </w:tcPr>
          <w:p>
            <w:pPr>
              <w:jc w:val="center"/>
              <w:rPr>
                <w:rFonts w:hint="default" w:ascii="仿宋" w:hAnsi="仿宋" w:eastAsia="仿宋" w:cs="仿宋"/>
                <w:sz w:val="24"/>
                <w:szCs w:val="28"/>
                <w:lang w:val="en-US" w:eastAsia="zh-CN"/>
              </w:rPr>
            </w:pPr>
            <w:r>
              <w:rPr>
                <w:rFonts w:hint="eastAsia" w:ascii="仿宋" w:hAnsi="仿宋" w:eastAsia="仿宋" w:cs="仿宋"/>
                <w:sz w:val="24"/>
                <w:szCs w:val="28"/>
                <w:lang w:val="en-US" w:eastAsia="zh-CN"/>
              </w:rPr>
              <w:t>工程名称</w:t>
            </w:r>
          </w:p>
        </w:tc>
        <w:tc>
          <w:tcPr>
            <w:tcW w:w="926"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合同工期</w:t>
            </w:r>
          </w:p>
        </w:tc>
        <w:tc>
          <w:tcPr>
            <w:tcW w:w="1270"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计划进场开工日期</w:t>
            </w:r>
          </w:p>
        </w:tc>
        <w:tc>
          <w:tcPr>
            <w:tcW w:w="1168"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计划完工日期</w:t>
            </w:r>
          </w:p>
        </w:tc>
        <w:tc>
          <w:tcPr>
            <w:tcW w:w="48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42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1</w:t>
            </w:r>
          </w:p>
        </w:tc>
        <w:tc>
          <w:tcPr>
            <w:tcW w:w="725" w:type="pct"/>
            <w:tcBorders>
              <w:tl2br w:val="nil"/>
              <w:tr2bl w:val="nil"/>
            </w:tcBorders>
            <w:noWrap/>
            <w:tcMar>
              <w:top w:w="15" w:type="dxa"/>
              <w:left w:w="15" w:type="dxa"/>
              <w:right w:w="15" w:type="dxa"/>
            </w:tcMar>
            <w:vAlign w:val="center"/>
          </w:tcPr>
          <w:p>
            <w:pPr>
              <w:ind w:right="288" w:rightChars="137"/>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本工程</w:t>
            </w:r>
          </w:p>
        </w:tc>
        <w:tc>
          <w:tcPr>
            <w:tcW w:w="926"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highlight w:val="yellow"/>
                <w:lang w:val="en-US" w:eastAsia="zh-CN"/>
              </w:rPr>
            </w:pP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个日历天</w:t>
            </w:r>
          </w:p>
        </w:tc>
        <w:tc>
          <w:tcPr>
            <w:tcW w:w="1270"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highlight w:val="yellow"/>
                <w:lang w:val="en-US" w:eastAsia="zh-CN"/>
              </w:rPr>
            </w:pPr>
            <w:r>
              <w:rPr>
                <w:rFonts w:hint="eastAsia" w:ascii="仿宋" w:hAnsi="仿宋" w:eastAsia="仿宋" w:cs="仿宋"/>
                <w:sz w:val="24"/>
                <w:szCs w:val="28"/>
                <w:highlight w:val="yellow"/>
                <w:lang w:val="en-US" w:eastAsia="zh-CN"/>
              </w:rPr>
              <w:t>2023年</w:t>
            </w: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月</w:t>
            </w: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日</w:t>
            </w:r>
          </w:p>
        </w:tc>
        <w:tc>
          <w:tcPr>
            <w:tcW w:w="1168"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highlight w:val="yellow"/>
                <w:lang w:val="en-US" w:eastAsia="zh-CN"/>
              </w:rPr>
            </w:pPr>
            <w:r>
              <w:rPr>
                <w:rFonts w:hint="eastAsia" w:ascii="仿宋" w:hAnsi="仿宋" w:eastAsia="仿宋" w:cs="仿宋"/>
                <w:sz w:val="24"/>
                <w:szCs w:val="28"/>
                <w:highlight w:val="yellow"/>
                <w:lang w:val="en-US" w:eastAsia="zh-CN"/>
              </w:rPr>
              <w:t>2023年</w:t>
            </w: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月</w:t>
            </w: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日</w:t>
            </w:r>
          </w:p>
        </w:tc>
        <w:tc>
          <w:tcPr>
            <w:tcW w:w="48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p>
        </w:tc>
      </w:tr>
    </w:tbl>
    <w:p>
      <w:pPr>
        <w:keepNext w:val="0"/>
        <w:keepLines w:val="0"/>
        <w:pageBreakBefore w:val="0"/>
        <w:widowControl w:val="0"/>
        <w:tabs>
          <w:tab w:val="right" w:pos="8306"/>
        </w:tabs>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4.2本合同工期开工日期为暂定时间，实际开工、完工时间以甲方书面通知为准，甲方书面通知形式包括不限于微信、短信、</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ab/>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传真、电子邮件、纸质文件等。乙方无条件按甲方要求调整开工、完工时间，同时，乙方自行调整其人员、材料物资、资金的安排，随时配合甲方开工、完工并按本合同约定价款执行。因甲方变更工期导致乙方损失的已经包含在</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总价</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内，甲方不另补偿或增加任何费用给乙方。因甲方原因导致乙方延迟进场的，经甲方书面确认后工期相应顺延，但甲方不额外支付窝工费、停工费等费用给乙方，乙方同意不因此追究甲方任何责任及赔偿损失。</w:t>
      </w:r>
    </w:p>
    <w:p>
      <w:pPr>
        <w:keepNext w:val="0"/>
        <w:keepLines w:val="0"/>
        <w:pageBreakBefore w:val="0"/>
        <w:tabs>
          <w:tab w:val="right" w:pos="8306"/>
        </w:tabs>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3乙方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严格遵照甲方制订的施工进度计划</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实施并完成相关工作</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接受</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甲方项目部施工任务</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安排，否则甲方可按合同对乙方予以处罚。</w:t>
      </w:r>
    </w:p>
    <w:p>
      <w:pPr>
        <w:keepNext w:val="0"/>
        <w:keepLines w:val="0"/>
        <w:pageBreakBefore w:val="0"/>
        <w:tabs>
          <w:tab w:val="right" w:pos="8306"/>
        </w:tabs>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4.4</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乙方已充分考虑天气</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及各种因素、除不可抗力（如：地震、海啸、瘟疫、骚乱、戒严、暴动、战争等法定情形外）及其他原因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可能对工期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影响，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乙方同意</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任何</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要求延长工期。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乙方必须满足</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工期要求，</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配合甲方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随时增加或减少</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人员</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以满足本工程施工要求</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4.6乙方确定在本合同签订前，已勘察本项目现场场地，对本工程特性全部清楚，因甲方原因导致施工计划调整的，乙方积极配合。</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乙方认为甲方或其他单位未配合提供</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所需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工作面</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机具及材料而影响施工进度</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书面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告甲方并</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要求办理相关事宜</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，否则视为不影响乙方施工，乙方不得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因此</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要求延</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长</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4.8本项目竣工验收移交甲方后、保修期结束前，如甲方在本项目内有新增工程且要求乙方进行报价施工时，乙方须予配合。</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4.9</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其他：无。</w:t>
      </w:r>
    </w:p>
    <w:bookmarkEnd w:id="8"/>
    <w:bookmarkEnd w:id="9"/>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12" w:name="_Toc15861"/>
      <w:bookmarkStart w:id="13" w:name="_Toc9090"/>
      <w:bookmarkStart w:id="14" w:name="_Toc9456"/>
      <w:bookmarkStart w:id="15" w:name="_Toc11683"/>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工程质量标准</w:t>
      </w:r>
      <w:bookmarkEnd w:id="12"/>
      <w:bookmarkEnd w:id="13"/>
      <w:bookmarkEnd w:id="14"/>
      <w:bookmarkEnd w:id="15"/>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5.1</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质量标准：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达到国家</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行业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施工质量验收规范的</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优良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标准</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本合同另有约定的亦须同时符合该约定</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5.2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甲方（或监理、</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建设单位、政府部门）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检查</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本工程或本项目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应安排管理人员配合检查</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否则每次向甲方承担违约金人民币贰万元。</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乙方施工过程中必须进行质量检查，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并按甲方要求做好标记及书面资料，严格执行三级检查制度。乙方须坚决落实甲方、政府部门提出的整改要求，凡未按要求落实整改的，甲方有权对乙方罚款贰仟至伍万元/次，整改二次以上的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甲方有权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对本工程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按</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 xml:space="preserve">合同单价下浮5%予以结算。   </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施工过程中必须进行质量检查并提供书面记录，同时在相应的检查部位作好标记由甲方施工员复查，再通知甲方质安组核查，坚决严格执行三级检查制度。三级检查的书面记录经整理后作为工程进度款申请书、结算书的附件，否则甲方有权不办理结算、不向乙方支付工程款项且不造成违约。无乙方检查记录和甲方项目经理检查记录以及甲方施工员出具的整改完成证明书，相关工程内容如达到结算条件，则按合同单价下浮10%计价。</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default" w:ascii="仿宋" w:hAnsi="仿宋" w:eastAsia="仿宋" w:cs="仿宋"/>
          <w:i w:val="0"/>
          <w:iCs w:val="0"/>
          <w:color w:val="000000" w:themeColor="text1"/>
          <w:sz w:val="28"/>
          <w:szCs w:val="28"/>
          <w:highlight w:val="yellow"/>
          <w:u w:val="single"/>
          <w:lang w:val="en-US" w:eastAsia="zh-CN"/>
          <w14:textFill>
            <w14:solidFill>
              <w14:schemeClr w14:val="tx1"/>
            </w14:solidFill>
          </w14:textFill>
        </w:rPr>
      </w:pPr>
      <w:bookmarkStart w:id="16" w:name="_Toc4754"/>
      <w:bookmarkStart w:id="17" w:name="_Toc4204"/>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5.4</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施工方案及</w:t>
      </w:r>
      <w:r>
        <w:rPr>
          <w:rFonts w:hint="eastAsia" w:ascii="仿宋" w:hAnsi="仿宋" w:eastAsia="仿宋" w:cs="仿宋"/>
          <w:i w:val="0"/>
          <w:iCs w:val="0"/>
          <w:color w:val="000000" w:themeColor="text1"/>
          <w:sz w:val="28"/>
          <w:szCs w:val="28"/>
          <w:highlight w:val="yellow"/>
          <w:shd w:val="clear" w:color="auto" w:fill="auto"/>
          <w14:textFill>
            <w14:solidFill>
              <w14:schemeClr w14:val="tx1"/>
            </w14:solidFill>
          </w14:textFill>
        </w:rPr>
        <w:t>质量要点</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详见第三章，并以甲方要求及施工图纸为准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shd w:val="clear" w:color="auto" w:fill="auto"/>
          <w:lang w:val="en-US" w:eastAsia="zh-CN"/>
        </w:rPr>
        <w:t>5.5乙供</w:t>
      </w:r>
      <w:r>
        <w:rPr>
          <w:rFonts w:hint="eastAsia" w:ascii="仿宋" w:hAnsi="仿宋" w:eastAsia="仿宋" w:cs="仿宋"/>
          <w:i w:val="0"/>
          <w:iCs w:val="0"/>
          <w:color w:val="auto"/>
          <w:sz w:val="28"/>
          <w:szCs w:val="28"/>
          <w:highlight w:val="none"/>
        </w:rPr>
        <w:t>材料收货验收流程及标准</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val="en-US" w:eastAsia="zh-CN"/>
        </w:rPr>
        <w:t>5.5.</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主要材料、设备进场时乙方向甲方提供“产品出厂合格证、原材料检验报告、出厂质量证明书”等有关资料并在当天移交甲方存档</w:t>
      </w:r>
      <w:r>
        <w:rPr>
          <w:rFonts w:hint="eastAsia" w:ascii="仿宋" w:hAnsi="仿宋" w:eastAsia="仿宋" w:cs="仿宋"/>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5.5.</w:t>
      </w:r>
      <w:r>
        <w:rPr>
          <w:rFonts w:hint="eastAsia" w:ascii="仿宋" w:hAnsi="仿宋" w:eastAsia="仿宋" w:cs="仿宋"/>
          <w:i w:val="0"/>
          <w:iCs w:val="0"/>
          <w:color w:val="auto"/>
          <w:sz w:val="28"/>
          <w:szCs w:val="28"/>
          <w:highlight w:val="none"/>
        </w:rPr>
        <w:t>2</w:t>
      </w:r>
      <w:r>
        <w:rPr>
          <w:rFonts w:hint="eastAsia" w:ascii="仿宋" w:hAnsi="仿宋" w:eastAsia="仿宋" w:cs="仿宋"/>
          <w:i w:val="0"/>
          <w:iCs w:val="0"/>
          <w:color w:val="auto"/>
          <w:sz w:val="28"/>
          <w:szCs w:val="28"/>
          <w:highlight w:val="none"/>
          <w:lang w:val="en-US" w:eastAsia="zh-CN"/>
        </w:rPr>
        <w:t>甲方项目施工员在</w:t>
      </w:r>
      <w:r>
        <w:rPr>
          <w:rFonts w:hint="eastAsia" w:ascii="仿宋" w:hAnsi="仿宋" w:eastAsia="仿宋" w:cs="仿宋"/>
          <w:i w:val="0"/>
          <w:iCs w:val="0"/>
          <w:color w:val="auto"/>
          <w:sz w:val="28"/>
          <w:szCs w:val="28"/>
          <w:highlight w:val="none"/>
          <w:shd w:val="clear" w:color="auto" w:fill="auto"/>
          <w:lang w:val="en-US" w:eastAsia="zh-CN"/>
        </w:rPr>
        <w:t>乙供</w:t>
      </w:r>
      <w:r>
        <w:rPr>
          <w:rFonts w:hint="eastAsia" w:ascii="仿宋" w:hAnsi="仿宋" w:eastAsia="仿宋" w:cs="仿宋"/>
          <w:i w:val="0"/>
          <w:iCs w:val="0"/>
          <w:color w:val="auto"/>
          <w:sz w:val="28"/>
          <w:szCs w:val="28"/>
          <w:highlight w:val="none"/>
        </w:rPr>
        <w:t>材料</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5.5.3对不符合合同要求的甲指乙供</w:t>
      </w:r>
      <w:r>
        <w:rPr>
          <w:rFonts w:hint="eastAsia" w:ascii="仿宋" w:hAnsi="仿宋" w:eastAsia="仿宋" w:cs="仿宋"/>
          <w:i w:val="0"/>
          <w:iCs w:val="0"/>
          <w:color w:val="auto"/>
          <w:sz w:val="28"/>
          <w:szCs w:val="28"/>
          <w:highlight w:val="none"/>
        </w:rPr>
        <w:t>材料</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如材料的品牌、规格、型号、质量等</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strike w:val="0"/>
          <w:dstrike w:val="0"/>
          <w:color w:val="auto"/>
          <w:sz w:val="28"/>
          <w:szCs w:val="28"/>
          <w:highlight w:val="none"/>
          <w:lang w:val="en-US" w:eastAsia="zh-CN"/>
        </w:rPr>
        <w:t>由甲方本合同执行联系人</w:t>
      </w:r>
      <w:r>
        <w:rPr>
          <w:rFonts w:hint="eastAsia" w:ascii="仿宋" w:hAnsi="仿宋" w:eastAsia="仿宋" w:cs="仿宋"/>
          <w:i w:val="0"/>
          <w:iCs w:val="0"/>
          <w:color w:val="auto"/>
          <w:sz w:val="28"/>
          <w:szCs w:val="28"/>
          <w:highlight w:val="none"/>
        </w:rPr>
        <w:t>按合同要求直接拒收</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退场并作好记录备查，不允许</w:t>
      </w:r>
      <w:r>
        <w:rPr>
          <w:rFonts w:hint="eastAsia" w:ascii="仿宋" w:hAnsi="仿宋" w:eastAsia="仿宋" w:cs="仿宋"/>
          <w:i w:val="0"/>
          <w:iCs w:val="0"/>
          <w:color w:val="auto"/>
          <w:sz w:val="28"/>
          <w:szCs w:val="28"/>
          <w:highlight w:val="none"/>
          <w:lang w:val="en-US" w:eastAsia="zh-CN"/>
        </w:rPr>
        <w:t>折价收货</w:t>
      </w:r>
      <w:r>
        <w:rPr>
          <w:rFonts w:hint="eastAsia" w:ascii="仿宋" w:hAnsi="仿宋" w:eastAsia="仿宋" w:cs="仿宋"/>
          <w:i w:val="0"/>
          <w:iCs w:val="0"/>
          <w:color w:val="auto"/>
          <w:sz w:val="28"/>
          <w:szCs w:val="28"/>
          <w:highlight w:val="none"/>
        </w:rPr>
        <w:t>不符合合同</w:t>
      </w:r>
      <w:r>
        <w:rPr>
          <w:rFonts w:hint="eastAsia" w:ascii="仿宋" w:hAnsi="仿宋" w:eastAsia="仿宋" w:cs="仿宋"/>
          <w:i w:val="0"/>
          <w:iCs w:val="0"/>
          <w:color w:val="auto"/>
          <w:sz w:val="28"/>
          <w:szCs w:val="28"/>
          <w:highlight w:val="none"/>
          <w:lang w:val="en-US" w:eastAsia="zh-CN"/>
        </w:rPr>
        <w:t>要求的材料，且</w:t>
      </w:r>
      <w:r>
        <w:rPr>
          <w:rFonts w:hint="eastAsia" w:ascii="仿宋" w:hAnsi="仿宋" w:eastAsia="仿宋" w:cs="仿宋"/>
          <w:i w:val="0"/>
          <w:iCs w:val="0"/>
          <w:strike w:val="0"/>
          <w:dstrike w:val="0"/>
          <w:color w:val="auto"/>
          <w:sz w:val="28"/>
          <w:szCs w:val="28"/>
          <w:highlight w:val="none"/>
          <w:lang w:val="en-US" w:eastAsia="zh-CN"/>
        </w:rPr>
        <w:t>乙方向甲方承担违约金（违约金金额等于不符合合同约定的材料金额的三倍但最少不低于五万元/次），甲方有权在任意一笔应付乙方的合同款中自行扣取违约金。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5.6</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其他：</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无。</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合同价款</w:t>
      </w:r>
      <w:bookmarkEnd w:id="16"/>
      <w:bookmarkEnd w:id="17"/>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6.1乙方完成本合同第三章承包范围内所有工作、实现第四章工期要求及承担合同义务、责任、风险的费用已包括在下列（以打</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sym w:font="Wingdings" w:char="00FE"/>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为准）合同价中。</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6.1.1</w:t>
      </w:r>
      <w:r>
        <w:rPr>
          <w:rFonts w:hint="eastAsia" w:ascii="仿宋" w:hAnsi="仿宋" w:eastAsia="仿宋" w:cs="仿宋"/>
          <w:b/>
          <w:bCs/>
          <w:i w:val="0"/>
          <w:iCs w:val="0"/>
          <w:color w:val="000000" w:themeColor="text1"/>
          <w:sz w:val="28"/>
          <w:szCs w:val="28"/>
          <w:highlight w:val="none"/>
          <w:u w:val="none"/>
          <w:lang w:val="en-US" w:eastAsia="zh-CN"/>
          <w14:textFill>
            <w14:solidFill>
              <w14:schemeClr w14:val="tx1"/>
            </w14:solidFill>
          </w14:textFill>
        </w:rPr>
        <w:sym w:font="Wingdings" w:char="00A8"/>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本合同为固定单价合同，</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工程量按实结算。</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合同单价（详见附件一）为全费用固定综合含税单价，乙方开具税率</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%的增值税专用发票（税率按国家政策执行，如税率调整，合同单价随之调整）</w:t>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，除合同另有约定外，合同单价不作任何调整。</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合同单价包含乙方完成本合同及本合同附件所述内容的全部费用。本合同暂定总价为人民币</w:t>
      </w:r>
      <w:r>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），此价仅供参考，不作结算用途。</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6.1.2乙方完成下述工作及应对下述情况、风险的费用已包含在本合同单价中，甲方无需另行付费给乙方：</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（1）对相关施工机械及总分配电箱、电缆线进行维护、保养。甲方只负责将配电箱接至施工区域附近，乙方自行接至工作面开关箱，电线、电缆由乙方负责。</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配备本工程所需电工，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电工须持证上岗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甲方电工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仅对乙方电工进行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监督、检查、管理、指导</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确保本工程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满足</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所在地建设安全管理标准化施工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要求，一次性达到本项目所在地建设行政主管部门的达标要求及本合同要求</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春节、元旦、五一、十一、周末等法定节假日及技术要求或进度计划要求</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赶工、加班。</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参与甲供材料（如有）申报采购、验收和收货，其数量作为乙方使用材料损耗率指标的核算依据。</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施工过程出现赶工、交叉作业、停工及工人工资、材料费、机具费上涨等</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导致乙方成本、费用发生</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增</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不因此</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要求甲方对合同价</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进行调整和另行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增补</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费用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各种风险费用已包含在本合同价款内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在本工程施工期间不因任何理由（税率调整除外）要求甲方进行价格调整（尤其不因施工期间的人工、材料、机械设备等价格涨跌而要求甲方调整），风险包括因为地质变化导致本工程所需的所有单节桩小于8米长的管桩配置，已经包含在单价内，不另外增补任何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6.2本合同第6.1条所述价格已考虑“COVID-19”疫情等流行疾病影响，乙方不以疫情等疾病防控为由要求甲方对该价格、合同结算办法及工期等合同条款进行调整，疾病防疫措施的一切费用已包含在合同价内，不另计费。</w:t>
      </w:r>
      <w:bookmarkStart w:id="18" w:name="_Toc5821"/>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口头指示、通知不作为结算依据。未经甲方盖章书面签证确认或乙方超出图纸、合同清单范围施工的工程量，不属于增加工程，结算时不纳入结算范围。</w:t>
      </w:r>
    </w:p>
    <w:p>
      <w:pPr>
        <w:keepNext w:val="0"/>
        <w:keepLines w:val="0"/>
        <w:pageBreakBefore w:val="0"/>
        <w:kinsoku/>
        <w:wordWrap/>
        <w:overflowPunct/>
        <w:topLinePunct w:val="0"/>
        <w:autoSpaceDE/>
        <w:autoSpaceDN/>
        <w:bidi w:val="0"/>
        <w:adjustRightInd/>
        <w:snapToGrid w:val="0"/>
        <w:spacing w:line="560" w:lineRule="exact"/>
        <w:ind w:left="-199" w:leftChars="-95" w:right="-653" w:rightChars="-311" w:firstLine="417" w:firstLineChars="149"/>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19" w:name="_Toc26517"/>
      <w:bookmarkStart w:id="20" w:name="_Toc20672"/>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计量计价方式及结算方式（各组团按甲方要求分别独立结算）</w:t>
      </w:r>
      <w:bookmarkEnd w:id="19"/>
      <w:bookmarkEnd w:id="20"/>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7.1工程量计算原则：</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7.1.1总价包干合同:合同范围内的按合同约定的计算原则执行，合同无约定或合同范围外的签证、变更工程计量方式按第7.1.2.1～7.3.5条规则执行。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7.1.2固定单价合同：合同范围内的按合同约定的计算原则执行，合同无约定或合同范围外的签证、变更工程计量方式按以下规则执行。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7.1.2.1工程量计算以甲方确认的竣工图尺寸为准，以“米”为计量单位计算；图纸以外的工程凭甲方认可的建设单位签证及相关依据办理结算；任何人的口头指示、通知不作为结算依据。经甲方验收合格的工程，按“完成施工并达到合同标准的实际工程量×相应合同单价”的方式结算。工程量计算规则如下：</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① 工程量按桩入土长度计算（桩尖长度不计），其中空桩按实际送桩长度计量；</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② 因乙方配桩或测量等乙方原因须补桩或承台加大或加深，属乙方责任，其费用由乙方承担；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③ 自然地面以上的桩不计量；</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④ 断桩和破桩等不合格的桩不予计量（除建设单位因地质原因同意签证外），同时，乙方须按甲方及设计要求完成补桩或其它满足要求方法处理，费用由乙方承担；在连续发生3条桩施工不正常时，乙方向甲方报告须甲方再次明确后方可继续施工，否则导致的损失由乙方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7.1.2.2计量依据：①甲方签认下发的施工图；②设计变更、甲方与建设方签认的联系单及签证单；③建设方、监理签认的竣工图；④建设方的交楼标准；⑤图纸会审纪要；⑥质监站要求而图纸中没有的报建设方同意施工的内容；⑦建设方、监理、甲方、乙方四方测量签字确认的原始场地标高图及场地完成后标高图（适用于土方工程）；⑧建设方、监理、甲方、乙方四方测量签字确认的打桩记录表等</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资料原件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（适用于桩基工程、搅拌桩工程、钢板桩工程、旋挖桩、工法桩等全部桩基工程）；⑨</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桩基施工行走路线图复印件；⑩管桩送货单、材料进场验收单</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7.2计价依据</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7.2.1合同范围内的工程，按合同单价执行；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7.2.2合同范围外的签证、变更、增加工程、按以下办法计价：</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7.2.2.1合同中已有适用于该工程的价格时，按合同已有的价格执行；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7.2.2.2合同中只有类似于该工程的价格时，可在合理范围内参照类似价格执行；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7.2.3合同中没有适用或类似于该工程的价格时，按以下计价规则执行。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7.3计价规则：</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7.3.1本工程执行《2018广东省建筑与装饰工程综合定额》、《2018广东省安装工程综合定额》清单计价程序取费，绿化部分执行《2018广东省园林绿化工程综合定额》清单计价程序取费。采用清单计价，执行《建设工程工程量清单计价规范》（GB50500—2013）；同时执行《广东省建设工程计价依据（2018）》： 《广东省建筑工程与装饰工程计价定额（2018）》、《广东省通用安装工程综合定额(2018)》、《广东省市政工程综合定额(2018)》、《广东省园林绿化工程综合定额(2018)》、《广东省建设工程施工机具台班费用编制规则（2018）》、《广东省工程量清单计价指引（2013)》等以及国家行政主管部门颁布的相关规定文件。</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7.3.2材料价、人工价：执行施工当地建设工程主管部门颁布的施工同期信息价。信息价上没有颁布的材料，由乙方按施工同期的市场价格提出合理的市场报价，市场报价须提供相关证明文件（含材料的厂家、品牌、型号、规格等），经甲方确认综合单价后作为独立费计入总价（计取税金），不参与任何取费及上下浮。</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7.3.3计价中除仅计取人工费、材料费、机具费、管理费、利润作为直接工程费外，其余按系数计取的各类取费均不计取。</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7.3.4税率：按国家建设行政主管部门及国家税务部门的最新规定执行。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7.3.5按上述计费方式得出的价款后（甲方直接确认的综合价不参与上下浮的除外）：</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包人工包辅材的工程按以上计价方式（仅计取人工费和分包提供的辅材和机械费）下浮</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8  </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%后计取税金；包工包料的工程按以上计价方式下浮</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30  </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%后计取税金。（结算时，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如乙方已请款部分开具的发票税率与合同约定不同时，须提供已请款金额及相应税率，且须甲方财务签字确认）</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7.4结算规定</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7.4.1经甲方项目部验收合格的工程，按合同约定的计价方式结算</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7.4.1.1固定单价合同结算方式：结算总价=完成达到合同标准的实际工程量×合同单价-合同约定扣除费用。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7.4.1.2固定总价合同结算方式：结算总价=固定合同总价-合同内未施工内容+合同外增加内容（需有甲方联系函或设计变更确认）-合同约定扣除费用。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7.4.2未经甲方项目部验收或验收达不到合同标准、在整改中的产品不予结算。</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7.4.3因设计变更或现场签证引起的工程量变化，经甲方项目部签证上报公司审批后，结算时按合同约定的计价方式执行。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7.4.4因合同中已有施工方案的变化引起的工程价款变化，结算时不再调整（合同中未明确的施工方案除外）。</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7.4.5零星时工计价规定：</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7.4.5.1零星用人工以时工派工单的方式结算（现用白、红、黄三联单）；</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7.4.5.2零星时工填写派工单时，应根据时工发生的责任分别写单。属甲方承担的，用甲方内部现场签证单；属扣“XX班组”的单独写单，并注明扣“XX班组”；属建设单位签证的（不属甲方范围的零星用工）必须附建设单位签证单复印件；</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7.4.5.3当月发生的零星用工，必须在当月25日后5天内交甲方工程部审核，否则过期的派工单一律作废；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7.4.5.4零星用工单价：230元/工日（含税）。</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7.4.6乙方办理结算时必须按甲方要求对合同范围内每个组团或每个地块或每栋楼单独结算，否则甲方有权不予结算且不承担任何违约责任。</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7.4.7乙方提交的竣工资料、签证单（须附建设方联系函或变更单和签证单分包说明）、工程量确认单等（以甲方要求的格式为准，详见《结算申请表》、《工程结算资料审查表》）必须为签章齐全的原件，否则甲方不予结算相关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7.4.8乙方办理工程进度款申请书、结算书时必须提供甲方主管施工员和项目经理签名的“工完场清交接单”，否则甲方有权不予办理付款及结算。</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7.4.9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同意甲方单方确定的结算价格。</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 xml:space="preserve">7.4.10 </w:t>
      </w:r>
      <w:r>
        <w:rPr>
          <w:rFonts w:hint="eastAsia" w:ascii="仿宋" w:hAnsi="仿宋" w:eastAsia="仿宋" w:cs="仿宋"/>
          <w:color w:val="auto"/>
          <w:sz w:val="28"/>
          <w:szCs w:val="28"/>
          <w:highlight w:val="none"/>
        </w:rPr>
        <w:t>结算书</w:t>
      </w:r>
      <w:r>
        <w:rPr>
          <w:rFonts w:hint="eastAsia" w:ascii="仿宋" w:hAnsi="仿宋" w:eastAsia="仿宋" w:cs="仿宋"/>
          <w:color w:val="auto"/>
          <w:sz w:val="28"/>
          <w:szCs w:val="28"/>
          <w:highlight w:val="none"/>
          <w:lang w:val="en-US" w:eastAsia="zh-CN"/>
        </w:rPr>
        <w:t>及相关结算资料</w:t>
      </w:r>
      <w:r>
        <w:rPr>
          <w:rFonts w:hint="eastAsia" w:ascii="仿宋" w:hAnsi="仿宋" w:eastAsia="仿宋" w:cs="仿宋"/>
          <w:color w:val="auto"/>
          <w:sz w:val="28"/>
          <w:szCs w:val="28"/>
          <w:highlight w:val="none"/>
        </w:rPr>
        <w:t>由乙方实事求是</w:t>
      </w:r>
      <w:r>
        <w:rPr>
          <w:rFonts w:hint="eastAsia" w:ascii="仿宋" w:hAnsi="仿宋" w:eastAsia="仿宋" w:cs="仿宋"/>
          <w:color w:val="auto"/>
          <w:sz w:val="28"/>
          <w:szCs w:val="28"/>
          <w:highlight w:val="none"/>
          <w:lang w:val="en-US" w:eastAsia="zh-CN"/>
        </w:rPr>
        <w:t>自行</w:t>
      </w:r>
      <w:r>
        <w:rPr>
          <w:rFonts w:hint="eastAsia" w:ascii="仿宋" w:hAnsi="仿宋" w:eastAsia="仿宋" w:cs="仿宋"/>
          <w:color w:val="auto"/>
          <w:sz w:val="28"/>
          <w:szCs w:val="28"/>
          <w:highlight w:val="none"/>
        </w:rPr>
        <w:t>编制</w:t>
      </w:r>
      <w:r>
        <w:rPr>
          <w:rFonts w:hint="eastAsia" w:ascii="仿宋" w:hAnsi="仿宋" w:eastAsia="仿宋" w:cs="仿宋"/>
          <w:color w:val="auto"/>
          <w:sz w:val="28"/>
          <w:szCs w:val="28"/>
          <w:highlight w:val="none"/>
          <w:lang w:val="en-US" w:eastAsia="zh-CN"/>
        </w:rPr>
        <w:t>并一次性报齐给甲方</w:t>
      </w:r>
      <w:r>
        <w:rPr>
          <w:rFonts w:hint="eastAsia" w:ascii="仿宋" w:hAnsi="仿宋" w:eastAsia="仿宋" w:cs="仿宋"/>
          <w:color w:val="auto"/>
          <w:sz w:val="28"/>
          <w:szCs w:val="28"/>
          <w:highlight w:val="none"/>
        </w:rPr>
        <w:t>，申报</w:t>
      </w:r>
      <w:r>
        <w:rPr>
          <w:rFonts w:hint="eastAsia" w:ascii="仿宋" w:hAnsi="仿宋" w:eastAsia="仿宋" w:cs="仿宋"/>
          <w:color w:val="auto"/>
          <w:sz w:val="28"/>
          <w:szCs w:val="28"/>
          <w:highlight w:val="none"/>
          <w:lang w:val="en-US" w:eastAsia="zh-CN"/>
        </w:rPr>
        <w:t>次数仅限一次，申报一次后</w:t>
      </w:r>
      <w:r>
        <w:rPr>
          <w:rFonts w:hint="eastAsia" w:ascii="仿宋" w:hAnsi="仿宋" w:eastAsia="仿宋" w:cs="仿宋"/>
          <w:color w:val="auto"/>
          <w:sz w:val="28"/>
          <w:szCs w:val="28"/>
          <w:highlight w:val="none"/>
        </w:rPr>
        <w:t>不得</w:t>
      </w:r>
      <w:r>
        <w:rPr>
          <w:rFonts w:hint="eastAsia" w:ascii="仿宋" w:hAnsi="仿宋" w:eastAsia="仿宋" w:cs="仿宋"/>
          <w:color w:val="auto"/>
          <w:sz w:val="28"/>
          <w:szCs w:val="28"/>
          <w:highlight w:val="none"/>
          <w:lang w:val="en-US" w:eastAsia="zh-CN"/>
        </w:rPr>
        <w:t>再</w:t>
      </w:r>
      <w:r>
        <w:rPr>
          <w:rFonts w:hint="eastAsia" w:ascii="仿宋" w:hAnsi="仿宋" w:eastAsia="仿宋" w:cs="仿宋"/>
          <w:color w:val="auto"/>
          <w:sz w:val="28"/>
          <w:szCs w:val="28"/>
          <w:highlight w:val="none"/>
        </w:rPr>
        <w:t>行增补</w:t>
      </w:r>
      <w:r>
        <w:rPr>
          <w:rFonts w:hint="eastAsia" w:ascii="仿宋" w:hAnsi="仿宋" w:eastAsia="仿宋" w:cs="仿宋"/>
          <w:color w:val="auto"/>
          <w:sz w:val="28"/>
          <w:szCs w:val="28"/>
          <w:highlight w:val="none"/>
          <w:lang w:val="en-US" w:eastAsia="zh-CN"/>
        </w:rPr>
        <w:t>任何结算资料。</w:t>
      </w:r>
      <w:r>
        <w:rPr>
          <w:rFonts w:hint="eastAsia" w:ascii="仿宋" w:hAnsi="仿宋" w:eastAsia="仿宋" w:cs="仿宋"/>
          <w:color w:val="auto"/>
          <w:sz w:val="28"/>
          <w:szCs w:val="28"/>
          <w:highlight w:val="none"/>
        </w:rPr>
        <w:t>申报格式及表格等相关要求按照甲方统一要求执行，如乙方所报结算书</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申报工程量少于实际工程量，视为乙方放弃</w:t>
      </w:r>
      <w:r>
        <w:rPr>
          <w:rFonts w:hint="eastAsia" w:ascii="仿宋" w:hAnsi="仿宋" w:eastAsia="仿宋" w:cs="仿宋"/>
          <w:color w:val="auto"/>
          <w:sz w:val="28"/>
          <w:szCs w:val="28"/>
          <w:highlight w:val="none"/>
          <w:lang w:val="en-US" w:eastAsia="zh-CN"/>
        </w:rPr>
        <w:t>差额</w:t>
      </w:r>
      <w:r>
        <w:rPr>
          <w:rFonts w:hint="eastAsia" w:ascii="仿宋" w:hAnsi="仿宋" w:eastAsia="仿宋" w:cs="仿宋"/>
          <w:color w:val="auto"/>
          <w:sz w:val="28"/>
          <w:szCs w:val="28"/>
          <w:highlight w:val="none"/>
        </w:rPr>
        <w:t>部分</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权利和款项，结算时不予计算，甲方无需支付</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如乙方虚报工程量，每虚报一处则向甲方承担违约金壹万元（甲方有权在支付结算款时直接扣除相应金额），如</w:t>
      </w:r>
      <w:r>
        <w:rPr>
          <w:rFonts w:hint="eastAsia" w:ascii="仿宋" w:hAnsi="仿宋" w:eastAsia="仿宋" w:cs="仿宋"/>
          <w:color w:val="auto"/>
          <w:sz w:val="28"/>
          <w:szCs w:val="28"/>
          <w:highlight w:val="none"/>
        </w:rPr>
        <w:t>乙方所报结算总价高出甲方最终审定价（即</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甲乙双方确认的</w:t>
      </w:r>
      <w:r>
        <w:rPr>
          <w:rFonts w:hint="eastAsia" w:ascii="仿宋" w:hAnsi="仿宋" w:eastAsia="仿宋" w:cs="仿宋"/>
          <w:color w:val="auto"/>
          <w:sz w:val="28"/>
          <w:szCs w:val="28"/>
          <w:highlight w:val="none"/>
        </w:rPr>
        <w:t>竣工结算价）</w:t>
      </w:r>
      <w:r>
        <w:rPr>
          <w:rFonts w:hint="eastAsia" w:ascii="仿宋" w:hAnsi="仿宋" w:eastAsia="仿宋" w:cs="仿宋"/>
          <w:color w:val="auto"/>
          <w:sz w:val="28"/>
          <w:szCs w:val="28"/>
          <w:highlight w:val="none"/>
          <w:lang w:val="en-US" w:eastAsia="zh-CN"/>
        </w:rPr>
        <w:t>10%以上</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支付结算款时按</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乙方所报结算总价</w:t>
      </w:r>
      <w:r>
        <w:rPr>
          <w:rFonts w:hint="eastAsia" w:ascii="仿宋" w:hAnsi="仿宋" w:eastAsia="仿宋" w:cs="仿宋"/>
          <w:color w:val="auto"/>
          <w:sz w:val="28"/>
          <w:szCs w:val="28"/>
          <w:highlight w:val="none"/>
          <w:lang w:val="en-US" w:eastAsia="zh-CN"/>
        </w:rPr>
        <w:t>-甲方最终审定价</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扣除乙方不诚信违约金，并在结算款中一次性扣除相应金额</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7.5结算资料要求</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7.5.1 递交完整的结算书一式两份（正副本各一份）。</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7.5.1.1装订要求：胶装、盖骑缝章、法人签章；</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7.5.1.2结算资料排序：封面、目录、结算申请表、工程结算资料审查表、工程合同、工程验收单、工程结算书、签证预算书、变更单、签证联系函及签证单、照片及相关图纸、记录文件等。</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7.5.2 递交结算资料的前提，甲方需有建设单位完整的签字版竣工图；</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7.5.3 递交结算资料须按《结算申请表》、《工程结算资料审查表》要求；</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7.5.4 签证资料要求:7天内乙方必须提交完整的签证资料到项目部，超期后甲方不再受理该部分工程签证内容；30天内乙方必须提交签证内容完整的报价到甲方，超期后甲方不再受理该部分工程签证结算，且全部责任由乙方自行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8"/>
          <w:szCs w:val="28"/>
          <w:highlight w:val="none"/>
          <w:shd w:val="clear" w:color="auto" w:fill="auto"/>
          <w:lang w:eastAsia="zh-CN"/>
          <w14:textFill>
            <w14:solidFill>
              <w14:schemeClr w14:val="tx1"/>
            </w14:solidFill>
          </w14:textFill>
        </w:rPr>
        <w:t>7.</w:t>
      </w:r>
      <w:r>
        <w:rPr>
          <w:rFonts w:hint="eastAsia" w:ascii="仿宋" w:hAnsi="仿宋" w:eastAsia="仿宋" w:cs="仿宋"/>
          <w:b w:val="0"/>
          <w:bCs/>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t>本工程合同内未施工内容和合同外增加内容工程结算金额的申报约定如下：</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pPr>
      <w:r>
        <w:rPr>
          <w:rFonts w:hint="eastAsia" w:ascii="仿宋" w:hAnsi="仿宋" w:eastAsia="仿宋" w:cs="仿宋"/>
          <w:b w:val="0"/>
          <w:bCs/>
          <w:i w:val="0"/>
          <w:iCs w:val="0"/>
          <w:color w:val="000000" w:themeColor="text1"/>
          <w:sz w:val="28"/>
          <w:szCs w:val="28"/>
          <w:highlight w:val="yellow"/>
          <w:shd w:val="clear" w:color="auto" w:fill="auto"/>
          <w:lang w:val="en-US" w:eastAsia="zh-CN"/>
          <w14:textFill>
            <w14:solidFill>
              <w14:schemeClr w14:val="tx1"/>
            </w14:solidFill>
          </w14:textFill>
        </w:rPr>
        <w:t>7.6.1</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乙方应本着实事求是的精神对工程做出结算，若乙方虚报工程结算，甲方对工程竣工结算的特殊要求：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8"/>
          <w:szCs w:val="28"/>
          <w:highlight w:val="yellow"/>
          <w:shd w:val="clear" w:color="auto" w:fill="auto"/>
          <w:lang w:val="en-US" w:eastAsia="zh-CN"/>
          <w14:textFill>
            <w14:solidFill>
              <w14:schemeClr w14:val="tx1"/>
            </w14:solidFill>
          </w14:textFill>
        </w:rPr>
        <w:t>7</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w:t>
      </w:r>
      <w:r>
        <w:rPr>
          <w:rFonts w:hint="eastAsia" w:ascii="仿宋" w:hAnsi="仿宋" w:eastAsia="仿宋" w:cs="仿宋"/>
          <w:b w:val="0"/>
          <w:bCs/>
          <w:i w:val="0"/>
          <w:iCs w:val="0"/>
          <w:color w:val="000000" w:themeColor="text1"/>
          <w:sz w:val="28"/>
          <w:szCs w:val="28"/>
          <w:highlight w:val="yellow"/>
          <w:shd w:val="clear" w:color="auto" w:fill="auto"/>
          <w:lang w:val="en-US" w:eastAsia="zh-CN"/>
          <w14:textFill>
            <w14:solidFill>
              <w14:schemeClr w14:val="tx1"/>
            </w14:solidFill>
          </w14:textFill>
        </w:rPr>
        <w:t>6</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.2</w:t>
      </w:r>
      <w:r>
        <w:rPr>
          <w:rFonts w:hint="eastAsia" w:ascii="仿宋" w:hAnsi="仿宋" w:eastAsia="仿宋" w:cs="仿宋"/>
          <w:color w:val="auto"/>
          <w:sz w:val="28"/>
          <w:szCs w:val="28"/>
          <w:highlight w:val="yellow"/>
          <w:lang w:val="en-US" w:eastAsia="zh-CN"/>
        </w:rPr>
        <w:t>合同外增加工程内容：</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bookmarkStart w:id="21" w:name="_Toc19273"/>
      <w:bookmarkStart w:id="22" w:name="_Toc15495"/>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7.7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 w:hAnsi="仿宋" w:eastAsia="仿宋" w:cs="仿宋"/>
          <w:i w:val="0"/>
          <w:iCs w:val="0"/>
          <w:color w:val="000000" w:themeColor="text1"/>
          <w:sz w:val="28"/>
          <w:szCs w:val="28"/>
          <w:highlight w:val="none"/>
          <w14:textFill>
            <w14:solidFill>
              <w14:schemeClr w14:val="tx1"/>
            </w14:solidFill>
          </w14:textFill>
        </w:rPr>
        <w:t>甲方不予办理</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付款及结算。</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任何人口头指示、通知不作为结算依据。未经甲方盖章书面签证确认或乙方超出图纸、合同清单范围施工的工程量，不属于增加工程，结算时不予计量。</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default"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7.8对签证工程的结算工程量，如“甲乙双方之间的签证单确认量”与“甲方与本工程建设单位的签证单确认量”不相同时，以两份签证单中最小的确认量作为甲乙双方的结算量，格式详见合同附件。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付款方式（各组团独立结算、付款、开票）</w:t>
      </w:r>
      <w:bookmarkEnd w:id="21"/>
      <w:bookmarkEnd w:id="22"/>
    </w:p>
    <w:p>
      <w:pPr>
        <w:keepNext w:val="0"/>
        <w:keepLines w:val="0"/>
        <w:pageBreakBefore w:val="0"/>
        <w:widowControl w:val="0"/>
        <w:kinsoku/>
        <w:wordWrap/>
        <w:overflowPunct/>
        <w:topLinePunct w:val="0"/>
        <w:autoSpaceDE/>
        <w:autoSpaceDN/>
        <w:bidi w:val="0"/>
        <w:adjustRightInd/>
        <w:snapToGrid w:val="0"/>
        <w:spacing w:before="147" w:beforeLines="50" w:line="560" w:lineRule="exact"/>
        <w:ind w:left="-197" w:leftChars="-94" w:right="-578" w:rightChars="-275" w:firstLine="419" w:firstLineChars="149"/>
        <w:textAlignment w:val="auto"/>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8.1付款方式一</w:t>
      </w:r>
    </w:p>
    <w:p>
      <w:pPr>
        <w:pStyle w:val="6"/>
        <w:keepNext w:val="0"/>
        <w:keepLines w:val="0"/>
        <w:pageBreakBefore w:val="0"/>
        <w:widowControl w:val="0"/>
        <w:shd w:val="clear"/>
        <w:kinsoku/>
        <w:wordWrap/>
        <w:overflowPunct/>
        <w:topLinePunct w:val="0"/>
        <w:autoSpaceDE/>
        <w:autoSpaceDN/>
        <w:bidi w:val="0"/>
        <w:adjustRightInd/>
        <w:spacing w:line="560" w:lineRule="exact"/>
        <w:ind w:left="-197" w:leftChars="-94" w:right="-578" w:rightChars="-275" w:firstLine="697" w:firstLineChars="2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本工程全部</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桩基础工程</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完工后</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，乙方负责收集、整理并完善所有相关资料（包括打桩记录、工程桩检测合格报告等）给甲方且桩基验评通过后，</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乙方于次月10日前提供本月及次月《建筑工人工资表》等相关进度款审批文件给甲方，</w:t>
      </w:r>
      <w:r>
        <w:rPr>
          <w:rFonts w:hint="eastAsia" w:ascii="仿宋" w:hAnsi="仿宋" w:eastAsia="仿宋" w:cs="仿宋"/>
          <w:b/>
          <w:bCs/>
          <w:color w:val="000000"/>
          <w:kern w:val="0"/>
          <w:sz w:val="28"/>
          <w:szCs w:val="28"/>
          <w:highlight w:val="yellow"/>
          <w:u w:val="single"/>
          <w:lang w:val="en-US" w:eastAsia="zh-CN" w:bidi="ar"/>
        </w:rPr>
        <w:t>甲方审核完成且收到建设单位支付的该计费周期的进度款后，</w:t>
      </w:r>
      <w:r>
        <w:rPr>
          <w:rFonts w:hint="eastAsia" w:ascii="仿宋" w:hAnsi="仿宋" w:eastAsia="仿宋" w:cs="仿宋"/>
          <w:color w:val="000000"/>
          <w:kern w:val="0"/>
          <w:sz w:val="28"/>
          <w:szCs w:val="28"/>
          <w:highlight w:val="yellow"/>
          <w:lang w:val="en-US" w:eastAsia="zh-CN" w:bidi="ar"/>
        </w:rPr>
        <w:t>甲方支付该计费周期内完成的本工程合格工程量造价，甲方付至本工程已完成合格工程量造价的 80%（含乙方工人工资）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8.1.2</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全部工作内容施工完成，经建设行政主管部门、建设单位及监理、甲方等竣工综合验收合格并移交建设单位后，甲乙双方办理工程结算，双方就结算金额达成书面一致</w:t>
      </w:r>
      <w:r>
        <w:rPr>
          <w:rFonts w:hint="eastAsia" w:ascii="仿宋" w:hAnsi="仿宋" w:eastAsia="仿宋" w:cs="仿宋"/>
          <w:b w:val="0"/>
          <w:bCs w:val="0"/>
          <w:i w:val="0"/>
          <w:iCs w:val="0"/>
          <w:color w:val="000000" w:themeColor="text1"/>
          <w:sz w:val="28"/>
          <w:szCs w:val="28"/>
          <w:highlight w:val="yellow"/>
          <w:lang w:eastAsia="zh-CN"/>
          <w14:textFill>
            <w14:solidFill>
              <w14:schemeClr w14:val="tx1"/>
            </w14:solidFill>
          </w14:textFill>
        </w:rPr>
        <w:t>、</w:t>
      </w:r>
      <w:r>
        <w:rPr>
          <w:rFonts w:hint="eastAsia" w:ascii="仿宋" w:hAnsi="仿宋" w:eastAsia="仿宋" w:cs="仿宋"/>
          <w:color w:val="000000"/>
          <w:kern w:val="0"/>
          <w:sz w:val="28"/>
          <w:szCs w:val="28"/>
          <w:highlight w:val="yellow"/>
          <w:lang w:val="en-US" w:eastAsia="zh-CN" w:bidi="ar"/>
        </w:rPr>
        <w:t>乙方开具金额等于结算总价100%的发票给甲方且</w:t>
      </w:r>
      <w:r>
        <w:rPr>
          <w:rFonts w:hint="eastAsia" w:ascii="仿宋" w:hAnsi="仿宋" w:eastAsia="仿宋" w:cs="仿宋"/>
          <w:b/>
          <w:bCs/>
          <w:color w:val="000000"/>
          <w:kern w:val="0"/>
          <w:sz w:val="28"/>
          <w:szCs w:val="28"/>
          <w:highlight w:val="yellow"/>
          <w:u w:val="single"/>
          <w:lang w:val="en-US" w:eastAsia="zh-CN" w:bidi="ar"/>
        </w:rPr>
        <w:t>建设单位就本项目向甲方付至结算总价的97%后</w:t>
      </w:r>
      <w:r>
        <w:rPr>
          <w:rFonts w:hint="eastAsia" w:ascii="仿宋" w:hAnsi="仿宋" w:eastAsia="仿宋" w:cs="仿宋"/>
          <w:color w:val="000000"/>
          <w:kern w:val="0"/>
          <w:sz w:val="28"/>
          <w:szCs w:val="28"/>
          <w:highlight w:val="yellow"/>
          <w:lang w:val="en-US" w:eastAsia="zh-CN" w:bidi="ar"/>
        </w:rPr>
        <w:t>，</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甲方付至</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97</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kern w:val="2"/>
          <w:sz w:val="28"/>
          <w:szCs w:val="28"/>
          <w:highlight w:val="yellow"/>
          <w:lang w:val="en-US" w:eastAsia="zh-CN" w:bidi="ar-SA"/>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若非乙方原因不能进行建设行政主管部门参与的竣工综合验收，甲乙双方则在全面竣工完成之日起4个月后启动竣工结算工作</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1.3本工程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％作为</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本工程内容的</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质保金</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，质保期满</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两</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年且乙方</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如实</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履行保修义务、</w:t>
      </w:r>
      <w:r>
        <w:rPr>
          <w:rFonts w:hint="eastAsia" w:ascii="仿宋" w:hAnsi="仿宋" w:eastAsia="仿宋" w:cs="仿宋"/>
          <w:color w:val="000000"/>
          <w:kern w:val="0"/>
          <w:sz w:val="28"/>
          <w:szCs w:val="28"/>
          <w:highlight w:val="yellow"/>
          <w:lang w:val="en-US" w:eastAsia="zh-CN" w:bidi="ar"/>
        </w:rPr>
        <w:t>责任及</w:t>
      </w:r>
      <w:r>
        <w:rPr>
          <w:rFonts w:hint="eastAsia" w:ascii="仿宋" w:hAnsi="仿宋" w:eastAsia="仿宋" w:cs="仿宋"/>
          <w:b/>
          <w:bCs/>
          <w:color w:val="000000"/>
          <w:kern w:val="0"/>
          <w:sz w:val="28"/>
          <w:szCs w:val="28"/>
          <w:highlight w:val="yellow"/>
          <w:u w:val="single"/>
          <w:lang w:val="en-US" w:eastAsia="zh-CN" w:bidi="ar"/>
        </w:rPr>
        <w:t>甲方收齐建设单位支付的本项目质保金后</w:t>
      </w:r>
      <w:r>
        <w:rPr>
          <w:rFonts w:hint="eastAsia" w:ascii="仿宋" w:hAnsi="仿宋" w:eastAsia="仿宋" w:cs="仿宋"/>
          <w:color w:val="000000"/>
          <w:kern w:val="0"/>
          <w:sz w:val="28"/>
          <w:szCs w:val="28"/>
          <w:highlight w:val="yellow"/>
          <w:lang w:val="en-US" w:eastAsia="zh-CN" w:bidi="ar"/>
        </w:rPr>
        <w:t>，甲乙双方无息结清本工程质保金</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47" w:beforeLines="50" w:line="56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8.2付款方式二</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8.3付款形式：优先使用网银、银行承兑汇票等，支票、电汇视情况而定。甲方选择其中任意一种支付形式给乙方合同款，均视为乙方收到该笔合同款。</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eastAsia="zh-CN"/>
        </w:rPr>
        <w:t>8.</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的等额合法增值税专用发票（开票内容须与合同内容一致，各</w:t>
      </w:r>
      <w:r>
        <w:rPr>
          <w:rFonts w:hint="eastAsia" w:ascii="仿宋" w:hAnsi="仿宋" w:eastAsia="仿宋" w:cs="仿宋"/>
          <w:b w:val="0"/>
          <w:bCs w:val="0"/>
          <w:i w:val="0"/>
          <w:iCs w:val="0"/>
          <w:color w:val="auto"/>
          <w:sz w:val="28"/>
          <w:szCs w:val="28"/>
          <w:highlight w:val="none"/>
          <w:lang w:val="en-US" w:eastAsia="zh-CN"/>
        </w:rPr>
        <w:t>组团</w:t>
      </w:r>
      <w:r>
        <w:rPr>
          <w:rFonts w:hint="eastAsia" w:ascii="仿宋" w:hAnsi="仿宋" w:eastAsia="仿宋" w:cs="仿宋"/>
          <w:b w:val="0"/>
          <w:bCs w:val="0"/>
          <w:i w:val="0"/>
          <w:iCs w:val="0"/>
          <w:color w:val="auto"/>
          <w:sz w:val="28"/>
          <w:szCs w:val="28"/>
          <w:highlight w:val="none"/>
        </w:rPr>
        <w:t>独立开具发票），否则甲方有权不付款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8.5</w:t>
      </w:r>
      <w:r>
        <w:rPr>
          <w:rFonts w:hint="eastAsia" w:ascii="仿宋" w:hAnsi="仿宋" w:eastAsia="仿宋" w:cs="仿宋"/>
          <w:b w:val="0"/>
          <w:bCs w:val="0"/>
          <w:i w:val="0"/>
          <w:iCs w:val="0"/>
          <w:color w:val="auto"/>
          <w:sz w:val="28"/>
          <w:szCs w:val="28"/>
          <w:highlight w:val="none"/>
        </w:rPr>
        <w:t>乙方必须按税法规定的四流合一执行合同，即合同流、货物流、发票流、资金流一致，否则视为乙方违约，且由乙方承担所有责任及损失，直至满足四流合一，甲方方才付款。</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bookmarkStart w:id="23" w:name="_Toc25452"/>
      <w:r>
        <w:rPr>
          <w:rFonts w:hint="eastAsia" w:ascii="仿宋" w:hAnsi="仿宋" w:eastAsia="仿宋" w:cs="仿宋"/>
          <w:b w:val="0"/>
          <w:bCs w:val="0"/>
          <w:i w:val="0"/>
          <w:iCs w:val="0"/>
          <w:color w:val="auto"/>
          <w:sz w:val="28"/>
          <w:szCs w:val="28"/>
          <w:highlight w:val="none"/>
          <w:lang w:eastAsia="zh-CN"/>
        </w:rPr>
        <w:t>8.</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b w:val="0"/>
          <w:bCs w:val="0"/>
          <w:i w:val="0"/>
          <w:iCs w:val="0"/>
          <w:color w:val="auto"/>
          <w:sz w:val="28"/>
          <w:szCs w:val="28"/>
          <w:highlight w:val="none"/>
        </w:rPr>
        <w:t>乙方每次向甲方请款时，</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按甲方要求注明该次请款所含的每个</w:t>
      </w:r>
      <w:r>
        <w:rPr>
          <w:rFonts w:hint="eastAsia" w:ascii="仿宋" w:hAnsi="仿宋" w:eastAsia="仿宋" w:cs="仿宋"/>
          <w:b w:val="0"/>
          <w:bCs w:val="0"/>
          <w:i w:val="0"/>
          <w:iCs w:val="0"/>
          <w:color w:val="auto"/>
          <w:sz w:val="28"/>
          <w:szCs w:val="28"/>
          <w:highlight w:val="none"/>
          <w:lang w:val="en-US" w:eastAsia="zh-CN"/>
        </w:rPr>
        <w:t>组团、每个地块、每栋楼</w:t>
      </w:r>
      <w:r>
        <w:rPr>
          <w:rFonts w:hint="eastAsia" w:ascii="仿宋" w:hAnsi="仿宋" w:eastAsia="仿宋" w:cs="仿宋"/>
          <w:b w:val="0"/>
          <w:bCs w:val="0"/>
          <w:i w:val="0"/>
          <w:iCs w:val="0"/>
          <w:color w:val="auto"/>
          <w:sz w:val="28"/>
          <w:szCs w:val="28"/>
          <w:highlight w:val="none"/>
        </w:rPr>
        <w:t>具体金额，否则甲方有权不付款且不违约。</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eastAsia="zh-CN"/>
        </w:rPr>
        <w:t>8.</w:t>
      </w:r>
      <w:r>
        <w:rPr>
          <w:rFonts w:hint="eastAsia" w:ascii="仿宋" w:hAnsi="仿宋" w:eastAsia="仿宋" w:cs="仿宋"/>
          <w:bCs/>
          <w:i w:val="0"/>
          <w:iCs w:val="0"/>
          <w:color w:val="auto"/>
          <w:sz w:val="28"/>
          <w:szCs w:val="28"/>
          <w:highlight w:val="none"/>
          <w:lang w:val="en-US" w:eastAsia="zh-CN"/>
        </w:rPr>
        <w:t>7甲方在乙方每次请款时直接扣除乙方按实发生的房租、水电费、空调使用费等款项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Cs/>
          <w:i w:val="0"/>
          <w:iCs w:val="0"/>
          <w:color w:val="auto"/>
          <w:sz w:val="28"/>
          <w:szCs w:val="28"/>
          <w:highlight w:val="none"/>
          <w:lang w:eastAsia="zh-CN"/>
        </w:rPr>
        <w:t>乙方每次请款时需向甲方财务部确认乙方未支付的房租、水电费、空调使用费等应付款项，按扣除这些应付款项后的金额开具发票请款，并在付款申请书中写明本次申请的工程款金额、扣除的应付款项数据，实际开票金额等相关信息。</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Cs/>
          <w:i w:val="0"/>
          <w:iCs w:val="0"/>
          <w:color w:val="auto"/>
          <w:sz w:val="28"/>
          <w:szCs w:val="28"/>
          <w:highlight w:val="none"/>
        </w:rPr>
      </w:pPr>
      <w:r>
        <w:rPr>
          <w:rFonts w:hint="eastAsia" w:ascii="仿宋" w:hAnsi="仿宋" w:eastAsia="仿宋" w:cs="仿宋"/>
          <w:bCs/>
          <w:i w:val="0"/>
          <w:iCs w:val="0"/>
          <w:color w:val="auto"/>
          <w:sz w:val="28"/>
          <w:szCs w:val="28"/>
          <w:highlight w:val="none"/>
          <w:lang w:val="en-US" w:eastAsia="zh-CN"/>
        </w:rPr>
        <w:t>8.8</w:t>
      </w:r>
      <w:r>
        <w:rPr>
          <w:rFonts w:hint="eastAsia" w:ascii="仿宋" w:hAnsi="仿宋" w:eastAsia="仿宋" w:cs="仿宋"/>
          <w:bCs/>
          <w:i w:val="0"/>
          <w:iCs w:val="0"/>
          <w:color w:val="auto"/>
          <w:sz w:val="28"/>
          <w:szCs w:val="28"/>
          <w:highlight w:val="none"/>
        </w:rPr>
        <w:t>如</w:t>
      </w:r>
      <w:r>
        <w:rPr>
          <w:rFonts w:hint="eastAsia" w:ascii="仿宋" w:hAnsi="仿宋" w:eastAsia="仿宋" w:cs="仿宋"/>
          <w:bCs/>
          <w:i w:val="0"/>
          <w:iCs w:val="0"/>
          <w:color w:val="auto"/>
          <w:sz w:val="28"/>
          <w:szCs w:val="28"/>
          <w:highlight w:val="none"/>
          <w:lang w:val="en-US" w:eastAsia="zh-CN"/>
        </w:rPr>
        <w:t>甲乙</w:t>
      </w:r>
      <w:r>
        <w:rPr>
          <w:rFonts w:hint="eastAsia" w:ascii="仿宋" w:hAnsi="仿宋" w:eastAsia="仿宋" w:cs="仿宋"/>
          <w:bCs/>
          <w:i w:val="0"/>
          <w:iCs w:val="0"/>
          <w:color w:val="auto"/>
          <w:sz w:val="28"/>
          <w:szCs w:val="28"/>
          <w:highlight w:val="none"/>
        </w:rPr>
        <w:t>双方对</w:t>
      </w:r>
      <w:r>
        <w:rPr>
          <w:rFonts w:hint="eastAsia" w:ascii="仿宋" w:hAnsi="仿宋" w:eastAsia="仿宋" w:cs="仿宋"/>
          <w:bCs/>
          <w:i w:val="0"/>
          <w:iCs w:val="0"/>
          <w:color w:val="auto"/>
          <w:sz w:val="28"/>
          <w:szCs w:val="28"/>
          <w:highlight w:val="none"/>
          <w:lang w:val="en-US" w:eastAsia="zh-CN"/>
        </w:rPr>
        <w:t>应</w:t>
      </w:r>
      <w:r>
        <w:rPr>
          <w:rFonts w:hint="eastAsia" w:ascii="仿宋" w:hAnsi="仿宋" w:eastAsia="仿宋" w:cs="仿宋"/>
          <w:bCs/>
          <w:i w:val="0"/>
          <w:iCs w:val="0"/>
          <w:color w:val="auto"/>
          <w:sz w:val="28"/>
          <w:szCs w:val="28"/>
          <w:highlight w:val="none"/>
        </w:rPr>
        <w:t>付款金额、结算金额产生争议，甲方有权暂缓付款</w:t>
      </w:r>
      <w:r>
        <w:rPr>
          <w:rFonts w:hint="eastAsia" w:ascii="仿宋" w:hAnsi="仿宋" w:eastAsia="仿宋" w:cs="仿宋"/>
          <w:bCs/>
          <w:i w:val="0"/>
          <w:iCs w:val="0"/>
          <w:color w:val="auto"/>
          <w:sz w:val="28"/>
          <w:szCs w:val="28"/>
          <w:highlight w:val="none"/>
          <w:lang w:val="en-US" w:eastAsia="zh-CN"/>
        </w:rPr>
        <w:t>且</w:t>
      </w:r>
      <w:r>
        <w:rPr>
          <w:rFonts w:hint="eastAsia" w:ascii="仿宋" w:hAnsi="仿宋" w:eastAsia="仿宋" w:cs="仿宋"/>
          <w:bCs/>
          <w:i w:val="0"/>
          <w:iCs w:val="0"/>
          <w:color w:val="auto"/>
          <w:sz w:val="28"/>
          <w:szCs w:val="28"/>
          <w:highlight w:val="none"/>
        </w:rPr>
        <w:t>不违约，甲方无需向乙方支付违约金或利息</w:t>
      </w:r>
      <w:r>
        <w:rPr>
          <w:rFonts w:hint="eastAsia" w:ascii="仿宋" w:hAnsi="仿宋" w:eastAsia="仿宋" w:cs="仿宋"/>
          <w:bCs/>
          <w:i w:val="0"/>
          <w:iCs w:val="0"/>
          <w:color w:val="auto"/>
          <w:sz w:val="28"/>
          <w:szCs w:val="28"/>
          <w:highlight w:val="none"/>
          <w:lang w:eastAsia="zh-CN"/>
        </w:rPr>
        <w:t>，</w:t>
      </w:r>
      <w:r>
        <w:rPr>
          <w:rFonts w:hint="eastAsia" w:ascii="仿宋" w:hAnsi="仿宋" w:eastAsia="仿宋" w:cs="仿宋"/>
          <w:bCs/>
          <w:i w:val="0"/>
          <w:iCs w:val="0"/>
          <w:color w:val="auto"/>
          <w:sz w:val="28"/>
          <w:szCs w:val="28"/>
          <w:highlight w:val="none"/>
          <w:lang w:val="en-US" w:eastAsia="zh-CN"/>
        </w:rPr>
        <w:t>直至双方达成一致意见</w:t>
      </w:r>
      <w:r>
        <w:rPr>
          <w:rFonts w:hint="eastAsia" w:ascii="仿宋" w:hAnsi="仿宋" w:eastAsia="仿宋" w:cs="仿宋"/>
          <w:b w:val="0"/>
          <w:bCs/>
          <w:i w:val="0"/>
          <w:iCs w:val="0"/>
          <w:color w:val="auto"/>
          <w:sz w:val="28"/>
          <w:szCs w:val="28"/>
          <w:highlight w:val="none"/>
          <w:lang w:val="en-US" w:eastAsia="zh-CN"/>
        </w:rPr>
        <w:t>后</w:t>
      </w:r>
      <w:r>
        <w:rPr>
          <w:rFonts w:hint="eastAsia" w:ascii="仿宋" w:hAnsi="仿宋" w:eastAsia="仿宋" w:cs="仿宋"/>
          <w:bCs/>
          <w:i w:val="0"/>
          <w:iCs w:val="0"/>
          <w:color w:val="auto"/>
          <w:sz w:val="28"/>
          <w:szCs w:val="28"/>
          <w:highlight w:val="none"/>
          <w:lang w:val="en-US" w:eastAsia="zh-CN"/>
        </w:rPr>
        <w:t>方可按甲方相应流程办理付款手续</w:t>
      </w:r>
      <w:r>
        <w:rPr>
          <w:rFonts w:hint="eastAsia" w:ascii="仿宋" w:hAnsi="仿宋" w:eastAsia="仿宋" w:cs="仿宋"/>
          <w:bCs/>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8.9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default"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8.10</w:t>
      </w:r>
      <w:r>
        <w:rPr>
          <w:rFonts w:hint="default" w:ascii="仿宋" w:hAnsi="仿宋" w:eastAsia="仿宋" w:cs="仿宋"/>
          <w:bCs/>
          <w:i w:val="0"/>
          <w:iCs w:val="0"/>
          <w:color w:val="auto"/>
          <w:sz w:val="28"/>
          <w:szCs w:val="28"/>
          <w:highlight w:val="yellow"/>
          <w:lang w:val="en-US" w:eastAsia="zh-CN"/>
        </w:rPr>
        <w:t>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r>
        <w:rPr>
          <w:rFonts w:hint="eastAsia" w:ascii="仿宋" w:hAnsi="仿宋" w:eastAsia="仿宋" w:cs="仿宋"/>
          <w:bCs/>
          <w:i w:val="0"/>
          <w:iCs w:val="0"/>
          <w:color w:val="auto"/>
          <w:sz w:val="28"/>
          <w:szCs w:val="28"/>
          <w:highlight w:val="yellow"/>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24" w:name="_Toc16656"/>
      <w:r>
        <w:rPr>
          <w:rFonts w:hint="eastAsia" w:ascii="仿宋" w:hAnsi="仿宋" w:eastAsia="仿宋" w:cs="仿宋"/>
          <w:b/>
          <w:bCs/>
          <w:i w:val="0"/>
          <w:iCs w:val="0"/>
          <w:color w:val="auto"/>
          <w:sz w:val="28"/>
          <w:szCs w:val="28"/>
          <w:highlight w:val="none"/>
          <w:lang w:val="en-US" w:eastAsia="zh-CN"/>
        </w:rPr>
        <w:t>双方责任和权利</w:t>
      </w:r>
      <w:bookmarkEnd w:id="23"/>
      <w:bookmarkEnd w:id="24"/>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2" w:firstLineChars="200"/>
        <w:rPr>
          <w:rFonts w:hint="eastAsia" w:ascii="仿宋" w:hAnsi="仿宋" w:eastAsia="仿宋" w:cs="仿宋"/>
          <w:b/>
          <w:bCs/>
          <w:i w:val="0"/>
          <w:iCs w:val="0"/>
          <w:color w:val="auto"/>
          <w:sz w:val="28"/>
          <w:szCs w:val="28"/>
          <w:highlight w:val="none"/>
        </w:rPr>
      </w:pPr>
      <w:r>
        <w:rPr>
          <w:rFonts w:hint="eastAsia" w:ascii="仿宋" w:hAnsi="仿宋" w:eastAsia="仿宋" w:cs="仿宋"/>
          <w:b/>
          <w:bCs/>
          <w:i w:val="0"/>
          <w:iCs w:val="0"/>
          <w:color w:val="auto"/>
          <w:sz w:val="28"/>
          <w:szCs w:val="28"/>
          <w:highlight w:val="none"/>
          <w:lang w:val="en-US" w:eastAsia="zh-CN"/>
        </w:rPr>
        <w:t>9</w:t>
      </w:r>
      <w:r>
        <w:rPr>
          <w:rFonts w:hint="eastAsia" w:ascii="仿宋" w:hAnsi="仿宋" w:eastAsia="仿宋" w:cs="仿宋"/>
          <w:b/>
          <w:bCs/>
          <w:i w:val="0"/>
          <w:iCs w:val="0"/>
          <w:color w:val="auto"/>
          <w:sz w:val="28"/>
          <w:szCs w:val="28"/>
          <w:highlight w:val="none"/>
        </w:rPr>
        <w:t>.1甲方责任和权利</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i w:val="0"/>
          <w:iCs w:val="0"/>
          <w:color w:val="auto"/>
          <w:sz w:val="28"/>
          <w:szCs w:val="28"/>
          <w:highlight w:val="none"/>
        </w:rPr>
        <w:t>提供给乙方施工图</w:t>
      </w:r>
      <w:r>
        <w:rPr>
          <w:rFonts w:hint="eastAsia" w:ascii="仿宋" w:hAnsi="仿宋" w:eastAsia="仿宋" w:cs="仿宋"/>
          <w:i w:val="0"/>
          <w:iCs w:val="0"/>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lang w:val="en-US" w:eastAsia="zh-CN"/>
        </w:rPr>
        <w:t>地质钻探资料</w:t>
      </w:r>
      <w:r>
        <w:rPr>
          <w:rFonts w:hint="eastAsia" w:ascii="仿宋" w:hAnsi="仿宋" w:eastAsia="仿宋" w:cs="仿宋"/>
          <w:i w:val="0"/>
          <w:iCs w:val="0"/>
          <w:color w:val="auto"/>
          <w:sz w:val="28"/>
          <w:szCs w:val="28"/>
          <w:highlight w:val="none"/>
        </w:rPr>
        <w:t>（含图纸变更通知</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图纸会审记录等</w:t>
      </w:r>
      <w:r>
        <w:rPr>
          <w:rFonts w:hint="eastAsia" w:ascii="仿宋" w:hAnsi="仿宋" w:eastAsia="仿宋" w:cs="仿宋"/>
          <w:i w:val="0"/>
          <w:iCs w:val="0"/>
          <w:color w:val="auto"/>
          <w:sz w:val="28"/>
          <w:szCs w:val="28"/>
          <w:highlight w:val="none"/>
        </w:rPr>
        <w:t>）；对乙方进行技术交底及质量、安全、进度、文明施工、成本控制等管理。</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1.2按国家工程质量标准对乙方施工成品进行内部核验，并办理过程验收手续和完工后总体验收手续。在验收合格情况下按照合同及时结算及付</w:t>
      </w:r>
      <w:r>
        <w:rPr>
          <w:rFonts w:hint="eastAsia" w:ascii="仿宋" w:hAnsi="仿宋" w:eastAsia="仿宋" w:cs="仿宋"/>
          <w:i w:val="0"/>
          <w:iCs w:val="0"/>
          <w:color w:val="auto"/>
          <w:sz w:val="28"/>
          <w:szCs w:val="28"/>
          <w:highlight w:val="none"/>
          <w:lang w:val="en-US" w:eastAsia="zh-CN"/>
        </w:rPr>
        <w:t>款</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1.3</w:t>
      </w:r>
      <w:r>
        <w:rPr>
          <w:rFonts w:hint="eastAsia" w:ascii="仿宋" w:hAnsi="仿宋" w:eastAsia="仿宋" w:cs="仿宋"/>
          <w:b w:val="0"/>
          <w:bCs w:val="0"/>
          <w:i w:val="0"/>
          <w:iCs w:val="0"/>
          <w:color w:val="auto"/>
          <w:sz w:val="28"/>
          <w:szCs w:val="28"/>
          <w:highlight w:val="none"/>
          <w:lang w:val="en-US" w:eastAsia="zh-CN"/>
        </w:rPr>
        <w:t>乙方桩机进场前，甲方应做好“三通一平”和施工前的准备工作，主要为：接通水源、电源，办理报建、临时占用道路等手续，排除地下障碍物，包括不可迁移的地下管线和四周建筑物的安全防护措施，如需要加固及完工后的维修等费用均由甲方负责。施工期间，非乙方原因造成的地下管线及四周建筑物损坏均由甲方承担。但在施工中，乙方应关注地下管线和四周建筑物的安全，如发现险情须立即停止施工并通知甲方共同制定有效的安全处理措施，不得冒险作业。</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1.4</w:t>
      </w:r>
      <w:r>
        <w:rPr>
          <w:rFonts w:hint="eastAsia" w:ascii="仿宋" w:hAnsi="仿宋" w:eastAsia="仿宋" w:cs="仿宋"/>
          <w:b w:val="0"/>
          <w:bCs w:val="0"/>
          <w:i w:val="0"/>
          <w:iCs w:val="0"/>
          <w:color w:val="auto"/>
          <w:sz w:val="28"/>
          <w:szCs w:val="28"/>
          <w:highlight w:val="none"/>
          <w:lang w:val="en-US" w:eastAsia="zh-CN"/>
        </w:rPr>
        <w:t>甲方提供座标和高程基准点，作为乙方为本工程桩位测设的依据。</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1.5提供给乙方工作面。如乙方认为甲方或其他单位未配合提供工作面而影响施工进度，乙方应书面告知甲方并由甲方</w:t>
      </w:r>
      <w:r>
        <w:rPr>
          <w:rFonts w:hint="eastAsia" w:ascii="仿宋" w:hAnsi="仿宋" w:eastAsia="仿宋" w:cs="仿宋"/>
          <w:i w:val="0"/>
          <w:iCs w:val="0"/>
          <w:color w:val="auto"/>
          <w:sz w:val="28"/>
          <w:szCs w:val="28"/>
          <w:highlight w:val="none"/>
          <w:lang w:val="en-US" w:eastAsia="zh-CN"/>
        </w:rPr>
        <w:t>项目经理</w:t>
      </w:r>
      <w:r>
        <w:rPr>
          <w:rFonts w:hint="eastAsia" w:ascii="仿宋" w:hAnsi="仿宋" w:eastAsia="仿宋" w:cs="仿宋"/>
          <w:i w:val="0"/>
          <w:iCs w:val="0"/>
          <w:color w:val="auto"/>
          <w:sz w:val="28"/>
          <w:szCs w:val="28"/>
          <w:highlight w:val="none"/>
        </w:rPr>
        <w:t>确认，否则视为不影响乙方施工，乙方不得以甲方未提供工作面为理由要求延</w:t>
      </w:r>
      <w:r>
        <w:rPr>
          <w:rFonts w:hint="eastAsia" w:ascii="仿宋" w:hAnsi="仿宋" w:eastAsia="仿宋" w:cs="仿宋"/>
          <w:i w:val="0"/>
          <w:iCs w:val="0"/>
          <w:color w:val="auto"/>
          <w:sz w:val="28"/>
          <w:szCs w:val="28"/>
          <w:highlight w:val="none"/>
          <w:lang w:val="en-US" w:eastAsia="zh-CN"/>
        </w:rPr>
        <w:t>长</w:t>
      </w:r>
      <w:r>
        <w:rPr>
          <w:rFonts w:hint="eastAsia" w:ascii="仿宋" w:hAnsi="仿宋" w:eastAsia="仿宋" w:cs="仿宋"/>
          <w:i w:val="0"/>
          <w:iCs w:val="0"/>
          <w:color w:val="auto"/>
          <w:sz w:val="28"/>
          <w:szCs w:val="28"/>
          <w:highlight w:val="none"/>
        </w:rPr>
        <w:t>工期。</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1.6为乙方</w:t>
      </w:r>
      <w:r>
        <w:rPr>
          <w:rFonts w:hint="eastAsia" w:ascii="仿宋" w:hAnsi="仿宋" w:eastAsia="仿宋" w:cs="仿宋"/>
          <w:i w:val="0"/>
          <w:iCs w:val="0"/>
          <w:color w:val="auto"/>
          <w:sz w:val="28"/>
          <w:szCs w:val="28"/>
          <w:highlight w:val="none"/>
          <w:lang w:val="en-US" w:eastAsia="zh-CN"/>
        </w:rPr>
        <w:t>员工办理人脸识别进场资料，</w:t>
      </w:r>
      <w:r>
        <w:rPr>
          <w:rFonts w:hint="eastAsia" w:ascii="仿宋" w:hAnsi="仿宋" w:eastAsia="仿宋" w:cs="仿宋"/>
          <w:i w:val="0"/>
          <w:iCs w:val="0"/>
          <w:color w:val="auto"/>
          <w:sz w:val="28"/>
          <w:szCs w:val="28"/>
          <w:highlight w:val="none"/>
        </w:rPr>
        <w:t>督促乙方及其工人遵章守纪、按章操作，强化现场安全防护工作。</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1.7甲方有权根据</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rPr>
        <w:t>总体情况安排</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调整本工程</w:t>
      </w:r>
      <w:r>
        <w:rPr>
          <w:rFonts w:hint="eastAsia" w:ascii="仿宋" w:hAnsi="仿宋" w:eastAsia="仿宋" w:cs="仿宋"/>
          <w:i w:val="0"/>
          <w:iCs w:val="0"/>
          <w:color w:val="auto"/>
          <w:sz w:val="28"/>
          <w:szCs w:val="28"/>
          <w:highlight w:val="none"/>
        </w:rPr>
        <w:t>工期，规定乙方先做某部位后做某部位，何时增加工人何时减少工人，乙方必须服从调动及安排。</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1.8甲方有权对乙方在施工中出现的不符合设计图纸、违反施工规范和安全操作规程、材料浪费等违规行为强行制止，并要求乙方在规定时间内按要求整改，同时有权根据具体情况对乙方进行扣款处理。</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1.9甲方有权对乙方及其人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进行技术考核</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考核不合格的人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不能上岗</w:t>
      </w:r>
      <w:r>
        <w:rPr>
          <w:rFonts w:hint="eastAsia" w:ascii="仿宋" w:hAnsi="仿宋" w:eastAsia="仿宋" w:cs="仿宋"/>
          <w:i w:val="0"/>
          <w:iCs w:val="0"/>
          <w:color w:val="auto"/>
          <w:sz w:val="28"/>
          <w:szCs w:val="28"/>
          <w:highlight w:val="none"/>
          <w:lang w:val="en-US" w:eastAsia="zh-CN"/>
        </w:rPr>
        <w:t>且乙方按甲方要求调换合格人员接替上岗</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1.10甲方对乙方向</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发放报酬</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w:t>
      </w:r>
      <w:r>
        <w:rPr>
          <w:rFonts w:hint="eastAsia" w:ascii="仿宋" w:hAnsi="仿宋" w:eastAsia="仿宋" w:cs="仿宋"/>
          <w:i w:val="0"/>
          <w:iCs w:val="0"/>
          <w:color w:val="auto"/>
          <w:sz w:val="28"/>
          <w:szCs w:val="28"/>
          <w:highlight w:val="none"/>
          <w:shd w:val="clear" w:color="auto" w:fill="auto"/>
        </w:rPr>
        <w:t>乙方工人的工资分配制度和实施情况，对不合理、违规的分配甲方有权制止及干预。乙方应及时支付工人工资及材料款，如乙方欠款导致甲方被追索，甲方有权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应付给乙方的款项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不足以代付导致甲方需垫付费用，乙方应在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1.11</w:t>
      </w:r>
      <w:r>
        <w:rPr>
          <w:rFonts w:hint="eastAsia" w:ascii="仿宋" w:hAnsi="仿宋" w:eastAsia="仿宋" w:cs="仿宋"/>
          <w:i w:val="0"/>
          <w:iCs w:val="0"/>
          <w:color w:val="auto"/>
          <w:sz w:val="28"/>
          <w:szCs w:val="28"/>
          <w:highlight w:val="none"/>
        </w:rPr>
        <w:t>提供给乙方</w:t>
      </w:r>
      <w:r>
        <w:rPr>
          <w:rFonts w:hint="eastAsia" w:ascii="仿宋" w:hAnsi="仿宋" w:eastAsia="仿宋" w:cs="仿宋"/>
          <w:i w:val="0"/>
          <w:iCs w:val="0"/>
          <w:color w:val="auto"/>
          <w:sz w:val="28"/>
          <w:szCs w:val="28"/>
          <w:highlight w:val="none"/>
          <w:lang w:val="en-US" w:eastAsia="zh-CN"/>
        </w:rPr>
        <w:t>施</w:t>
      </w:r>
      <w:r>
        <w:rPr>
          <w:rFonts w:hint="eastAsia" w:ascii="仿宋" w:hAnsi="仿宋" w:eastAsia="仿宋" w:cs="仿宋"/>
          <w:i w:val="0"/>
          <w:iCs w:val="0"/>
          <w:color w:val="auto"/>
          <w:sz w:val="28"/>
          <w:szCs w:val="28"/>
          <w:highlight w:val="none"/>
        </w:rPr>
        <w:t>工工人</w:t>
      </w:r>
      <w:r>
        <w:rPr>
          <w:rFonts w:hint="eastAsia" w:ascii="仿宋" w:hAnsi="仿宋" w:eastAsia="仿宋" w:cs="仿宋"/>
          <w:i w:val="0"/>
          <w:iCs w:val="0"/>
          <w:color w:val="auto"/>
          <w:sz w:val="28"/>
          <w:szCs w:val="28"/>
          <w:highlight w:val="none"/>
          <w:lang w:val="en-US" w:eastAsia="zh-CN"/>
        </w:rPr>
        <w:t>在施工</w:t>
      </w:r>
      <w:r>
        <w:rPr>
          <w:rFonts w:hint="eastAsia" w:ascii="仿宋" w:hAnsi="仿宋" w:eastAsia="仿宋" w:cs="仿宋"/>
          <w:i w:val="0"/>
          <w:iCs w:val="0"/>
          <w:color w:val="auto"/>
          <w:sz w:val="28"/>
          <w:szCs w:val="28"/>
          <w:highlight w:val="none"/>
        </w:rPr>
        <w:t>现场住宿</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设施。</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1.12对乙方违反规范</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设计要求的</w:t>
      </w:r>
      <w:r>
        <w:rPr>
          <w:rFonts w:hint="eastAsia" w:ascii="仿宋" w:hAnsi="仿宋" w:eastAsia="仿宋" w:cs="仿宋"/>
          <w:b w:val="0"/>
          <w:bCs w:val="0"/>
          <w:i w:val="0"/>
          <w:iCs w:val="0"/>
          <w:color w:val="auto"/>
          <w:sz w:val="28"/>
          <w:szCs w:val="28"/>
          <w:highlight w:val="none"/>
        </w:rPr>
        <w:t>事宜，甲方有权要求乙方整改，乙方拒不整改或整改二次后仍不能满足</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要求的，甲方有权单方解除本合同并按乙方验收合格工程量的</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rPr>
        <w:t>0%</w:t>
      </w:r>
      <w:r>
        <w:rPr>
          <w:rFonts w:hint="eastAsia" w:ascii="仿宋" w:hAnsi="仿宋" w:eastAsia="仿宋" w:cs="仿宋"/>
          <w:b w:val="0"/>
          <w:bCs w:val="0"/>
          <w:i w:val="0"/>
          <w:iCs w:val="0"/>
          <w:color w:val="auto"/>
          <w:sz w:val="28"/>
          <w:szCs w:val="28"/>
          <w:highlight w:val="none"/>
          <w:lang w:val="en-US" w:eastAsia="zh-CN"/>
        </w:rPr>
        <w:t>与</w:t>
      </w:r>
      <w:r>
        <w:rPr>
          <w:rFonts w:hint="eastAsia" w:ascii="仿宋" w:hAnsi="仿宋" w:eastAsia="仿宋" w:cs="仿宋"/>
          <w:b w:val="0"/>
          <w:bCs w:val="0"/>
          <w:i w:val="0"/>
          <w:iCs w:val="0"/>
          <w:color w:val="auto"/>
          <w:sz w:val="28"/>
          <w:szCs w:val="28"/>
          <w:highlight w:val="none"/>
        </w:rPr>
        <w:t>乙方结算，乙方按照甲方要求</w:t>
      </w:r>
      <w:r>
        <w:rPr>
          <w:rFonts w:hint="eastAsia" w:ascii="仿宋" w:hAnsi="仿宋" w:eastAsia="仿宋" w:cs="仿宋"/>
          <w:b w:val="0"/>
          <w:bCs w:val="0"/>
          <w:i w:val="0"/>
          <w:iCs w:val="0"/>
          <w:color w:val="auto"/>
          <w:sz w:val="28"/>
          <w:szCs w:val="28"/>
          <w:highlight w:val="none"/>
          <w:lang w:val="en-US" w:eastAsia="zh-CN"/>
        </w:rPr>
        <w:t>完成</w:t>
      </w:r>
      <w:r>
        <w:rPr>
          <w:rFonts w:hint="eastAsia" w:ascii="仿宋" w:hAnsi="仿宋" w:eastAsia="仿宋" w:cs="仿宋"/>
          <w:b w:val="0"/>
          <w:bCs w:val="0"/>
          <w:i w:val="0"/>
          <w:iCs w:val="0"/>
          <w:color w:val="auto"/>
          <w:sz w:val="28"/>
          <w:szCs w:val="28"/>
          <w:highlight w:val="none"/>
        </w:rPr>
        <w:t>退场后双方方可办理结算，同时乙方赔偿甲方的损失（包括</w:t>
      </w:r>
      <w:r>
        <w:rPr>
          <w:rFonts w:hint="eastAsia" w:ascii="仿宋" w:hAnsi="仿宋" w:eastAsia="仿宋" w:cs="仿宋"/>
          <w:b w:val="0"/>
          <w:bCs w:val="0"/>
          <w:i w:val="0"/>
          <w:iCs w:val="0"/>
          <w:color w:val="auto"/>
          <w:sz w:val="28"/>
          <w:szCs w:val="28"/>
          <w:highlight w:val="none"/>
          <w:lang w:val="en-US" w:eastAsia="zh-CN"/>
        </w:rPr>
        <w:t>但</w:t>
      </w:r>
      <w:r>
        <w:rPr>
          <w:rFonts w:hint="eastAsia" w:ascii="仿宋" w:hAnsi="仿宋" w:eastAsia="仿宋" w:cs="仿宋"/>
          <w:b w:val="0"/>
          <w:bCs w:val="0"/>
          <w:i w:val="0"/>
          <w:iCs w:val="0"/>
          <w:color w:val="auto"/>
          <w:sz w:val="28"/>
          <w:szCs w:val="28"/>
          <w:highlight w:val="none"/>
        </w:rPr>
        <w:t>不限于</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因</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逾期完工而需对</w:t>
      </w:r>
      <w:r>
        <w:rPr>
          <w:rFonts w:hint="eastAsia" w:ascii="仿宋" w:hAnsi="仿宋" w:eastAsia="仿宋" w:cs="仿宋"/>
          <w:b w:val="0"/>
          <w:bCs w:val="0"/>
          <w:i w:val="0"/>
          <w:iCs w:val="0"/>
          <w:color w:val="auto"/>
          <w:sz w:val="28"/>
          <w:szCs w:val="28"/>
          <w:highlight w:val="none"/>
          <w:lang w:val="en-US" w:eastAsia="zh-CN"/>
        </w:rPr>
        <w:t>建设单位</w:t>
      </w:r>
      <w:r>
        <w:rPr>
          <w:rFonts w:hint="eastAsia" w:ascii="仿宋" w:hAnsi="仿宋" w:eastAsia="仿宋" w:cs="仿宋"/>
          <w:b w:val="0"/>
          <w:bCs w:val="0"/>
          <w:i w:val="0"/>
          <w:iCs w:val="0"/>
          <w:color w:val="auto"/>
          <w:sz w:val="28"/>
          <w:szCs w:val="28"/>
          <w:highlight w:val="none"/>
        </w:rPr>
        <w:t>承担的违约责任、损失赔偿责任等）。</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1.13</w:t>
      </w:r>
      <w:r>
        <w:rPr>
          <w:rFonts w:hint="eastAsia" w:ascii="仿宋" w:hAnsi="仿宋" w:eastAsia="仿宋" w:cs="仿宋"/>
          <w:b w:val="0"/>
          <w:bCs w:val="0"/>
          <w:i w:val="0"/>
          <w:iCs w:val="0"/>
          <w:color w:val="auto"/>
          <w:sz w:val="28"/>
          <w:szCs w:val="28"/>
          <w:highlight w:val="none"/>
          <w:lang w:val="en-US" w:eastAsia="zh-CN"/>
        </w:rPr>
        <w:t>凡</w:t>
      </w:r>
      <w:r>
        <w:rPr>
          <w:rFonts w:hint="eastAsia" w:ascii="仿宋" w:hAnsi="仿宋" w:eastAsia="仿宋" w:cs="仿宋"/>
          <w:b w:val="0"/>
          <w:bCs w:val="0"/>
          <w:i w:val="0"/>
          <w:iCs w:val="0"/>
          <w:color w:val="auto"/>
          <w:sz w:val="28"/>
          <w:szCs w:val="28"/>
          <w:highlight w:val="none"/>
        </w:rPr>
        <w:t>甲方认为会影响工程质量或可能</w:t>
      </w:r>
      <w:r>
        <w:rPr>
          <w:rFonts w:hint="eastAsia" w:ascii="仿宋" w:hAnsi="仿宋" w:eastAsia="仿宋" w:cs="仿宋"/>
          <w:b w:val="0"/>
          <w:bCs w:val="0"/>
          <w:i w:val="0"/>
          <w:iCs w:val="0"/>
          <w:color w:val="auto"/>
          <w:sz w:val="28"/>
          <w:szCs w:val="28"/>
          <w:highlight w:val="none"/>
          <w:lang w:val="en-US" w:eastAsia="zh-CN"/>
        </w:rPr>
        <w:t>导致</w:t>
      </w:r>
      <w:r>
        <w:rPr>
          <w:rFonts w:hint="eastAsia" w:ascii="仿宋" w:hAnsi="仿宋" w:eastAsia="仿宋" w:cs="仿宋"/>
          <w:b w:val="0"/>
          <w:bCs w:val="0"/>
          <w:i w:val="0"/>
          <w:iCs w:val="0"/>
          <w:color w:val="auto"/>
          <w:sz w:val="28"/>
          <w:szCs w:val="28"/>
          <w:highlight w:val="none"/>
        </w:rPr>
        <w:t>安全事故的材料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机具</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不得用于本</w:t>
      </w:r>
      <w:r>
        <w:rPr>
          <w:rFonts w:hint="eastAsia" w:ascii="仿宋" w:hAnsi="仿宋" w:eastAsia="仿宋" w:cs="仿宋"/>
          <w:b w:val="0"/>
          <w:bCs w:val="0"/>
          <w:i w:val="0"/>
          <w:iCs w:val="0"/>
          <w:color w:val="auto"/>
          <w:sz w:val="28"/>
          <w:szCs w:val="28"/>
          <w:highlight w:val="none"/>
        </w:rPr>
        <w:t>工程</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否则乙方无条件按甲方要求更换且每次向甲方承担违约金贰万元及不延长工期</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1.14甲方因参与本合同履行而发出、或与乙方达成合意所形成的一切相关文件，均须同时具备甲方公章及法定代表人（或授权代表人）签名，否则均不对甲方产生约束力，除非事后获得甲方另行追认。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9.1.15对乙方不按合同约定的时间向甲方申报乙方工人工资资料等行为，甲方有权对乙方进行处罚，处罚金不少于伍仟元/天/人（按工人人数计）。</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9.1.16因乙方原因导致工人工资不能及时发放，其工人发生停工或静坐、闹事等行为的，甲方有权按本合同相关条款（如第十四章等）</w:t>
      </w:r>
      <w:r>
        <w:rPr>
          <w:rFonts w:hint="eastAsia" w:ascii="仿宋" w:hAnsi="仿宋" w:eastAsia="仿宋" w:cs="仿宋"/>
          <w:i w:val="0"/>
          <w:iCs w:val="0"/>
          <w:color w:val="auto"/>
          <w:sz w:val="28"/>
          <w:szCs w:val="28"/>
          <w:highlight w:val="none"/>
          <w:lang w:val="en-US" w:eastAsia="zh-CN"/>
        </w:rPr>
        <w:t>对乙方给予处罚。</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9.1.17属乙方责任的工作未完成的，甲方有权安排他人完成并以500元/工日计价（如实际费用高于此标准的，按实际费用计）从乙方工程款中扣除。</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2" w:firstLineChars="200"/>
        <w:rPr>
          <w:rFonts w:hint="eastAsia" w:ascii="仿宋" w:hAnsi="仿宋" w:eastAsia="仿宋" w:cs="仿宋"/>
          <w:b/>
          <w:bCs/>
          <w:i w:val="0"/>
          <w:iCs w:val="0"/>
          <w:color w:val="auto"/>
          <w:sz w:val="28"/>
          <w:szCs w:val="28"/>
          <w:highlight w:val="none"/>
        </w:rPr>
      </w:pPr>
      <w:r>
        <w:rPr>
          <w:rFonts w:hint="eastAsia" w:ascii="仿宋" w:hAnsi="仿宋" w:eastAsia="仿宋" w:cs="仿宋"/>
          <w:b/>
          <w:bCs/>
          <w:i w:val="0"/>
          <w:iCs w:val="0"/>
          <w:color w:val="auto"/>
          <w:sz w:val="28"/>
          <w:szCs w:val="28"/>
          <w:highlight w:val="none"/>
          <w:lang w:val="en-US" w:eastAsia="zh-CN"/>
        </w:rPr>
        <w:t>9.</w:t>
      </w:r>
      <w:r>
        <w:rPr>
          <w:rFonts w:hint="eastAsia" w:ascii="仿宋" w:hAnsi="仿宋" w:eastAsia="仿宋" w:cs="仿宋"/>
          <w:b/>
          <w:bCs/>
          <w:i w:val="0"/>
          <w:iCs w:val="0"/>
          <w:color w:val="auto"/>
          <w:sz w:val="28"/>
          <w:szCs w:val="28"/>
          <w:highlight w:val="none"/>
        </w:rPr>
        <w:t>2、乙方责任和权利</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2.1</w:t>
      </w:r>
      <w:r>
        <w:rPr>
          <w:rFonts w:hint="eastAsia" w:ascii="仿宋" w:hAnsi="仿宋" w:eastAsia="仿宋" w:cs="仿宋"/>
          <w:i w:val="0"/>
          <w:iCs w:val="0"/>
          <w:color w:val="auto"/>
          <w:sz w:val="28"/>
          <w:szCs w:val="28"/>
          <w:highlight w:val="none"/>
          <w:lang w:val="en-US" w:eastAsia="zh-CN"/>
        </w:rPr>
        <w:t>乙方须</w:t>
      </w:r>
      <w:r>
        <w:rPr>
          <w:rFonts w:hint="eastAsia" w:ascii="仿宋" w:hAnsi="仿宋" w:eastAsia="仿宋" w:cs="仿宋"/>
          <w:i w:val="0"/>
          <w:iCs w:val="0"/>
          <w:color w:val="auto"/>
          <w:sz w:val="28"/>
          <w:szCs w:val="28"/>
          <w:highlight w:val="none"/>
        </w:rPr>
        <w:t>按设计</w:t>
      </w:r>
      <w:r>
        <w:rPr>
          <w:rFonts w:hint="eastAsia" w:ascii="仿宋" w:hAnsi="仿宋" w:eastAsia="仿宋" w:cs="仿宋"/>
          <w:b w:val="0"/>
          <w:bCs w:val="0"/>
          <w:i w:val="0"/>
          <w:iCs w:val="0"/>
          <w:color w:val="auto"/>
          <w:sz w:val="28"/>
          <w:szCs w:val="28"/>
          <w:highlight w:val="none"/>
        </w:rPr>
        <w:t>图纸和施工规范施工，保证施工成品质量满足合同要求。因乙方原因导致的质量事故，由乙方</w:t>
      </w:r>
      <w:r>
        <w:rPr>
          <w:rFonts w:hint="eastAsia" w:ascii="仿宋" w:hAnsi="仿宋" w:eastAsia="仿宋" w:cs="仿宋"/>
          <w:b w:val="0"/>
          <w:bCs w:val="0"/>
          <w:i w:val="0"/>
          <w:iCs w:val="0"/>
          <w:color w:val="auto"/>
          <w:sz w:val="28"/>
          <w:szCs w:val="28"/>
          <w:highlight w:val="none"/>
          <w:lang w:val="en-US" w:eastAsia="zh-CN"/>
        </w:rPr>
        <w:t>赔偿甲方</w:t>
      </w:r>
      <w:r>
        <w:rPr>
          <w:rFonts w:hint="eastAsia" w:ascii="仿宋" w:hAnsi="仿宋" w:eastAsia="仿宋" w:cs="仿宋"/>
          <w:b w:val="0"/>
          <w:bCs w:val="0"/>
          <w:i w:val="0"/>
          <w:iCs w:val="0"/>
          <w:color w:val="auto"/>
          <w:sz w:val="28"/>
          <w:szCs w:val="28"/>
          <w:highlight w:val="none"/>
        </w:rPr>
        <w:t>损失。</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2.2</w:t>
      </w:r>
      <w:r>
        <w:rPr>
          <w:rFonts w:hint="eastAsia" w:ascii="仿宋" w:hAnsi="仿宋" w:eastAsia="仿宋" w:cs="仿宋"/>
          <w:b w:val="0"/>
          <w:bCs w:val="0"/>
          <w:i w:val="0"/>
          <w:iCs w:val="0"/>
          <w:color w:val="auto"/>
          <w:sz w:val="28"/>
          <w:szCs w:val="28"/>
          <w:highlight w:val="none"/>
          <w:lang w:val="en-US" w:eastAsia="zh-CN"/>
        </w:rPr>
        <w:t>乙方根据甲方提供的座标和高程基准点对本工程进行测量、放线，对测设结果负责</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2.3</w:t>
      </w:r>
      <w:r>
        <w:rPr>
          <w:rFonts w:hint="eastAsia" w:ascii="仿宋" w:hAnsi="仿宋" w:eastAsia="仿宋" w:cs="仿宋"/>
          <w:b w:val="0"/>
          <w:bCs w:val="0"/>
          <w:i w:val="0"/>
          <w:iCs w:val="0"/>
          <w:color w:val="auto"/>
          <w:sz w:val="28"/>
          <w:szCs w:val="28"/>
          <w:highlight w:val="none"/>
          <w:lang w:val="en-US" w:eastAsia="zh-CN"/>
        </w:rPr>
        <w:t>乙方负责桩基施工所有资料的编制，并在施工当日经甲方、建设方、监理方的共同签字确认，否则向甲方承担违约金壹万元</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2.4遵守甲方管理制度，服从甲方管理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如需要乙方配合施工，乙方必须安排相应技工或工作人员配合、值班，费用已包含在第六章约定的合同价内，甲方不另计费给乙方</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2.5</w:t>
      </w:r>
      <w:r>
        <w:rPr>
          <w:rFonts w:hint="eastAsia" w:ascii="仿宋" w:hAnsi="仿宋" w:eastAsia="仿宋" w:cs="仿宋"/>
          <w:b w:val="0"/>
          <w:bCs w:val="0"/>
          <w:i w:val="0"/>
          <w:iCs w:val="0"/>
          <w:color w:val="auto"/>
          <w:sz w:val="28"/>
          <w:szCs w:val="28"/>
          <w:highlight w:val="none"/>
          <w:lang w:val="en-US" w:eastAsia="zh-CN"/>
        </w:rPr>
        <w:t>乙方必须严格按照国家、省《建筑地基基础施工及验收规范》和设计图纸的要求进行施工，在施工过程中，发现有质量问题或深度不够等，应及时向甲方、建设单位、设计单位提出书面意见，征得甲方、建设单位和设计单位的同意方能改变施工方案。乙方</w:t>
      </w:r>
      <w:r>
        <w:rPr>
          <w:rFonts w:hint="eastAsia" w:ascii="仿宋" w:hAnsi="仿宋" w:eastAsia="仿宋" w:cs="仿宋"/>
          <w:b w:val="0"/>
          <w:bCs w:val="0"/>
          <w:i w:val="0"/>
          <w:iCs w:val="0"/>
          <w:color w:val="auto"/>
          <w:sz w:val="28"/>
          <w:szCs w:val="28"/>
          <w:highlight w:val="none"/>
        </w:rPr>
        <w:t>对完成的每一</w:t>
      </w:r>
      <w:r>
        <w:rPr>
          <w:rFonts w:hint="eastAsia" w:ascii="仿宋" w:hAnsi="仿宋" w:eastAsia="仿宋" w:cs="仿宋"/>
          <w:b w:val="0"/>
          <w:bCs w:val="0"/>
          <w:i w:val="0"/>
          <w:iCs w:val="0"/>
          <w:color w:val="auto"/>
          <w:sz w:val="28"/>
          <w:szCs w:val="28"/>
          <w:highlight w:val="none"/>
          <w:lang w:eastAsia="zh-CN"/>
        </w:rPr>
        <w:t>道</w:t>
      </w:r>
      <w:r>
        <w:rPr>
          <w:rFonts w:hint="eastAsia" w:ascii="仿宋" w:hAnsi="仿宋" w:eastAsia="仿宋" w:cs="仿宋"/>
          <w:b w:val="0"/>
          <w:bCs w:val="0"/>
          <w:i w:val="0"/>
          <w:iCs w:val="0"/>
          <w:color w:val="auto"/>
          <w:sz w:val="28"/>
          <w:szCs w:val="28"/>
          <w:highlight w:val="none"/>
        </w:rPr>
        <w:t>工序及时、认真进行自检，自检合格后提请甲方验收。对验收中</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提出的问题</w:t>
      </w:r>
      <w:r>
        <w:rPr>
          <w:rFonts w:hint="eastAsia" w:ascii="仿宋" w:hAnsi="仿宋" w:eastAsia="仿宋" w:cs="仿宋"/>
          <w:b w:val="0"/>
          <w:bCs w:val="0"/>
          <w:i w:val="0"/>
          <w:iCs w:val="0"/>
          <w:color w:val="auto"/>
          <w:sz w:val="28"/>
          <w:szCs w:val="28"/>
          <w:highlight w:val="none"/>
          <w:lang w:val="en-US" w:eastAsia="zh-CN"/>
        </w:rPr>
        <w:t>按甲方要求的时间、质量要求</w:t>
      </w:r>
      <w:r>
        <w:rPr>
          <w:rFonts w:hint="eastAsia" w:ascii="仿宋" w:hAnsi="仿宋" w:eastAsia="仿宋" w:cs="仿宋"/>
          <w:b w:val="0"/>
          <w:bCs w:val="0"/>
          <w:i w:val="0"/>
          <w:iCs w:val="0"/>
          <w:color w:val="auto"/>
          <w:sz w:val="28"/>
          <w:szCs w:val="28"/>
          <w:highlight w:val="none"/>
        </w:rPr>
        <w:t>及时彻底整改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每延误一天完成整改，向甲方承担违约金伍仟元</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2.6</w:t>
      </w:r>
      <w:r>
        <w:rPr>
          <w:rFonts w:hint="eastAsia" w:ascii="仿宋" w:hAnsi="仿宋" w:eastAsia="仿宋" w:cs="仿宋"/>
          <w:b w:val="0"/>
          <w:bCs w:val="0"/>
          <w:i w:val="0"/>
          <w:iCs w:val="0"/>
          <w:color w:val="auto"/>
          <w:sz w:val="28"/>
          <w:szCs w:val="28"/>
          <w:highlight w:val="none"/>
          <w:lang w:val="en-US" w:eastAsia="zh-CN"/>
        </w:rPr>
        <w:t>乙方应严格遵守《建设工程安全生产管理条例》及有关文件安全管理规定，组织安排工人施工， 消除安全隐患，乙方进场施工人员年龄必须在 18 至 60 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2.7</w:t>
      </w:r>
      <w:r>
        <w:rPr>
          <w:rFonts w:hint="eastAsia" w:ascii="仿宋" w:hAnsi="仿宋" w:eastAsia="仿宋" w:cs="仿宋"/>
          <w:i w:val="0"/>
          <w:iCs w:val="0"/>
          <w:color w:val="auto"/>
          <w:sz w:val="28"/>
          <w:szCs w:val="28"/>
          <w:highlight w:val="none"/>
          <w:lang w:val="en-US" w:eastAsia="zh-CN"/>
        </w:rPr>
        <w:t>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9.2.8在甲方的监督下办理工人工资发放专户，由银行代发乙方工人工资。</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9.2.10乙方须如实主动申报及发放工人工资，甲方有权核对，如发现乙方弄虚作假，甲方暂停支付乙方工程款。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合同履行过程中，如乙方中途自行退场，甲方不支付任何款项，因此造成甲方损失的由乙方赔偿</w:t>
      </w:r>
      <w:r>
        <w:rPr>
          <w:rFonts w:hint="eastAsia" w:ascii="仿宋" w:hAnsi="仿宋" w:eastAsia="仿宋" w:cs="仿宋"/>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3乙方须</w:t>
      </w:r>
      <w:r>
        <w:rPr>
          <w:rFonts w:hint="eastAsia" w:ascii="仿宋" w:hAnsi="仿宋" w:eastAsia="仿宋" w:cs="仿宋"/>
          <w:b w:val="0"/>
          <w:bCs w:val="0"/>
          <w:i w:val="0"/>
          <w:iCs w:val="0"/>
          <w:color w:val="auto"/>
          <w:sz w:val="28"/>
          <w:szCs w:val="28"/>
          <w:highlight w:val="none"/>
        </w:rPr>
        <w:t>合理使用材料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在保证质量的情况下，按</w:t>
      </w:r>
      <w:r>
        <w:rPr>
          <w:rFonts w:hint="eastAsia" w:ascii="仿宋" w:hAnsi="仿宋" w:eastAsia="仿宋" w:cs="仿宋"/>
          <w:b w:val="0"/>
          <w:bCs w:val="0"/>
          <w:i w:val="0"/>
          <w:iCs w:val="0"/>
          <w:color w:val="auto"/>
          <w:sz w:val="28"/>
          <w:szCs w:val="28"/>
          <w:highlight w:val="none"/>
          <w:lang w:val="en-US" w:eastAsia="zh-CN"/>
        </w:rPr>
        <w:t>相应规范</w:t>
      </w:r>
      <w:r>
        <w:rPr>
          <w:rFonts w:hint="eastAsia" w:ascii="仿宋" w:hAnsi="仿宋" w:eastAsia="仿宋" w:cs="仿宋"/>
          <w:b w:val="0"/>
          <w:bCs w:val="0"/>
          <w:i w:val="0"/>
          <w:iCs w:val="0"/>
          <w:color w:val="auto"/>
          <w:sz w:val="28"/>
          <w:szCs w:val="28"/>
          <w:highlight w:val="none"/>
        </w:rPr>
        <w:t>控制使用。</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4乙方</w:t>
      </w:r>
      <w:r>
        <w:rPr>
          <w:rFonts w:hint="eastAsia" w:ascii="仿宋" w:hAnsi="仿宋" w:eastAsia="仿宋" w:cs="仿宋"/>
          <w:b w:val="0"/>
          <w:bCs w:val="0"/>
          <w:i w:val="0"/>
          <w:iCs w:val="0"/>
          <w:color w:val="auto"/>
          <w:sz w:val="28"/>
          <w:szCs w:val="28"/>
          <w:highlight w:val="none"/>
        </w:rPr>
        <w:t>施工中</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与其他劳务队积极配合</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保护所有成品。</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9.2.15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水电费及空调使用费，并按扣除后的金额申请进度款。</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b w:val="0"/>
          <w:bCs w:val="0"/>
          <w:i w:val="0"/>
          <w:iCs w:val="0"/>
          <w:color w:val="auto"/>
          <w:sz w:val="28"/>
          <w:szCs w:val="28"/>
          <w:highlight w:val="none"/>
        </w:rPr>
        <w:t>对违章指挥，乙方有权拒绝服从。</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因乙方的材料及施工质量问题引起的返工、维修、更换、损失及工期的延误等造成的一切费用由乙方承担。</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kern w:val="0"/>
          <w:sz w:val="28"/>
          <w:szCs w:val="28"/>
          <w:highlight w:val="none"/>
        </w:rPr>
        <w:t>乙方每批进场材料必须经甲方现场管理人员（或施工员）确认是否符合</w:t>
      </w:r>
      <w:r>
        <w:rPr>
          <w:rFonts w:hint="eastAsia" w:ascii="仿宋" w:hAnsi="仿宋" w:eastAsia="仿宋" w:cs="仿宋"/>
          <w:b w:val="0"/>
          <w:bCs w:val="0"/>
          <w:i w:val="0"/>
          <w:iCs w:val="0"/>
          <w:color w:val="auto"/>
          <w:kern w:val="0"/>
          <w:sz w:val="28"/>
          <w:szCs w:val="28"/>
          <w:highlight w:val="none"/>
          <w:lang w:val="en-US" w:eastAsia="zh-CN"/>
        </w:rPr>
        <w:t>合同要求及</w:t>
      </w:r>
      <w:r>
        <w:rPr>
          <w:rFonts w:hint="eastAsia" w:ascii="仿宋" w:hAnsi="仿宋" w:eastAsia="仿宋" w:cs="仿宋"/>
          <w:b w:val="0"/>
          <w:bCs w:val="0"/>
          <w:i w:val="0"/>
          <w:iCs w:val="0"/>
          <w:color w:val="auto"/>
          <w:kern w:val="0"/>
          <w:sz w:val="28"/>
          <w:szCs w:val="28"/>
          <w:highlight w:val="none"/>
        </w:rPr>
        <w:t>工程所需，如不符合，一律不准进场</w:t>
      </w:r>
      <w:r>
        <w:rPr>
          <w:rFonts w:hint="eastAsia" w:ascii="仿宋" w:hAnsi="仿宋" w:eastAsia="仿宋" w:cs="仿宋"/>
          <w:b w:val="0"/>
          <w:bCs w:val="0"/>
          <w:i w:val="0"/>
          <w:iCs w:val="0"/>
          <w:color w:val="auto"/>
          <w:kern w:val="0"/>
          <w:sz w:val="28"/>
          <w:szCs w:val="28"/>
          <w:highlight w:val="none"/>
          <w:lang w:val="en-US" w:eastAsia="zh-CN"/>
        </w:rPr>
        <w:t>并按甲方要求更换且不得因此延长工期</w:t>
      </w:r>
      <w:r>
        <w:rPr>
          <w:rFonts w:hint="eastAsia" w:ascii="仿宋" w:hAnsi="仿宋" w:eastAsia="仿宋" w:cs="仿宋"/>
          <w:b w:val="0"/>
          <w:bCs w:val="0"/>
          <w:i w:val="0"/>
          <w:iCs w:val="0"/>
          <w:color w:val="auto"/>
          <w:kern w:val="0"/>
          <w:sz w:val="28"/>
          <w:szCs w:val="28"/>
          <w:highlight w:val="none"/>
        </w:rPr>
        <w:t>，</w:t>
      </w:r>
      <w:r>
        <w:rPr>
          <w:rFonts w:hint="eastAsia" w:ascii="仿宋" w:hAnsi="仿宋" w:eastAsia="仿宋" w:cs="仿宋"/>
          <w:b w:val="0"/>
          <w:bCs w:val="0"/>
          <w:i w:val="0"/>
          <w:iCs w:val="0"/>
          <w:color w:val="auto"/>
          <w:kern w:val="0"/>
          <w:sz w:val="28"/>
          <w:szCs w:val="28"/>
          <w:highlight w:val="none"/>
          <w:lang w:val="en-US" w:eastAsia="zh-CN"/>
        </w:rPr>
        <w:t>同时乙方每次向甲方承担违约金伍万元</w:t>
      </w:r>
      <w:r>
        <w:rPr>
          <w:rFonts w:hint="eastAsia" w:ascii="仿宋" w:hAnsi="仿宋" w:eastAsia="仿宋" w:cs="仿宋"/>
          <w:b w:val="0"/>
          <w:bCs w:val="0"/>
          <w:i w:val="0"/>
          <w:iCs w:val="0"/>
          <w:color w:val="auto"/>
          <w:kern w:val="0"/>
          <w:sz w:val="28"/>
          <w:szCs w:val="28"/>
          <w:highlight w:val="none"/>
        </w:rPr>
        <w:t xml:space="preserve">。 </w:t>
      </w:r>
    </w:p>
    <w:p>
      <w:pPr>
        <w:keepNext w:val="0"/>
        <w:keepLines w:val="0"/>
        <w:pageBreakBefore w:val="0"/>
        <w:widowControl/>
        <w:kinsoku/>
        <w:wordWrap/>
        <w:overflowPunct/>
        <w:topLinePunct w:val="0"/>
        <w:autoSpaceDE/>
        <w:autoSpaceDN/>
        <w:bidi w:val="0"/>
        <w:adjustRightInd/>
        <w:spacing w:line="560" w:lineRule="exact"/>
        <w:ind w:left="0" w:leftChars="0" w:right="-420" w:rightChars="-200" w:firstLine="560" w:firstLineChars="200"/>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乙方确保本工程的工程质量和工程进度一次性满足合同要求，否则造成的一切损失由乙方承担</w:t>
      </w:r>
      <w:r>
        <w:rPr>
          <w:rFonts w:hint="eastAsia" w:ascii="仿宋" w:hAnsi="仿宋" w:eastAsia="仿宋" w:cs="仿宋"/>
          <w:b w:val="0"/>
          <w:bCs w:val="0"/>
          <w:i w:val="0"/>
          <w:iCs w:val="0"/>
          <w:color w:val="auto"/>
          <w:sz w:val="28"/>
          <w:szCs w:val="28"/>
          <w:highlight w:val="none"/>
          <w:lang w:val="en-US" w:eastAsia="zh-CN"/>
        </w:rPr>
        <w:t>且每次向甲方承担违约金伍万元</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kinsoku/>
        <w:wordWrap/>
        <w:overflowPunct/>
        <w:topLinePunct w:val="0"/>
        <w:autoSpaceDE/>
        <w:autoSpaceDN/>
        <w:bidi w:val="0"/>
        <w:adjustRightInd/>
        <w:spacing w:line="560" w:lineRule="exact"/>
        <w:ind w:left="0" w:leftChars="0" w:right="-420" w:rightChars="-200" w:firstLine="560" w:firstLineChars="200"/>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乙方已充分了解工程现场实际情况，确定</w:t>
      </w:r>
      <w:r>
        <w:rPr>
          <w:rFonts w:hint="eastAsia" w:ascii="仿宋" w:hAnsi="仿宋" w:eastAsia="仿宋" w:cs="仿宋"/>
          <w:b w:val="0"/>
          <w:bCs w:val="0"/>
          <w:i w:val="0"/>
          <w:iCs w:val="0"/>
          <w:color w:val="auto"/>
          <w:sz w:val="28"/>
          <w:szCs w:val="28"/>
          <w:highlight w:val="none"/>
          <w:lang w:val="en-US" w:eastAsia="zh-CN"/>
        </w:rPr>
        <w:t>第六章约定的</w:t>
      </w:r>
      <w:r>
        <w:rPr>
          <w:rFonts w:hint="eastAsia" w:ascii="仿宋" w:hAnsi="仿宋" w:eastAsia="仿宋" w:cs="仿宋"/>
          <w:b w:val="0"/>
          <w:bCs w:val="0"/>
          <w:i w:val="0"/>
          <w:iCs w:val="0"/>
          <w:color w:val="auto"/>
          <w:sz w:val="28"/>
          <w:szCs w:val="28"/>
          <w:highlight w:val="none"/>
        </w:rPr>
        <w:t>合同单价</w:t>
      </w:r>
      <w:r>
        <w:rPr>
          <w:rFonts w:hint="eastAsia" w:ascii="仿宋" w:hAnsi="仿宋" w:eastAsia="仿宋" w:cs="仿宋"/>
          <w:b w:val="0"/>
          <w:bCs w:val="0"/>
          <w:i w:val="0"/>
          <w:iCs w:val="0"/>
          <w:color w:val="auto"/>
          <w:sz w:val="28"/>
          <w:szCs w:val="28"/>
          <w:highlight w:val="none"/>
          <w:lang w:val="en-US" w:eastAsia="zh-CN"/>
        </w:rPr>
        <w:t>/总价</w:t>
      </w:r>
      <w:r>
        <w:rPr>
          <w:rFonts w:hint="eastAsia" w:ascii="仿宋" w:hAnsi="仿宋" w:eastAsia="仿宋" w:cs="仿宋"/>
          <w:b w:val="0"/>
          <w:bCs w:val="0"/>
          <w:i w:val="0"/>
          <w:iCs w:val="0"/>
          <w:color w:val="auto"/>
          <w:sz w:val="28"/>
          <w:szCs w:val="28"/>
          <w:highlight w:val="none"/>
        </w:rPr>
        <w:t>已包含处理现场各种因素导致的多次进退场、怠工、误工等不能正常开工情形的费用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甲方无需另行计费给乙方。</w:t>
      </w:r>
    </w:p>
    <w:p>
      <w:pPr>
        <w:keepNext w:val="0"/>
        <w:keepLines w:val="0"/>
        <w:pageBreakBefore w:val="0"/>
        <w:widowControl/>
        <w:kinsoku/>
        <w:wordWrap/>
        <w:overflowPunct/>
        <w:topLinePunct w:val="0"/>
        <w:autoSpaceDE/>
        <w:autoSpaceDN/>
        <w:bidi w:val="0"/>
        <w:adjustRightInd/>
        <w:snapToGrid w:val="0"/>
        <w:spacing w:line="560" w:lineRule="exact"/>
        <w:ind w:left="0" w:leftChars="0" w:right="-420" w:rightChars="-200" w:firstLine="560" w:firstLineChars="200"/>
        <w:jc w:val="left"/>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21</w:t>
      </w:r>
      <w:r>
        <w:rPr>
          <w:rFonts w:hint="eastAsia" w:ascii="仿宋" w:hAnsi="仿宋" w:eastAsia="仿宋" w:cs="仿宋"/>
          <w:b w:val="0"/>
          <w:bCs w:val="0"/>
          <w:i w:val="0"/>
          <w:iCs w:val="0"/>
          <w:color w:val="auto"/>
          <w:sz w:val="28"/>
          <w:szCs w:val="28"/>
          <w:highlight w:val="none"/>
        </w:rPr>
        <w:t>乙方人员进场时须提供本工程所在地三甲医院出具的体检健康证明，否则甲方有权将无证人员驱逐出施工现场，且乙方须向甲方缴纳违约金每人每次200元。</w:t>
      </w:r>
      <w:r>
        <w:rPr>
          <w:rFonts w:hint="eastAsia" w:ascii="仿宋" w:hAnsi="仿宋" w:eastAsia="仿宋" w:cs="仿宋"/>
          <w:b w:val="0"/>
          <w:bCs w:val="0"/>
          <w:i w:val="0"/>
          <w:iCs w:val="0"/>
          <w:color w:val="auto"/>
          <w:sz w:val="28"/>
          <w:szCs w:val="28"/>
          <w:highlight w:val="none"/>
          <w:lang w:val="en-US" w:eastAsia="zh-CN"/>
        </w:rPr>
        <w:t>无论</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是否</w:t>
      </w:r>
      <w:r>
        <w:rPr>
          <w:rFonts w:hint="eastAsia" w:ascii="仿宋" w:hAnsi="仿宋" w:eastAsia="仿宋" w:cs="仿宋"/>
          <w:b w:val="0"/>
          <w:bCs w:val="0"/>
          <w:i w:val="0"/>
          <w:iCs w:val="0"/>
          <w:color w:val="auto"/>
          <w:sz w:val="28"/>
          <w:szCs w:val="28"/>
          <w:highlight w:val="none"/>
        </w:rPr>
        <w:t>提供，</w:t>
      </w:r>
      <w:r>
        <w:rPr>
          <w:rFonts w:hint="eastAsia" w:ascii="仿宋" w:hAnsi="仿宋" w:eastAsia="仿宋" w:cs="仿宋"/>
          <w:b w:val="0"/>
          <w:bCs w:val="0"/>
          <w:i w:val="0"/>
          <w:iCs w:val="0"/>
          <w:color w:val="auto"/>
          <w:sz w:val="28"/>
          <w:szCs w:val="28"/>
          <w:highlight w:val="none"/>
          <w:lang w:val="en-US" w:eastAsia="zh-CN"/>
        </w:rPr>
        <w:t>均</w:t>
      </w:r>
      <w:r>
        <w:rPr>
          <w:rFonts w:hint="eastAsia" w:ascii="仿宋" w:hAnsi="仿宋" w:eastAsia="仿宋" w:cs="仿宋"/>
          <w:b w:val="0"/>
          <w:bCs w:val="0"/>
          <w:i w:val="0"/>
          <w:iCs w:val="0"/>
          <w:color w:val="auto"/>
          <w:sz w:val="28"/>
          <w:szCs w:val="28"/>
          <w:highlight w:val="none"/>
        </w:rPr>
        <w:t>须保证乙方人员身体健康，无妨碍从事工作的疾病和生理缺陷，符合进场及本工程工作要求。因乙方人员自身疾病或生理缺陷等原因导致的伤亡均由乙方承担全责，</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不追究甲方责任及要求甲方承担任何费用。</w:t>
      </w:r>
    </w:p>
    <w:p>
      <w:pPr>
        <w:keepNext w:val="0"/>
        <w:keepLines w:val="0"/>
        <w:pageBreakBefore w:val="0"/>
        <w:widowControl/>
        <w:kinsoku/>
        <w:wordWrap/>
        <w:overflowPunct/>
        <w:topLinePunct w:val="0"/>
        <w:autoSpaceDE/>
        <w:autoSpaceDN/>
        <w:bidi w:val="0"/>
        <w:adjustRightInd/>
        <w:spacing w:line="560" w:lineRule="exact"/>
        <w:ind w:left="0" w:leftChars="0" w:right="-420" w:rightChars="-200" w:firstLine="560" w:firstLineChars="200"/>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22</w:t>
      </w:r>
      <w:r>
        <w:rPr>
          <w:rFonts w:hint="eastAsia" w:ascii="仿宋" w:hAnsi="仿宋" w:eastAsia="仿宋" w:cs="仿宋"/>
          <w:b w:val="0"/>
          <w:bCs w:val="0"/>
          <w:i w:val="0"/>
          <w:iCs w:val="0"/>
          <w:color w:val="auto"/>
          <w:sz w:val="28"/>
          <w:szCs w:val="28"/>
          <w:highlight w:val="none"/>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9.2.23</w:t>
      </w:r>
      <w:r>
        <w:rPr>
          <w:rFonts w:hint="eastAsia" w:ascii="仿宋" w:hAnsi="仿宋" w:eastAsia="仿宋" w:cs="仿宋"/>
          <w:b w:val="0"/>
          <w:bCs w:val="0"/>
          <w:i w:val="0"/>
          <w:iCs w:val="0"/>
          <w:color w:val="auto"/>
          <w:sz w:val="28"/>
          <w:szCs w:val="28"/>
          <w:highlight w:val="none"/>
        </w:rPr>
        <w:t>乙方必须按照甲方书面确定的图纸、设计变更通知单施工，未经甲方书面同意而擅自施工的，无论是否影响本工程质量或工期，每次须支付违约金人民币壹万元给甲方，并负责因此导致的一切后果，同时甲方不补偿由此增加的费用，由此节约的费用（以甲方计算的为准）则由甲方享有</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（因乙方擅自施工系单方变更合同的违约行为，节约的费用视同支付给甲方的违约金。）</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9.2.24乙方原因导致的一切安全事故，属乙方责任，所有损失及费用由乙方承担。</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376" w:rightChars="-179"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9.2.25</w:t>
      </w:r>
      <w:r>
        <w:rPr>
          <w:rFonts w:hint="eastAsia" w:ascii="仿宋" w:hAnsi="仿宋" w:eastAsia="仿宋" w:cs="仿宋"/>
          <w:b w:val="0"/>
          <w:bCs w:val="0"/>
          <w:i w:val="0"/>
          <w:iCs w:val="0"/>
          <w:color w:val="auto"/>
          <w:sz w:val="28"/>
          <w:highlight w:val="none"/>
          <w:u w:val="none"/>
          <w:shd w:val="clear" w:color="auto" w:fill="auto"/>
          <w:lang w:val="en-US" w:eastAsia="zh-CN"/>
        </w:rPr>
        <w:t>乙方人员在本合同履行期间所发生的所有安全事故，均由乙方承担所发生的全部费用及损失，对甲方造成损失的则由乙方赔偿甲方损失。</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9.2.26乙方人员（包括乙方家属、朋友等人员）在本项目地点发生的所有安全事故均与甲方无关，甲方不承担任何责任和费用，一切责任和费用由乙方承担。</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9.2.27乙方负责本工程工作面上所用材料、机具、垃圾的清理，负责有机物垃圾的处置，做到工完场清且符合政府主管部门及甲方要求，相关费用已含于合同单价/合同总价中。</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9.2.28乙方的打桩、压桩施工记录必须每天报甲方、建设单位、监理等签名确认，否则每发生一次按3000元支付违约金给甲方。</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9.2.30乙方应严格遵照甲方制订的施工进度计划开展具体施工工作，每 10 天必须到甲方项目部在《施工任务表》上签认施工任务并保证完成，违者主动接受相应的扣款处罚。</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9.2.31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25" w:name="_Toc27498"/>
      <w:bookmarkStart w:id="26" w:name="_Toc22656"/>
      <w:bookmarkStart w:id="27" w:name="_Toc12475"/>
      <w:bookmarkStart w:id="28" w:name="_Toc10186"/>
      <w:r>
        <w:rPr>
          <w:rFonts w:hint="eastAsia" w:ascii="仿宋" w:hAnsi="仿宋" w:eastAsia="仿宋" w:cs="仿宋"/>
          <w:b/>
          <w:bCs/>
          <w:i w:val="0"/>
          <w:iCs w:val="0"/>
          <w:color w:val="auto"/>
          <w:sz w:val="28"/>
          <w:szCs w:val="28"/>
          <w:highlight w:val="none"/>
          <w:lang w:val="en-US" w:eastAsia="zh-CN"/>
        </w:rPr>
        <w:t>安全生产、文明施工要求</w:t>
      </w:r>
      <w:bookmarkEnd w:id="25"/>
      <w:bookmarkEnd w:id="26"/>
      <w:bookmarkEnd w:id="27"/>
      <w:bookmarkEnd w:id="28"/>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10.1乙方施工行为须符合《建筑施工安全检查标准》JGJ59-2011标准（</w:t>
      </w:r>
      <w:r>
        <w:rPr>
          <w:rFonts w:hint="eastAsia" w:ascii="仿宋" w:hAnsi="仿宋" w:eastAsia="仿宋" w:cs="仿宋"/>
          <w:i w:val="0"/>
          <w:iCs w:val="0"/>
          <w:color w:val="auto"/>
          <w:sz w:val="28"/>
          <w:szCs w:val="28"/>
          <w:highlight w:val="none"/>
          <w:lang w:val="en-US" w:eastAsia="zh-CN"/>
        </w:rPr>
        <w:t>有更新版本则按最新版本执行</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本项目所在地政府主管部门</w:t>
      </w:r>
      <w:r>
        <w:rPr>
          <w:rFonts w:hint="eastAsia" w:ascii="仿宋" w:hAnsi="仿宋" w:eastAsia="仿宋" w:cs="仿宋"/>
          <w:i w:val="0"/>
          <w:iCs w:val="0"/>
          <w:color w:val="auto"/>
          <w:sz w:val="28"/>
          <w:szCs w:val="28"/>
          <w:highlight w:val="none"/>
          <w:lang w:eastAsia="zh-CN"/>
        </w:rPr>
        <w:t>及甲方的安全生产、文明施工管理</w:t>
      </w:r>
      <w:r>
        <w:rPr>
          <w:rFonts w:hint="eastAsia" w:ascii="仿宋" w:hAnsi="仿宋" w:eastAsia="仿宋" w:cs="仿宋"/>
          <w:i w:val="0"/>
          <w:iCs w:val="0"/>
          <w:color w:val="auto"/>
          <w:sz w:val="28"/>
          <w:szCs w:val="28"/>
          <w:highlight w:val="none"/>
          <w:lang w:val="en-US" w:eastAsia="zh-CN"/>
        </w:rPr>
        <w:t>要求</w:t>
      </w:r>
      <w:r>
        <w:rPr>
          <w:rFonts w:hint="eastAsia" w:ascii="仿宋" w:hAnsi="仿宋" w:eastAsia="仿宋" w:cs="仿宋"/>
          <w:i w:val="0"/>
          <w:iCs w:val="0"/>
          <w:color w:val="auto"/>
          <w:sz w:val="28"/>
          <w:szCs w:val="28"/>
          <w:highlight w:val="none"/>
          <w:lang w:eastAsia="zh-CN"/>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10.2</w:t>
      </w:r>
      <w:r>
        <w:rPr>
          <w:rFonts w:hint="eastAsia" w:ascii="仿宋" w:hAnsi="仿宋" w:eastAsia="仿宋" w:cs="仿宋"/>
          <w:i w:val="0"/>
          <w:iCs w:val="0"/>
          <w:color w:val="auto"/>
          <w:sz w:val="28"/>
          <w:szCs w:val="28"/>
          <w:highlight w:val="none"/>
          <w:lang w:val="en-US" w:eastAsia="zh-CN"/>
        </w:rPr>
        <w:t>乙方负责本工程工作面上所用材料、机具、垃圾的清理，做到工完场清，并自行负责有机物垃圾的处置，相关费用已含于第六章约定的</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合同总价中，甲方无需另行计费给乙方。</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10.3甲方应对乙方进场的施工人员进行安全教育。</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10.4甲方不得违反《建设工程安全生产管理条例》的规定要求乙方违章施工。因甲方指挥失误导致的安全事故由甲方承担相应责任和费用。</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10.5乙方应严格遵守《建设工程安全生产管理条例》及有关文件安全管理规定，组织安排工人施工，消除安全隐患。乙方保证甲方不承担任何</w:t>
      </w:r>
      <w:r>
        <w:rPr>
          <w:rFonts w:hint="eastAsia" w:ascii="仿宋" w:hAnsi="仿宋" w:eastAsia="仿宋" w:cs="仿宋"/>
          <w:i w:val="0"/>
          <w:iCs w:val="0"/>
          <w:color w:val="auto"/>
          <w:sz w:val="28"/>
          <w:szCs w:val="28"/>
          <w:highlight w:val="none"/>
          <w:lang w:val="en-US" w:eastAsia="zh-CN"/>
        </w:rPr>
        <w:t>因乙方原因导致的</w:t>
      </w:r>
      <w:r>
        <w:rPr>
          <w:rFonts w:hint="eastAsia" w:ascii="仿宋" w:hAnsi="仿宋" w:eastAsia="仿宋" w:cs="仿宋"/>
          <w:i w:val="0"/>
          <w:iCs w:val="0"/>
          <w:color w:val="auto"/>
          <w:sz w:val="28"/>
          <w:szCs w:val="28"/>
          <w:highlight w:val="none"/>
          <w:lang w:eastAsia="zh-CN"/>
        </w:rPr>
        <w:t>人身伤亡或财产损失</w:t>
      </w:r>
      <w:r>
        <w:rPr>
          <w:rFonts w:hint="eastAsia" w:ascii="仿宋" w:hAnsi="仿宋" w:eastAsia="仿宋" w:cs="仿宋"/>
          <w:i w:val="0"/>
          <w:iCs w:val="0"/>
          <w:color w:val="auto"/>
          <w:sz w:val="28"/>
          <w:szCs w:val="28"/>
          <w:highlight w:val="none"/>
          <w:lang w:val="en-US" w:eastAsia="zh-CN"/>
        </w:rPr>
        <w:t>或赔偿</w:t>
      </w:r>
      <w:r>
        <w:rPr>
          <w:rFonts w:hint="eastAsia" w:ascii="仿宋" w:hAnsi="仿宋" w:eastAsia="仿宋" w:cs="仿宋"/>
          <w:i w:val="0"/>
          <w:iCs w:val="0"/>
          <w:color w:val="auto"/>
          <w:sz w:val="28"/>
          <w:szCs w:val="28"/>
          <w:highlight w:val="none"/>
          <w:lang w:eastAsia="zh-CN"/>
        </w:rPr>
        <w:t>责任，保障甲方不承担任何</w:t>
      </w:r>
      <w:r>
        <w:rPr>
          <w:rFonts w:hint="eastAsia" w:ascii="仿宋" w:hAnsi="仿宋" w:eastAsia="仿宋" w:cs="仿宋"/>
          <w:i w:val="0"/>
          <w:iCs w:val="0"/>
          <w:color w:val="auto"/>
          <w:sz w:val="28"/>
          <w:szCs w:val="28"/>
          <w:highlight w:val="none"/>
          <w:lang w:val="en-US" w:eastAsia="zh-CN"/>
        </w:rPr>
        <w:t>因</w:t>
      </w:r>
      <w:r>
        <w:rPr>
          <w:rFonts w:hint="eastAsia" w:ascii="仿宋" w:hAnsi="仿宋" w:eastAsia="仿宋" w:cs="仿宋"/>
          <w:i w:val="0"/>
          <w:iCs w:val="0"/>
          <w:color w:val="auto"/>
          <w:sz w:val="28"/>
          <w:szCs w:val="28"/>
          <w:highlight w:val="none"/>
          <w:lang w:eastAsia="zh-CN"/>
        </w:rPr>
        <w:t>乙方及其人员引起的诉讼、控告、索赔责任及发生的相关费用，否则甲方的全部损失由乙方赔偿。</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10.6乙方施工过程中，上道工序完成与下道工序必须进行工作面交接并以书面形式</w:t>
      </w:r>
      <w:r>
        <w:rPr>
          <w:rFonts w:hint="eastAsia" w:ascii="仿宋" w:hAnsi="仿宋" w:eastAsia="仿宋" w:cs="仿宋"/>
          <w:i w:val="0"/>
          <w:iCs w:val="0"/>
          <w:color w:val="auto"/>
          <w:sz w:val="28"/>
          <w:szCs w:val="28"/>
          <w:highlight w:val="none"/>
          <w:lang w:val="en-US" w:eastAsia="zh-CN"/>
        </w:rPr>
        <w:t>确认</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甲方及相关单位签字确认的“工完场清交接单”</w:t>
      </w:r>
      <w:r>
        <w:rPr>
          <w:rFonts w:hint="eastAsia" w:ascii="仿宋" w:hAnsi="仿宋" w:eastAsia="仿宋" w:cs="仿宋"/>
          <w:i w:val="0"/>
          <w:iCs w:val="0"/>
          <w:color w:val="auto"/>
          <w:sz w:val="28"/>
          <w:szCs w:val="28"/>
          <w:highlight w:val="none"/>
          <w:lang w:eastAsia="zh-CN"/>
        </w:rPr>
        <w:t>作为工程进度款申请书</w:t>
      </w:r>
      <w:r>
        <w:rPr>
          <w:rFonts w:hint="eastAsia" w:ascii="仿宋" w:hAnsi="仿宋" w:eastAsia="仿宋" w:cs="仿宋"/>
          <w:i w:val="0"/>
          <w:iCs w:val="0"/>
          <w:color w:val="auto"/>
          <w:sz w:val="28"/>
          <w:szCs w:val="28"/>
          <w:highlight w:val="none"/>
          <w:lang w:val="en-US" w:eastAsia="zh-CN"/>
        </w:rPr>
        <w:t>及</w:t>
      </w:r>
      <w:r>
        <w:rPr>
          <w:rFonts w:hint="eastAsia" w:ascii="仿宋" w:hAnsi="仿宋" w:eastAsia="仿宋" w:cs="仿宋"/>
          <w:i w:val="0"/>
          <w:iCs w:val="0"/>
          <w:color w:val="auto"/>
          <w:sz w:val="28"/>
          <w:szCs w:val="28"/>
          <w:highlight w:val="none"/>
          <w:lang w:eastAsia="zh-CN"/>
        </w:rPr>
        <w:t>结算书的附件。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29" w:name="_Toc23637"/>
      <w:bookmarkStart w:id="30" w:name="_Toc29407"/>
      <w:r>
        <w:rPr>
          <w:rFonts w:hint="eastAsia" w:ascii="仿宋" w:hAnsi="仿宋" w:eastAsia="仿宋" w:cs="仿宋"/>
          <w:b/>
          <w:bCs/>
          <w:i w:val="0"/>
          <w:iCs w:val="0"/>
          <w:color w:val="auto"/>
          <w:sz w:val="28"/>
          <w:szCs w:val="28"/>
          <w:highlight w:val="none"/>
          <w:lang w:val="en-US" w:eastAsia="zh-CN"/>
        </w:rPr>
        <w:t>甲供材料设备</w:t>
      </w:r>
      <w:bookmarkEnd w:id="29"/>
      <w:bookmarkEnd w:id="30"/>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1乙方在施工现场使用各种资源都必须按</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14:textFill>
            <w14:solidFill>
              <w14:schemeClr w14:val="tx1"/>
            </w14:solidFill>
          </w14:textFill>
        </w:rPr>
        <w:t>规定办理租用、借用、领用手续。</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2乙方</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对</w:t>
      </w:r>
      <w:r>
        <w:rPr>
          <w:rFonts w:hint="eastAsia" w:ascii="仿宋" w:hAnsi="仿宋" w:eastAsia="仿宋" w:cs="仿宋"/>
          <w:i w:val="0"/>
          <w:iCs w:val="0"/>
          <w:color w:val="000000" w:themeColor="text1"/>
          <w:sz w:val="28"/>
          <w:szCs w:val="28"/>
          <w:highlight w:val="none"/>
          <w14:textFill>
            <w14:solidFill>
              <w14:schemeClr w14:val="tx1"/>
            </w14:solidFill>
          </w14:textFill>
        </w:rPr>
        <w:t>周转材料、建筑材料和施工机具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应</w:t>
      </w:r>
      <w:r>
        <w:rPr>
          <w:rFonts w:hint="eastAsia" w:ascii="仿宋" w:hAnsi="仿宋" w:eastAsia="仿宋" w:cs="仿宋"/>
          <w:i w:val="0"/>
          <w:iCs w:val="0"/>
          <w:color w:val="000000" w:themeColor="text1"/>
          <w:sz w:val="28"/>
          <w:szCs w:val="28"/>
          <w:highlight w:val="none"/>
          <w14:textFill>
            <w14:solidFill>
              <w14:schemeClr w14:val="tx1"/>
            </w14:solidFill>
          </w14:textFill>
        </w:rPr>
        <w:t>做到限额合理使用、工完场清，对机具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负责</w:t>
      </w:r>
      <w:r>
        <w:rPr>
          <w:rFonts w:hint="eastAsia" w:ascii="仿宋" w:hAnsi="仿宋" w:eastAsia="仿宋" w:cs="仿宋"/>
          <w:i w:val="0"/>
          <w:iCs w:val="0"/>
          <w:color w:val="000000" w:themeColor="text1"/>
          <w:sz w:val="28"/>
          <w:szCs w:val="28"/>
          <w:highlight w:val="none"/>
          <w14:textFill>
            <w14:solidFill>
              <w14:schemeClr w14:val="tx1"/>
            </w14:solidFill>
          </w14:textFill>
        </w:rPr>
        <w:t>正常保养维护。</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3损耗率：</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11.3.1</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混凝土损耗率不得超过1%，钢筋损耗率不得超过1%</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如</w:t>
      </w:r>
      <w:r>
        <w:rPr>
          <w:rFonts w:hint="eastAsia" w:ascii="仿宋" w:hAnsi="仿宋" w:eastAsia="仿宋" w:cs="仿宋"/>
          <w:i w:val="0"/>
          <w:iCs w:val="0"/>
          <w:color w:val="000000" w:themeColor="text1"/>
          <w:sz w:val="28"/>
          <w:szCs w:val="28"/>
          <w:highlight w:val="none"/>
          <w14:textFill>
            <w14:solidFill>
              <w14:schemeClr w14:val="tx1"/>
            </w14:solidFill>
          </w14:textFill>
        </w:rPr>
        <w:t>超过，乙方对超出部分按施工当期</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同品牌、同品种、同级别、同规格</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材料</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市场价格的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20</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0％赔偿甲方。</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11.3.2其他：</w:t>
      </w:r>
      <w:r>
        <w:rPr>
          <w:rFonts w:hint="eastAsia" w:ascii="仿宋" w:hAnsi="仿宋" w:eastAsia="仿宋" w:cs="仿宋"/>
          <w:b/>
          <w:bCs/>
          <w:i w:val="0"/>
          <w:iCs w:val="0"/>
          <w:color w:val="auto"/>
          <w:sz w:val="28"/>
          <w:szCs w:val="28"/>
          <w:highlight w:val="yellow"/>
          <w:u w:val="single"/>
          <w:lang w:val="en-US" w:eastAsia="zh-CN"/>
        </w:rPr>
        <w:t xml:space="preserve">  / </w:t>
      </w:r>
      <w:r>
        <w:rPr>
          <w:rFonts w:hint="eastAsia" w:ascii="仿宋" w:hAnsi="仿宋" w:eastAsia="仿宋" w:cs="仿宋"/>
          <w:i w:val="0"/>
          <w:iCs w:val="0"/>
          <w:color w:val="000000" w:themeColor="text1"/>
          <w:sz w:val="28"/>
          <w:szCs w:val="28"/>
          <w:highlight w:val="yellow"/>
          <w:u w:val="single"/>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11.</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4乙方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配合</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甲方制定</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材料</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需求</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计划，</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提前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十个工作日</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将领用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材料计划</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书面交</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甲方项目经理审批</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项目经理审批后方可到甲方仓库领取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5乙方指定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现场负责人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领料。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乙方现场负责人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须填写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由甲方提供的</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XXX材料签收单</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材料签收单格式以甲方项目部确定的为准</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材料签收单</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上必须</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有乙方现场负责人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仓</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管员、甲方项目经理三人签字，且</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仓</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管员和</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项目经理各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执一份存档</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完工后作</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为乙方材料损耗计量和</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结算依据</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领料工作按甲方材料验收签收流程及相关管理规定执行</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6</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甲方供应的</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不合格材料不</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得用于本工程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，乙方领料时有检验</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义务</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和退回</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不合格材料的</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权利。因使用</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不合格材料造成的质量</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或工期延误</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问题，乙方负一定责任</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并承担费用（按不合格材料所致损失总额的10%承担费用）</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r>
        <w:rPr>
          <w:rFonts w:hint="eastAsia" w:ascii="仿宋" w:hAnsi="仿宋" w:eastAsia="仿宋" w:cs="仿宋"/>
          <w:i w:val="0"/>
          <w:iCs w:val="0"/>
          <w:color w:val="000000" w:themeColor="text1"/>
          <w:sz w:val="28"/>
          <w:szCs w:val="28"/>
          <w:highlight w:val="none"/>
          <w14:textFill>
            <w14:solidFill>
              <w14:schemeClr w14:val="tx1"/>
            </w14:solidFill>
          </w14:textFill>
        </w:rPr>
        <w:t>不得推脱。</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31" w:name="_Toc24023"/>
      <w:bookmarkStart w:id="32" w:name="_Toc19847"/>
      <w:bookmarkStart w:id="33" w:name="_Toc18848"/>
      <w:bookmarkStart w:id="34" w:name="_Toc26551"/>
      <w:r>
        <w:rPr>
          <w:rFonts w:hint="eastAsia" w:ascii="仿宋" w:hAnsi="仿宋" w:eastAsia="仿宋" w:cs="仿宋"/>
          <w:b/>
          <w:bCs/>
          <w:i w:val="0"/>
          <w:iCs w:val="0"/>
          <w:color w:val="auto"/>
          <w:sz w:val="28"/>
          <w:szCs w:val="28"/>
          <w:highlight w:val="none"/>
          <w:lang w:val="en-US" w:eastAsia="zh-CN"/>
        </w:rPr>
        <w:t>验收及保修</w:t>
      </w:r>
      <w:bookmarkEnd w:id="31"/>
      <w:bookmarkEnd w:id="32"/>
      <w:bookmarkEnd w:id="33"/>
      <w:bookmarkEnd w:id="34"/>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内容全部完工，乙方自检符合质量要求后提请甲方及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该组团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全部完工，乙方自检符合质量要求后提请甲方及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保修期内，乙方对</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出现的质量问题免费进行维修或更换；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保修内容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各部位、部件、整体或单件的损坏、脱落、开裂、变形等，均由乙方无偿保修。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组团内容/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内容的保修期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设计文件规定的该工程的合理使用年限</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（政府有更长保修期限规定的，从其规定）</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保修期</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从</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组团内容/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内容经甲方及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使用之日起计。</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3保修期内，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如因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乙方原因出现质量问题，乙方须在接到甲方通知后24小时内派人到达现场处理解决，否则甲方有权自行或委托第三方处理，乙方承担相关费用</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责任</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并向甲方支付</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违约金一万元/次</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如发生的问题或事故系乙方导致或属于乙方保修内容，甲方所耗费用有权从乙方的质保金中扣除，不足部分由乙方在甲方发出书面通知之日起10个日历天内支付</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如非乙方原因所致，乙方仍应提供维修服务，但费用经双方商定后由责任方承担。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4 保修期内若发生上述乙方原因所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的质量问题，乙方须赔偿甲方因此造成的一切损失。</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 工程保修期满前，若出现质量问题需要进行鉴定的，相关费用由乙方负责。</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 xml:space="preserve">6 保修期最后一周内，甲乙双方对本工程内容进行全面检查。乙方自费负责对检查中发现的问题予以及时处理和解决。乙方解决了检查发现的所有问题后，凭甲方签发的“保修合格证明”收取质保金。 </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35" w:name="_Toc18983"/>
      <w:bookmarkStart w:id="36" w:name="_Toc7368"/>
      <w:bookmarkStart w:id="37" w:name="_Toc25473"/>
      <w:bookmarkStart w:id="38" w:name="_Toc11721"/>
      <w:r>
        <w:rPr>
          <w:rFonts w:hint="eastAsia" w:ascii="仿宋" w:hAnsi="仿宋" w:eastAsia="仿宋" w:cs="仿宋"/>
          <w:b/>
          <w:bCs/>
          <w:i w:val="0"/>
          <w:iCs w:val="0"/>
          <w:color w:val="auto"/>
          <w:sz w:val="28"/>
          <w:szCs w:val="28"/>
          <w:highlight w:val="none"/>
          <w:lang w:val="en-US" w:eastAsia="zh-CN"/>
        </w:rPr>
        <w:t>保险</w:t>
      </w:r>
      <w:bookmarkEnd w:id="35"/>
      <w:bookmarkEnd w:id="36"/>
      <w:bookmarkEnd w:id="37"/>
      <w:bookmarkEnd w:id="38"/>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由于不可抗力</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自然灾害或意外事故等情形</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造成</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在本项目的乙方人员</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出险时，甲方如已办理</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本项目“</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且乙方向甲方申报工伤得到甲方确认的，</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则须</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及时向甲方提交索赔资料</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并签订《出险声明函》（格式详见附件三）</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同时</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配合保险公司调查并无条件接受保险公司的</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处理结果。甲方确认乙方申报的工伤仅指甲方将为乙方伤亡者申报保险，其伤亡的责任和费用由乙方承担。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如</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本工程因乙方原因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出现损失、损害或损坏</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乙方须立即修复、补救及更换或维修任何受破坏或损坏之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部位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同时按甲方要求</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清理及弃置任何残骸</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须为其属下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人员</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财产、现场各种施工设施、设备、材料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购买</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保险，</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费用已含在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约定的合同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价</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中</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无需甲方另行支付给乙方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各种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原因</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导致乙方需要</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延长保险期所需增加的保险费由乙方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自行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承担</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其费用已包含在本合同约定价格内，乙方人员或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因乙方原因造成任何事故(包括第三方人员在内)</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损失、赔偿、补偿等责任</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和费用</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由乙方承担。</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3甲乙双方在签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订</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各自的保险合同时，其第三方责任险应将对方互相视为第三方。</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13.5无论甲乙任何一方有无按照本合同约定办理相关保险事宜，乙方人员或因乙方原因导致在本项目范围内发生的伤亡事故，均由乙方承担责任和费用。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39" w:name="_Toc31086"/>
      <w:bookmarkStart w:id="40" w:name="_Toc30883"/>
      <w:bookmarkStart w:id="41" w:name="_Toc12559"/>
      <w:bookmarkStart w:id="42" w:name="_Toc14726"/>
      <w:bookmarkStart w:id="43" w:name="_Toc7926"/>
      <w:bookmarkStart w:id="44" w:name="_Toc6283"/>
      <w:r>
        <w:rPr>
          <w:rFonts w:hint="eastAsia" w:ascii="仿宋" w:hAnsi="仿宋" w:eastAsia="仿宋" w:cs="仿宋"/>
          <w:b/>
          <w:bCs/>
          <w:i w:val="0"/>
          <w:iCs w:val="0"/>
          <w:color w:val="auto"/>
          <w:sz w:val="28"/>
          <w:szCs w:val="28"/>
          <w:highlight w:val="none"/>
          <w:lang w:val="en-US" w:eastAsia="zh-CN"/>
        </w:rPr>
        <w:t>奖罚条款</w:t>
      </w:r>
      <w:bookmarkEnd w:id="39"/>
      <w:bookmarkEnd w:id="40"/>
      <w:bookmarkEnd w:id="41"/>
      <w:bookmarkEnd w:id="42"/>
      <w:bookmarkEnd w:id="43"/>
      <w:bookmarkEnd w:id="44"/>
    </w:p>
    <w:p>
      <w:pPr>
        <w:keepNext w:val="0"/>
        <w:keepLines w:val="0"/>
        <w:pageBreakBefore w:val="0"/>
        <w:widowControl w:val="0"/>
        <w:kinsoku/>
        <w:wordWrap/>
        <w:overflowPunct/>
        <w:topLinePunct w:val="0"/>
        <w:autoSpaceDE/>
        <w:autoSpaceDN/>
        <w:bidi w:val="0"/>
        <w:adjustRightInd/>
        <w:snapToGrid w:val="0"/>
        <w:spacing w:before="147" w:beforeLines="50" w:line="560" w:lineRule="exact"/>
        <w:ind w:left="-197" w:leftChars="-94" w:right="-578" w:rightChars="-275" w:firstLine="419" w:firstLineChars="149"/>
        <w:textAlignment w:val="auto"/>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1奖励</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1.1如乙方施工的产品质量优质，施工进度快，安全生产、文明施工达标，作业队</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整体形象受各方好评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乙方一定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的奖励（奖励额度按有关规定执行，最终解释权在甲方，甲方亦有权取消奖励，本条款不视为甲方对乙方作出的承诺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1.1.1甲方组织的各类检查验收中，乙方组建的施工队伍被评为优质作业队。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1.1.2乙方负责施工的成品受到省、市有关部门表彰。</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1.1.3乙方负责施工的成品受到</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、监理好评。</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1.1.4特定情况下，由于乙方的主观努力使甲方避免遭受巨大损失。</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1.1.5乙方工人安全生产、文明施工、节约用料、质量优、进度快。</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9" w:firstLineChars="149"/>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2惩罚</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2.1如乙方出现下列任一情况，甲方有权单方解除本合同，并在乙方全部人</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退场后仅按乙方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已</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完成</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经甲方验收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合格工程量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对应结算价</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0%结算，同时乙方赔偿甲方损失（包括但不限于因</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工期延误</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2.1.1乙方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在</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质量、进度、安全、管理等方面经甲方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次警告</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处罚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仍不能明显改善</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2.1.2乙方将</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以各种形式转包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分包给</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他人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因下列情况导致的甲方损失均由乙方赔偿（包括但不限于因逾期完工而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承担的违约责任、损失赔偿责任等）：</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①因乙方施工质量事故造成的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损失</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②因乙方中途退场造成的损失</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14.2.3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因乙方导致工程质量或工期达不到合同要求或使用材料用量超标</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，均属乙方违约，甲方有权单方解除合同且不违约，工程量结算只按乙方完成</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的经甲方验收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合格工程量的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0％计，剩余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0％工程量作为后续班组帮工收尾、收口的人工费，同时乙方承担由此造成的损失责任及费用。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人</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的，造成甲方损失的由乙方全额赔偿甲方，同时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甲方有权</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违约金</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伍佰至叁万</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.1隐蔽工程一次验收不合格</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.2不能按甲方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确定的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周进度计划完成施工作业延误工期一天</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.3出现因质量、安全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不满足本合同约定需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整改</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.4聚众赌博，影响他人休息</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.5聚众闹事、打人、打架、偷抢行为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.6容留非</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本工程现场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人员在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宿舍住宿</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.7不按</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要求加班或人员不足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延误工期一天</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.8浪费材料、损坏机具或破坏其它设施</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及成品</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.9在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生活区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存放易燃易爆物品或其它危险品</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.10收留、聘用未成年人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罚款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同时驱逐</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未成年人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离开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14.2.4.11在宿舍内做饭、使用大功率电器设备，如电磁炉、电饭煲、电热棒等。</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其人员有下列情况之一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的，造成甲方损失的由乙方全额赔偿给甲方，同时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，甲方有权</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违约金</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拾</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至叁万</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.1管理人员未经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甲方同意</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离开工地两天以内</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.2未戴好安全帽、穿拖鞋或赤脚、赤膊进入作业区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.3不戴工卡上岗</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.4施工人员进场三天内不办理工作卡</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.5未经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批准擅带家属及小孩进入施工现场或在宿舍居住</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.6工棚内乱拉乱接电线，违反生活区管理制度</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.7宿舍卫生不合格</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.8材料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机具未按</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要求堆放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建筑垃圾未按</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要求处理</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随地大小</w:t>
      </w:r>
      <w:r>
        <w:rPr>
          <w:rFonts w:hint="eastAsia" w:ascii="仿宋" w:hAnsi="仿宋" w:eastAsia="仿宋" w:cs="仿宋"/>
          <w:i w:val="0"/>
          <w:iCs w:val="0"/>
          <w:color w:val="auto"/>
          <w:sz w:val="28"/>
          <w:szCs w:val="28"/>
          <w:highlight w:val="none"/>
          <w:shd w:val="clear" w:color="auto" w:fill="auto"/>
        </w:rPr>
        <w:t>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9乙方人员、车辆必须无条件接受甲方门岗保卫检查。</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45" w:name="_Toc12734"/>
      <w:bookmarkStart w:id="46" w:name="_Toc27044"/>
      <w:bookmarkStart w:id="47" w:name="_Toc20613"/>
      <w:bookmarkStart w:id="48" w:name="_Toc4891"/>
      <w:r>
        <w:rPr>
          <w:rFonts w:hint="eastAsia" w:ascii="仿宋" w:hAnsi="仿宋" w:eastAsia="仿宋" w:cs="仿宋"/>
          <w:b/>
          <w:bCs/>
          <w:i w:val="0"/>
          <w:iCs w:val="0"/>
          <w:color w:val="auto"/>
          <w:sz w:val="28"/>
          <w:szCs w:val="28"/>
          <w:highlight w:val="none"/>
          <w:lang w:val="en-US" w:eastAsia="zh-CN"/>
        </w:rPr>
        <w:t>违约条款</w:t>
      </w:r>
      <w:bookmarkEnd w:id="45"/>
      <w:bookmarkEnd w:id="46"/>
      <w:bookmarkEnd w:id="47"/>
      <w:bookmarkEnd w:id="48"/>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乙方延迟开工或</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不能按合同约定的工期完成</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任一节点</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内容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乙方还需按</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的20%支付违约金并按甲方要求准时</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退场，每延迟一个日历天退场，乙方向甲方另行支付违约金人民币壹万元整，甲方的损失</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（包括但不限于因逾期而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由乙方赔偿。</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2乙</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方原因造成</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质量达不到约定的质量标准的，乙方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无条件返工</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至合格</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为止</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要求之日起</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3个日历天内</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仍未采取</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有效</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返工措施或未在甲方要求的期限内</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完成</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整改并通过甲方验收的，每延迟一个日历天，乙方向甲方支付违约金人民币壹万元整</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并赔偿</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甲方损失</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（包括但不限于因逾期完工而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同时</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甲方有权：①单方解除合同并要求乙方期限内无条件撤场，乙方向甲方支付金额等于</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20%的违约金和赔偿甲方全部损失，已完工工程无偿归甲方，甲方无需支付工程款；②另行委托其他单位对</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进行返修，乙方须无条件接受并配合，由此产生的一切费用乙方承担</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textAlignment w:val="baseline"/>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3经甲方验核达不到约定质量标准的检验批（分项或分部），甲方有权对乙方按相应检验批的工程量处以相当于</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5%的违约金处理，如果甲方被政府部门或</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处罚</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而</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需承担违约、赔偿责任</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或费用的</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，则由乙方全部承担，同时甲方保留对乙方追偿的权利。</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4合同履行期间，因乙方原因造成甲</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方或本工程或本项目</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被</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政府部门</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停工、整改导致扣分的，按贰万元/分由乙方支付给甲方</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甲方亦可从任意合同款中扣款</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5乙方及</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其人员</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、供应商不得以任何理由去政府部门上访、投诉，</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不得</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去建设单位投诉、静坐，否则视情节轻重</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向</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支付</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违约金壹万至壹拾万元/次。</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6乙方无正当理由停工或不履行合同</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拖延工期</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不能正常开展工作连续3天以上或无力将</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顺利开展下去的，甲方有权单方解除合同且对乙方</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合同总价的</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20</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收取</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违约金，乙方则按甲方要求限时退场</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7乙方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未及时发放</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工人工资</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或及时支付</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货款，导致影响甲方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或本项目或本工程</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的，甲方有权对乙方进行处罚，每发生一次劳资纠纷</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或货款纠纷</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事件，乙方向甲方另行支付违约金叁万元</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若因乙方拖欠工人工资</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或货款</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导致媒体曝光或政府部门介入的，乙方</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另</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向甲方支付违约金</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不少于</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壹拾万元/次。</w:t>
      </w:r>
    </w:p>
    <w:p>
      <w:pPr>
        <w:keepNext w:val="0"/>
        <w:keepLines w:val="0"/>
        <w:pageBreakBefore w:val="0"/>
        <w:tabs>
          <w:tab w:val="left" w:pos="-200"/>
        </w:tabs>
        <w:kinsoku/>
        <w:wordWrap/>
        <w:overflowPunct/>
        <w:topLinePunct w:val="0"/>
        <w:autoSpaceDE/>
        <w:autoSpaceDN/>
        <w:bidi w:val="0"/>
        <w:adjustRightInd/>
        <w:snapToGrid w:val="0"/>
        <w:spacing w:line="560" w:lineRule="exact"/>
        <w:ind w:left="-199" w:leftChars="-95" w:right="-578" w:rightChars="-275" w:firstLine="560" w:firstLineChars="200"/>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8凡乙方发生偷工减料行为，甲方视情节轻重计收乙方贰万至壹拾万元/次</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违约金</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9乙方出现</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上述第</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条~第</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8条</w:t>
      </w:r>
      <w:r>
        <w:rPr>
          <w:rFonts w:hint="eastAsia" w:ascii="仿宋_GB2312" w:hAnsi="仿宋_GB2312" w:eastAsia="仿宋_GB2312" w:cs="仿宋_GB2312"/>
          <w:i w:val="0"/>
          <w:iCs w:val="0"/>
          <w:color w:val="auto"/>
          <w:kern w:val="0"/>
          <w:sz w:val="28"/>
          <w:szCs w:val="28"/>
          <w:highlight w:val="yellow"/>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10因建设单位、设计变更或非甲方原因导致本合同不能履行的，甲、乙双方互不追究违约责任，</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按照乙方已完成且经甲方验收合格的工程量进行结算，</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同时双方各自承担自身损失。</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11乙方不得因停工损失向甲方索赔，同意</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不追究甲方在本合同履行过程中因付款延迟、停工而产生的违约责任。</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15.12乙方应支付的赔偿及违约金，甲方有权从应付未付款中直接扣除。货款不足以支付违约金的由乙方在甲方规定期限内另行缴纳。</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15.13基于本项目的特殊性，乙方已充分了解其责任义务并自愿承担相应风险，合同所约定的违约金标准经双方友好协商确定，乙方同意日后不得对违约金标准提出任何主张或抗辩。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49" w:name="_Toc20177"/>
      <w:bookmarkStart w:id="50" w:name="_Toc5872"/>
      <w:bookmarkStart w:id="51" w:name="_Toc6802"/>
      <w:bookmarkStart w:id="52" w:name="_Toc1085"/>
      <w:r>
        <w:rPr>
          <w:rFonts w:hint="eastAsia" w:ascii="仿宋" w:hAnsi="仿宋" w:eastAsia="仿宋" w:cs="仿宋"/>
          <w:b/>
          <w:bCs/>
          <w:i w:val="0"/>
          <w:iCs w:val="0"/>
          <w:color w:val="auto"/>
          <w:sz w:val="28"/>
          <w:szCs w:val="28"/>
          <w:highlight w:val="none"/>
          <w:lang w:val="en-US" w:eastAsia="zh-CN"/>
        </w:rPr>
        <w:t>廉洁条款</w:t>
      </w:r>
      <w:bookmarkEnd w:id="49"/>
      <w:bookmarkEnd w:id="50"/>
      <w:bookmarkEnd w:id="51"/>
      <w:bookmarkEnd w:id="52"/>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1乙方在与甲方合作期间（包括本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招标、签订、履行期间），不得向甲方职员提供请吃、送礼、旅游、色情服务、行贿、回扣或其他好处，如有违反，乙方每次向甲方支付</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的10％作为违约金（甲方可从任意一笔合同款中扣款），造成甲方经济或其他损失的，乙方全额赔偿</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53" w:name="_Toc15001"/>
      <w:bookmarkStart w:id="54" w:name="_Toc7932"/>
      <w:bookmarkStart w:id="55" w:name="_Toc11790"/>
      <w:bookmarkStart w:id="56" w:name="_Toc18674"/>
      <w:bookmarkStart w:id="57" w:name="_Toc1980"/>
      <w:bookmarkStart w:id="58" w:name="_Toc7336"/>
      <w:r>
        <w:rPr>
          <w:rFonts w:hint="eastAsia" w:ascii="仿宋" w:hAnsi="仿宋" w:eastAsia="仿宋" w:cs="仿宋"/>
          <w:b/>
          <w:bCs/>
          <w:i w:val="0"/>
          <w:iCs w:val="0"/>
          <w:color w:val="auto"/>
          <w:sz w:val="28"/>
          <w:szCs w:val="28"/>
          <w:highlight w:val="none"/>
          <w:lang w:val="en-US" w:eastAsia="zh-CN"/>
        </w:rPr>
        <w:t>其他</w:t>
      </w:r>
      <w:bookmarkEnd w:id="53"/>
      <w:bookmarkEnd w:id="54"/>
      <w:bookmarkEnd w:id="55"/>
      <w:bookmarkEnd w:id="56"/>
      <w:bookmarkEnd w:id="57"/>
      <w:bookmarkEnd w:id="58"/>
      <w:r>
        <w:rPr>
          <w:rFonts w:hint="eastAsia" w:ascii="仿宋" w:hAnsi="仿宋" w:eastAsia="仿宋" w:cs="仿宋"/>
          <w:b/>
          <w:bCs/>
          <w:i w:val="0"/>
          <w:iCs w:val="0"/>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1甲乙双方联系人</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1.1甲方指定</w:t>
      </w:r>
      <w:r>
        <w:rPr>
          <w:rFonts w:hint="eastAsia" w:ascii="仿宋_GB2312" w:hAnsi="仿宋_GB2312" w:eastAsia="仿宋_GB2312" w:cs="仿宋_GB2312"/>
          <w:i w:val="0"/>
          <w:iCs w:val="0"/>
          <w:color w:val="auto"/>
          <w:sz w:val="28"/>
          <w:szCs w:val="28"/>
          <w:highlight w:val="none"/>
          <w:u w:val="single"/>
          <w:lang w:val="en-US" w:eastAsia="zh-CN"/>
        </w:rPr>
        <w:t xml:space="preserve"> 丁滔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为本合同的甲方执行联系人，联系电话：</w:t>
      </w:r>
      <w:r>
        <w:rPr>
          <w:rFonts w:hint="eastAsia" w:ascii="仿宋_GB2312" w:hAnsi="仿宋_GB2312" w:eastAsia="仿宋_GB2312" w:cs="仿宋_GB2312"/>
          <w:i w:val="0"/>
          <w:iCs w:val="0"/>
          <w:color w:val="auto"/>
          <w:sz w:val="28"/>
          <w:szCs w:val="28"/>
          <w:highlight w:val="none"/>
          <w:u w:val="single"/>
          <w:lang w:val="en-US" w:eastAsia="zh-CN"/>
        </w:rPr>
        <w:t xml:space="preserve"> 18980555693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shd w:val="clear" w:color="auto" w:fill="auto"/>
          <w:lang w:eastAsia="zh-CN"/>
          <w14:textFill>
            <w14:solidFill>
              <w14:schemeClr w14:val="tx1"/>
            </w14:solidFill>
          </w14:textFill>
        </w:rPr>
        <w:t>17.</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1.2乙方指定</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 xml:space="preserve">       （身份证号码：               ；手机号码：          </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乙</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授权</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处理与本合同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事项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的执行人，负责与甲方公司总部办理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相关事务（如负责双方来往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函件</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签收、签字、验收、确定增减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款、确定结算金额、领款、签收并签认甲方对乙方违约行为作出的处理通知等行为）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17.1.3</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 xml:space="preserve">       （身份证号码：               ；手机号码：          </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乙方授权处理本项目施工现场相关事项执行人，负责与甲方项目现场的工作签认、安排等全部事务。现场负责人必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须常</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驻本项目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施工现场。</w:t>
      </w:r>
    </w:p>
    <w:p>
      <w:pPr>
        <w:keepNext w:val="0"/>
        <w:keepLines w:val="0"/>
        <w:pageBreakBefore w:val="0"/>
        <w:widowControl w:val="0"/>
        <w:kinsoku/>
        <w:wordWrap/>
        <w:overflowPunct/>
        <w:topLinePunct w:val="0"/>
        <w:autoSpaceDE/>
        <w:autoSpaceDN/>
        <w:bidi w:val="0"/>
        <w:adjustRightInd/>
        <w:snapToGrid/>
        <w:spacing w:line="560" w:lineRule="exact"/>
        <w:ind w:right="-578" w:rightChars="-275"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jc w:val="left"/>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甲方编制的《施工交楼标准》</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《常见建筑工程质量通病的标准化施工细则》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隐蔽工程管理制度</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商品混凝土、砂浆验收管理制度</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为本合同不可分割的组成部分，与合同正文具有同等效力，乙方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照章施工。</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本合同条款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双方协商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17.6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17.8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本合同自甲乙双方签字、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盖</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公</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或合同章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之日起生效，双方履行完合同义务、责任之日起终止。</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【以下无正文】</w:t>
      </w:r>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59" w:name="_Toc1313"/>
      <w:bookmarkStart w:id="60" w:name="_Toc4900"/>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附件一《报价清单》；</w:t>
      </w:r>
      <w:bookmarkEnd w:id="59"/>
      <w:bookmarkEnd w:id="60"/>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61" w:name="_Toc25964"/>
      <w:bookmarkStart w:id="62" w:name="_Toc4998"/>
      <w:bookmarkStart w:id="63" w:name="_Toc4984"/>
      <w:bookmarkStart w:id="64" w:name="_Toc9961"/>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附件二《工完场清交接单》格式；</w:t>
      </w:r>
      <w:bookmarkEnd w:id="61"/>
      <w:bookmarkEnd w:id="62"/>
      <w:bookmarkEnd w:id="63"/>
      <w:bookmarkEnd w:id="64"/>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65" w:name="_Toc29089"/>
      <w:bookmarkStart w:id="66" w:name="_Toc25754"/>
      <w:bookmarkStart w:id="67" w:name="_Toc32155"/>
      <w:bookmarkStart w:id="68" w:name="_Toc2953"/>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附件三《出险声明函》格式；</w:t>
      </w:r>
      <w:bookmarkEnd w:id="65"/>
      <w:bookmarkEnd w:id="66"/>
      <w:bookmarkEnd w:id="67"/>
    </w:p>
    <w:bookmarkEnd w:id="68"/>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69" w:name="_Toc17223"/>
      <w:bookmarkStart w:id="70" w:name="_Toc7281"/>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附件四《分包签证确认单》；</w:t>
      </w:r>
      <w:bookmarkEnd w:id="69"/>
      <w:bookmarkEnd w:id="70"/>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71" w:name="_Toc7539"/>
      <w:bookmarkStart w:id="72" w:name="_Toc3164"/>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附件五《分项工程单价申报审批表》；</w:t>
      </w:r>
      <w:bookmarkEnd w:id="71"/>
      <w:bookmarkEnd w:id="72"/>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73" w:name="_Toc1503"/>
      <w:bookmarkStart w:id="74" w:name="_Toc30659"/>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附件六</w:t>
      </w:r>
      <w:bookmarkEnd w:id="73"/>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auto"/>
          <w:sz w:val="28"/>
          <w:szCs w:val="28"/>
          <w:highlight w:val="none"/>
          <w:shd w:val="clear" w:color="auto" w:fill="auto"/>
          <w:lang w:val="en-US" w:eastAsia="zh-CN"/>
        </w:rPr>
        <w:t>工程结算支付证明单</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bookmarkEnd w:id="74"/>
    </w:p>
    <w:p>
      <w:pPr>
        <w:keepNext w:val="0"/>
        <w:keepLines w:val="0"/>
        <w:pageBreakBefore w:val="0"/>
        <w:widowControl w:val="0"/>
        <w:kinsoku/>
        <w:wordWrap/>
        <w:overflowPunct/>
        <w:topLinePunct w:val="0"/>
        <w:autoSpaceDE/>
        <w:autoSpaceDN/>
        <w:bidi w:val="0"/>
        <w:adjustRightInd/>
        <w:snapToGrid/>
        <w:spacing w:line="520" w:lineRule="atLeast"/>
        <w:ind w:left="-195" w:leftChars="-93" w:right="-578" w:rightChars="-275" w:firstLine="616" w:firstLineChars="220"/>
        <w:textAlignment w:val="auto"/>
        <w:outlineLvl w:val="0"/>
        <w:rPr>
          <w:rFonts w:hint="eastAsia" w:ascii="仿宋" w:hAnsi="仿宋" w:eastAsia="仿宋" w:cs="仿宋"/>
          <w:i w:val="0"/>
          <w:iCs w:val="0"/>
          <w:color w:val="auto"/>
          <w:sz w:val="28"/>
          <w:szCs w:val="28"/>
          <w:highlight w:val="yellow"/>
          <w:shd w:val="clear" w:color="auto" w:fill="auto"/>
          <w:lang w:val="en-US" w:eastAsia="zh-CN"/>
        </w:rPr>
      </w:pPr>
      <w:bookmarkStart w:id="75" w:name="_Toc25286"/>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附件七</w:t>
      </w:r>
      <w:r>
        <w:rPr>
          <w:rFonts w:hint="eastAsia" w:ascii="仿宋" w:hAnsi="仿宋" w:eastAsia="仿宋" w:cs="仿宋"/>
          <w:i w:val="0"/>
          <w:iCs w:val="0"/>
          <w:color w:val="auto"/>
          <w:sz w:val="28"/>
          <w:szCs w:val="28"/>
          <w:highlight w:val="yellow"/>
          <w:shd w:val="clear" w:color="auto" w:fill="auto"/>
          <w:lang w:val="en-US" w:eastAsia="zh-CN"/>
        </w:rPr>
        <w:t>《工人工资发放承诺书》；</w:t>
      </w:r>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default"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附件八《施工图纸》（另页）。</w:t>
      </w:r>
      <w:bookmarkEnd w:id="75"/>
    </w:p>
    <w:p>
      <w:pP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签约代表: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账  号：106001512010006060               账  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开户行：广发</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银</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行东莞分行营业部           开户行：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址：广东省东莞市南城街道鸿福路</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w:t>
      </w:r>
    </w:p>
    <w:p>
      <w:pPr>
        <w:keepNext w:val="0"/>
        <w:keepLines w:val="0"/>
        <w:pageBreakBefore w:val="0"/>
        <w:widowControl w:val="0"/>
        <w:kinsoku/>
        <w:wordWrap/>
        <w:overflowPunct/>
        <w:topLinePunct w:val="0"/>
        <w:autoSpaceDE/>
        <w:autoSpaceDN/>
        <w:bidi w:val="0"/>
        <w:adjustRightInd/>
        <w:snapToGrid w:val="0"/>
        <w:spacing w:line="360" w:lineRule="auto"/>
        <w:ind w:left="40" w:leftChars="19" w:right="-578" w:rightChars="-275" w:firstLine="718" w:firstLineChars="298"/>
        <w:jc w:val="left"/>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106号1栋1712室01</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话：0769-22</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311322</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w:t>
      </w:r>
    </w:p>
    <w:p>
      <w:pPr>
        <w:spacing w:line="360" w:lineRule="auto"/>
        <w:ind w:left="-619" w:leftChars="-295" w:right="-672" w:rightChars="-320" w:firstLine="0" w:firstLineChars="0"/>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甲方人员如有营私舞弊、吃拿卡要等损害乙方合法权益的行为，乙方可拨打投诉专线18688665878，也可至广东省东莞市南城街道鸿福路106号南峰中心17楼综合管理中心办公室面告。</w:t>
      </w: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9" w:leftChars="-95" w:right="-653" w:rightChars="-311" w:firstLine="417" w:firstLineChars="149"/>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560" w:lineRule="exact"/>
        <w:ind w:left="-199" w:leftChars="-95" w:right="-653" w:rightChars="-311" w:firstLine="417" w:firstLineChars="149"/>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p>
    <w:bookmarkEnd w:id="18"/>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附件一</w:t>
      </w: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104" w:name="_GoBack"/>
      <w:bookmarkEnd w:id="104"/>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附件二</w:t>
      </w:r>
    </w:p>
    <w:tbl>
      <w:tblPr>
        <w:tblStyle w:val="13"/>
        <w:tblW w:w="956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65"/>
        <w:gridCol w:w="2922"/>
        <w:gridCol w:w="1908"/>
        <w:gridCol w:w="33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36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drawing>
                <wp:anchor distT="0" distB="0" distL="114300" distR="114300" simplePos="0" relativeHeight="251660288" behindDoc="0" locked="0" layoutInCell="1" allowOverlap="1">
                  <wp:simplePos x="0" y="0"/>
                  <wp:positionH relativeFrom="column">
                    <wp:posOffset>9525</wp:posOffset>
                  </wp:positionH>
                  <wp:positionV relativeFrom="paragraph">
                    <wp:posOffset>8890</wp:posOffset>
                  </wp:positionV>
                  <wp:extent cx="1072515" cy="297180"/>
                  <wp:effectExtent l="0" t="0" r="13335" b="7620"/>
                  <wp:wrapNone/>
                  <wp:docPr id="4" name="图片_2"/>
                  <wp:cNvGraphicFramePr/>
                  <a:graphic xmlns:a="http://schemas.openxmlformats.org/drawingml/2006/main">
                    <a:graphicData uri="http://schemas.openxmlformats.org/drawingml/2006/picture">
                      <pic:pic xmlns:pic="http://schemas.openxmlformats.org/drawingml/2006/picture">
                        <pic:nvPicPr>
                          <pic:cNvPr id="4" name="图片_2"/>
                          <pic:cNvPicPr/>
                        </pic:nvPicPr>
                        <pic:blipFill>
                          <a:blip r:embed="rId11"/>
                          <a:stretch>
                            <a:fillRect/>
                          </a:stretch>
                        </pic:blipFill>
                        <pic:spPr>
                          <a:xfrm>
                            <a:off x="0" y="0"/>
                            <a:ext cx="1072515" cy="297180"/>
                          </a:xfrm>
                          <a:prstGeom prst="rect">
                            <a:avLst/>
                          </a:prstGeom>
                          <a:noFill/>
                          <a:ln>
                            <a:noFill/>
                          </a:ln>
                        </pic:spPr>
                      </pic:pic>
                    </a:graphicData>
                  </a:graphic>
                </wp:anchor>
              </w:drawing>
            </w:r>
          </w:p>
        </w:tc>
        <w:tc>
          <w:tcPr>
            <w:tcW w:w="292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themeColor="text1"/>
                <w:sz w:val="24"/>
                <w:szCs w:val="24"/>
                <w:u w:val="single"/>
                <w14:textFill>
                  <w14:solidFill>
                    <w14:schemeClr w14:val="tx1"/>
                  </w14:solidFill>
                </w14:textFill>
              </w:rPr>
            </w:pPr>
          </w:p>
        </w:tc>
        <w:tc>
          <w:tcPr>
            <w:tcW w:w="190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themeColor="text1"/>
                <w:sz w:val="24"/>
                <w:szCs w:val="24"/>
                <w:u w:val="single"/>
                <w14:textFill>
                  <w14:solidFill>
                    <w14:schemeClr w14:val="tx1"/>
                  </w14:solidFill>
                </w14:textFill>
              </w:rPr>
            </w:pPr>
          </w:p>
        </w:tc>
        <w:tc>
          <w:tcPr>
            <w:tcW w:w="337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themeColor="text1"/>
                <w:sz w:val="24"/>
                <w:szCs w:val="24"/>
                <w:u w:val="singl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themeColor="text1"/>
                <w:sz w:val="40"/>
                <w:szCs w:val="40"/>
                <w:u w:val="none"/>
                <w14:textFill>
                  <w14:solidFill>
                    <w14:schemeClr w14:val="tx1"/>
                  </w14:solidFill>
                </w14:textFill>
              </w:rPr>
            </w:pP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t>工完场清交接单</w:t>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br w:type="textWrapping"/>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t xml:space="preserve">              </w:t>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br w:type="textWrapping"/>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 xml:space="preserve">                                                         </w:t>
            </w:r>
            <w:r>
              <w:rPr>
                <w:rStyle w:val="26"/>
                <w:rFonts w:hint="eastAsia" w:ascii="仿宋" w:hAnsi="仿宋" w:eastAsia="仿宋" w:cs="仿宋"/>
                <w:color w:val="000000" w:themeColor="text1"/>
                <w:lang w:val="en-US" w:eastAsia="zh-CN" w:bidi="ar"/>
                <w14:textFill>
                  <w14:solidFill>
                    <w14:schemeClr w14:val="tx1"/>
                  </w14:solidFill>
                </w14:textFill>
              </w:rPr>
              <w:t xml:space="preserve"> 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工程名称</w:t>
            </w:r>
          </w:p>
        </w:tc>
        <w:tc>
          <w:tcPr>
            <w:tcW w:w="2922"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移交部位</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1、移交合格内容</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2、移交时间</w:t>
            </w:r>
          </w:p>
        </w:tc>
        <w:tc>
          <w:tcPr>
            <w:tcW w:w="29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1、甩项部位</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2、甩项内容</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3、计划移交时间</w:t>
            </w:r>
          </w:p>
        </w:tc>
        <w:tc>
          <w:tcPr>
            <w:tcW w:w="33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移交单位</w:t>
            </w:r>
          </w:p>
        </w:tc>
        <w:tc>
          <w:tcPr>
            <w:tcW w:w="292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移交人及电话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接收单位                                                                                                                                                                  </w:t>
            </w:r>
          </w:p>
        </w:tc>
        <w:tc>
          <w:tcPr>
            <w:tcW w:w="292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接收人及电话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项目部组织及参加人员                                                          </w:t>
            </w:r>
          </w:p>
        </w:tc>
        <w:tc>
          <w:tcPr>
            <w:tcW w:w="820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67"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注：1、本表一式三份交接单位及项目部各执一份，本表格签字完善后作为分包单位申请工程进度款的依据。2、移交人和接收人均为合同约定的现场负责人。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67"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000000" w:themeColor="text1"/>
                <w:sz w:val="20"/>
                <w:szCs w:val="20"/>
                <w:u w:val="none"/>
                <w14:textFill>
                  <w14:solidFill>
                    <w14:schemeClr w14:val="tx1"/>
                  </w14:solidFill>
                </w14:textFill>
              </w:rPr>
            </w:pPr>
          </w:p>
        </w:tc>
      </w:tr>
    </w:tbl>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76" w:name="_Toc31823"/>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5" w:type="default"/>
          <w:pgSz w:w="11906" w:h="16838"/>
          <w:pgMar w:top="1440" w:right="1502" w:bottom="952"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附件三</w:t>
      </w:r>
      <w:bookmarkEnd w:id="76"/>
    </w:p>
    <w:p>
      <w:pPr>
        <w:ind w:firstLineChars="0"/>
        <w:jc w:val="center"/>
        <w:rPr>
          <w:rFonts w:hint="eastAsia" w:ascii="仿宋" w:hAnsi="仿宋" w:eastAsia="仿宋" w:cs="仿宋"/>
          <w:b/>
          <w:b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出 险 声 明 函</w:t>
      </w:r>
      <w:r>
        <w:rPr>
          <w:rFonts w:hint="eastAsia" w:ascii="仿宋" w:hAnsi="仿宋" w:eastAsia="仿宋" w:cs="仿宋"/>
          <w:b/>
          <w:bCs w:val="0"/>
          <w:color w:val="000000" w:themeColor="text1"/>
          <w:sz w:val="28"/>
          <w:szCs w:val="28"/>
          <w:highlight w:val="none"/>
          <w:shd w:val="clear" w:color="auto" w:fill="auto"/>
          <w:lang w:val="en-US" w:eastAsia="zh-CN"/>
          <w14:textFill>
            <w14:solidFill>
              <w14:schemeClr w14:val="tx1"/>
            </w14:solidFill>
          </w14:textFill>
        </w:rPr>
        <w:t xml:space="preserve"> </w:t>
      </w:r>
    </w:p>
    <w:p>
      <w:pPr>
        <w:ind w:firstLineChars="0"/>
        <w:jc w:val="center"/>
        <w:rPr>
          <w:rFonts w:hint="eastAsia" w:ascii="仿宋" w:hAnsi="仿宋" w:eastAsia="仿宋" w:cs="仿宋"/>
          <w:b/>
          <w:b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bCs w:val="0"/>
          <w:color w:val="000000" w:themeColor="text1"/>
          <w:sz w:val="28"/>
          <w:szCs w:val="28"/>
          <w:highlight w:val="none"/>
          <w:shd w:val="clear" w:color="auto" w:fill="auto"/>
          <w:lang w:val="en-US" w:eastAsia="zh-CN"/>
          <w14:textFill>
            <w14:solidFill>
              <w14:schemeClr w14:val="tx1"/>
            </w14:solidFill>
          </w14:textFill>
        </w:rPr>
        <w:t xml:space="preserve">           </w:t>
      </w:r>
    </w:p>
    <w:p>
      <w:pPr>
        <w:ind w:firstLineChars="0"/>
        <w:rPr>
          <w:rFonts w:hint="eastAsia" w:ascii="仿宋" w:hAnsi="仿宋" w:eastAsia="仿宋" w:cs="仿宋"/>
          <w:b/>
          <w:bCs/>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shd w:val="clear" w:color="auto" w:fill="auto"/>
          <w:lang w:val="en-US" w:eastAsia="zh-CN"/>
          <w14:textFill>
            <w14:solidFill>
              <w14:schemeClr w14:val="tx1"/>
            </w14:solidFill>
          </w14:textFill>
        </w:rPr>
        <w:t>致：东莞市中泰建安工程有限公司（以下简称“贵司”）</w:t>
      </w:r>
    </w:p>
    <w:p>
      <w:pPr>
        <w:numPr>
          <w:ilvl w:val="-1"/>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贵我双方于</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年</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月</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日签订了</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u w:val="none"/>
          <w:shd w:val="clear" w:color="auto" w:fill="auto"/>
          <w:lang w:val="en-US" w:eastAsia="zh-CN"/>
          <w14:textFill>
            <w14:solidFill>
              <w14:schemeClr w14:val="tx1"/>
            </w14:solidFill>
          </w14:textFill>
        </w:rPr>
        <w:t>项目</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工程施工合同</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（合同编号</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，以下简称“本项目”），现我司员工在本项目施工时发生了安全事故，我司特作如下声明：</w:t>
      </w:r>
    </w:p>
    <w:p>
      <w:pPr>
        <w:numPr>
          <w:ilvl w:val="-1"/>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1.我司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员工</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姓名</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，身份证号码</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w:t>
      </w:r>
    </w:p>
    <w:p>
      <w:pPr>
        <w:numPr>
          <w:ilvl w:val="-1"/>
          <w:numId w:val="0"/>
        </w:numPr>
        <w:ind w:firstLine="0" w:firstLineChars="0"/>
        <w:rPr>
          <w:rFonts w:hint="eastAsia" w:ascii="仿宋" w:hAnsi="仿宋" w:eastAsia="仿宋" w:cs="仿宋"/>
          <w:b w:val="0"/>
          <w:b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在</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bCs/>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项目</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从事</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工作，于</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年</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月</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日</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分左右，</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发生了</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······（具体事故经过描述）</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2.我司员工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与贵司之间不存在劳动合同关系，即使贵司为配合我司办理</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的赔付以及社保机构要求出具关于我司员工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的《解除劳动关系协议》、《劳动合同》等文件，也不意味着贵司与我</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司员工</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建立了劳动关系，我司仍需按劳动合同承担该员工雇用期间应承担的用人责任。</w:t>
      </w:r>
    </w:p>
    <w:p>
      <w:pPr>
        <w:numPr>
          <w:ilvl w:val="-1"/>
          <w:numId w:val="0"/>
        </w:numPr>
        <w:ind w:firstLine="560" w:firstLineChars="200"/>
        <w:rPr>
          <w:rFonts w:hint="eastAsia" w:ascii="仿宋" w:hAnsi="仿宋" w:eastAsia="仿宋" w:cs="仿宋"/>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3.我司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现恳请</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按国家政策</w:t>
      </w:r>
      <w:r>
        <w:rPr>
          <w:rFonts w:hint="eastAsia" w:ascii="仿宋" w:hAnsi="仿宋" w:eastAsia="仿宋" w:cs="仿宋"/>
          <w:color w:val="000000" w:themeColor="text1"/>
          <w:sz w:val="28"/>
          <w:szCs w:val="28"/>
          <w:highlight w:val="none"/>
          <w:shd w:val="clear" w:color="auto" w:fill="auto"/>
          <w:lang w:eastAsia="zh-CN"/>
          <w14:textFill>
            <w14:solidFill>
              <w14:schemeClr w14:val="tx1"/>
            </w14:solidFill>
          </w14:textFill>
        </w:rPr>
        <w:t>为</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在本项目</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申报工伤，无论</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此次事件</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能否认定工伤，在此</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我司郑重声明</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此次事件</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若能认定</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工伤，在取得国家社保医疗保险赔偿部分后，</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不再以任何形式、任何理由向</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主张超社保赔付的医疗费用、一次性就业补助金等其他任何经济补偿</w:t>
      </w:r>
      <w:r>
        <w:rPr>
          <w:rFonts w:hint="eastAsia" w:ascii="仿宋" w:hAnsi="仿宋" w:eastAsia="仿宋" w:cs="仿宋"/>
          <w:color w:val="000000" w:themeColor="text1"/>
          <w:sz w:val="28"/>
          <w:szCs w:val="28"/>
          <w:highlight w:val="none"/>
          <w:shd w:val="clear" w:color="auto" w:fill="auto"/>
          <w:lang w:eastAsia="zh-CN"/>
          <w14:textFill>
            <w14:solidFill>
              <w14:schemeClr w14:val="tx1"/>
            </w14:solidFill>
          </w14:textFill>
        </w:rPr>
        <w:t>，并保证约束</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不向</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主张上述经济补偿</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；如社保部门不予认定</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工伤，由此事件引起的一切费用及责任由</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自行解决。</w:t>
      </w:r>
    </w:p>
    <w:p>
      <w:pPr>
        <w:numPr>
          <w:ilvl w:val="0"/>
          <w:numId w:val="0"/>
        </w:numPr>
        <w:ind w:left="0" w:leftChars="0"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color w:val="000000" w:themeColor="text1"/>
          <w:sz w:val="28"/>
          <w:szCs w:val="28"/>
          <w:highlight w:val="none"/>
          <w:shd w:val="clear" w:color="auto" w:fill="auto"/>
          <w:lang w:eastAsia="zh-CN"/>
          <w14:textFill>
            <w14:solidFill>
              <w14:schemeClr w14:val="tx1"/>
            </w14:solidFill>
          </w14:textFill>
        </w:rPr>
        <w:t>若</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bookmarkStart w:id="77" w:name="_Toc15015"/>
      <w:bookmarkStart w:id="78" w:name="_Toc597"/>
      <w:bookmarkStart w:id="79" w:name="_Toc22210"/>
      <w:bookmarkStart w:id="80" w:name="_Toc20335"/>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声明单位：（全名称并盖公章）</w:t>
      </w:r>
      <w:bookmarkEnd w:id="77"/>
      <w:bookmarkEnd w:id="78"/>
      <w:bookmarkEnd w:id="79"/>
      <w:bookmarkEnd w:id="80"/>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bookmarkStart w:id="81" w:name="_Toc27508"/>
      <w:bookmarkStart w:id="82" w:name="_Toc26267"/>
      <w:bookmarkStart w:id="83" w:name="_Toc17551"/>
      <w:bookmarkStart w:id="84" w:name="_Toc4550"/>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法人签章：</w:t>
      </w:r>
      <w:bookmarkEnd w:id="81"/>
      <w:bookmarkEnd w:id="82"/>
      <w:bookmarkEnd w:id="83"/>
      <w:bookmarkEnd w:id="84"/>
    </w:p>
    <w:p>
      <w:pPr>
        <w:spacing w:line="360" w:lineRule="auto"/>
        <w:ind w:left="0" w:leftChars="0" w:firstLine="4480" w:firstLineChars="1600"/>
        <w:jc w:val="both"/>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电    话：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bookmarkStart w:id="85" w:name="_Toc28377"/>
      <w:bookmarkStart w:id="86" w:name="_Toc1008"/>
      <w:bookmarkStart w:id="87" w:name="_Toc1599"/>
      <w:bookmarkStart w:id="88" w:name="_Toc31751"/>
      <w:r>
        <w:rPr>
          <w:rFonts w:hint="eastAsia" w:ascii="仿宋" w:hAnsi="仿宋" w:eastAsia="仿宋" w:cs="仿宋"/>
          <w:color w:val="000000" w:themeColor="text1"/>
          <w:sz w:val="32"/>
          <w:szCs w:val="32"/>
          <w:highlight w:val="none"/>
          <w:shd w:val="clear" w:color="auto" w:fill="auto"/>
          <w:lang w:val="en-US" w:eastAsia="zh-CN"/>
          <w14:textFill>
            <w14:solidFill>
              <w14:schemeClr w14:val="tx1"/>
            </w14:solidFill>
          </w14:textFill>
        </w:rPr>
        <w:t>日</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期：     年  月  日</w:t>
      </w:r>
      <w:bookmarkEnd w:id="85"/>
      <w:bookmarkEnd w:id="86"/>
      <w:bookmarkEnd w:id="87"/>
      <w:bookmarkEnd w:id="88"/>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pStyle w:val="5"/>
        <w:rPr>
          <w:rFonts w:hint="eastAsia"/>
          <w:lang w:val="en-US" w:eastAsia="zh-CN"/>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6" w:type="default"/>
          <w:pgSz w:w="11906" w:h="16838"/>
          <w:pgMar w:top="1440" w:right="1502" w:bottom="952" w:left="1179" w:header="964" w:footer="567" w:gutter="0"/>
          <w:pgBorders>
            <w:top w:val="none" w:sz="0" w:space="0"/>
            <w:left w:val="none" w:sz="0" w:space="0"/>
            <w:bottom w:val="none" w:sz="0" w:space="0"/>
            <w:right w:val="none" w:sz="0" w:space="0"/>
          </w:pgBorders>
          <w:pgNumType w:fmt="decimal"/>
          <w:cols w:space="0" w:num="1"/>
          <w:docGrid w:type="lines" w:linePitch="293" w:charSpace="0"/>
        </w:sect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附件四</w:t>
      </w: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tabs>
          <w:tab w:val="left" w:pos="720"/>
        </w:tabs>
        <w:adjustRightInd w:val="0"/>
        <w:snapToGrid w:val="0"/>
        <w:spacing w:line="360" w:lineRule="auto"/>
        <w:ind w:left="482" w:hanging="602" w:hangingChars="150"/>
        <w:jc w:val="cente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40"/>
          <w:szCs w:val="40"/>
          <w14:textFill>
            <w14:solidFill>
              <w14:schemeClr w14:val="tx1"/>
            </w14:solidFill>
          </w14:textFill>
        </w:rPr>
        <w:t>分包签证确认单</w:t>
      </w:r>
    </w:p>
    <w:tbl>
      <w:tblPr>
        <w:tblStyle w:val="13"/>
        <w:tblW w:w="5121" w:type="pct"/>
        <w:tblInd w:w="-127" w:type="dxa"/>
        <w:tblLayout w:type="fixed"/>
        <w:tblCellMar>
          <w:top w:w="15" w:type="dxa"/>
          <w:left w:w="15" w:type="dxa"/>
          <w:bottom w:w="15" w:type="dxa"/>
          <w:right w:w="15" w:type="dxa"/>
        </w:tblCellMar>
      </w:tblPr>
      <w:tblGrid>
        <w:gridCol w:w="1569"/>
        <w:gridCol w:w="3324"/>
        <w:gridCol w:w="4587"/>
      </w:tblGrid>
      <w:tr>
        <w:tblPrEx>
          <w:tblCellMar>
            <w:top w:w="15" w:type="dxa"/>
            <w:left w:w="15" w:type="dxa"/>
            <w:bottom w:w="15" w:type="dxa"/>
            <w:right w:w="15" w:type="dxa"/>
          </w:tblCellMar>
        </w:tblPrEx>
        <w:trPr>
          <w:trHeight w:val="332" w:hRule="atLeast"/>
        </w:trPr>
        <w:tc>
          <w:tcPr>
            <w:tcW w:w="5000" w:type="pct"/>
            <w:gridSpan w:val="3"/>
            <w:noWrap w:val="0"/>
            <w:vAlign w:val="center"/>
          </w:tcPr>
          <w:p>
            <w:pPr>
              <w:widowControl/>
              <w:jc w:val="left"/>
              <w:textAlignment w:val="center"/>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 xml:space="preserve">工程名称：                                分包工程名称： </w:t>
            </w:r>
          </w:p>
        </w:tc>
      </w:tr>
      <w:tr>
        <w:trPr>
          <w:trHeight w:val="332" w:hRule="atLeast"/>
        </w:trPr>
        <w:tc>
          <w:tcPr>
            <w:tcW w:w="5000" w:type="pct"/>
            <w:gridSpan w:val="3"/>
            <w:noWrap w:val="0"/>
            <w:vAlign w:val="center"/>
          </w:tcPr>
          <w:p>
            <w:pPr>
              <w:widowControl/>
              <w:jc w:val="left"/>
              <w:textAlignment w:val="center"/>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kern w:val="0"/>
                <w:sz w:val="20"/>
                <w:szCs w:val="20"/>
                <w14:textFill>
                  <w14:solidFill>
                    <w14:schemeClr w14:val="tx1"/>
                  </w14:solidFill>
                </w14:textFill>
              </w:rPr>
              <w:t xml:space="preserve">分包人名称：                              填表日期：                 编号：  </w:t>
            </w:r>
          </w:p>
        </w:tc>
      </w:tr>
      <w:tr>
        <w:trPr>
          <w:trHeight w:val="1246" w:hRule="atLeast"/>
        </w:trPr>
        <w:tc>
          <w:tcPr>
            <w:tcW w:w="500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themeColor="text1"/>
                <w:sz w:val="20"/>
                <w:szCs w:val="20"/>
                <w14:textFill>
                  <w14:solidFill>
                    <w14:schemeClr w14:val="tx1"/>
                  </w14:solidFill>
                </w14:textFill>
              </w:rPr>
            </w:pPr>
            <w:r>
              <w:rPr>
                <w:rStyle w:val="29"/>
                <w:rFonts w:hint="eastAsia" w:ascii="仿宋" w:hAnsi="仿宋" w:eastAsia="仿宋" w:cs="仿宋"/>
                <w:color w:val="000000" w:themeColor="text1"/>
                <w14:textFill>
                  <w14:solidFill>
                    <w14:schemeClr w14:val="tx1"/>
                  </w14:solidFill>
                </w14:textFill>
              </w:rPr>
              <w:t>□减少项目       □增加项目    □变更     □点工    □机械台班     □其它</w:t>
            </w:r>
          </w:p>
        </w:tc>
      </w:tr>
      <w:tr>
        <w:trPr>
          <w:trHeight w:val="342" w:hRule="atLeast"/>
        </w:trPr>
        <w:tc>
          <w:tcPr>
            <w:tcW w:w="82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施工部位</w:t>
            </w:r>
          </w:p>
        </w:tc>
        <w:tc>
          <w:tcPr>
            <w:tcW w:w="4172" w:type="pct"/>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themeColor="text1"/>
                <w:sz w:val="20"/>
                <w:szCs w:val="20"/>
                <w14:textFill>
                  <w14:solidFill>
                    <w14:schemeClr w14:val="tx1"/>
                  </w14:solidFill>
                </w14:textFill>
              </w:rPr>
            </w:pPr>
          </w:p>
        </w:tc>
      </w:tr>
      <w:tr>
        <w:tblPrEx>
          <w:tblCellMar>
            <w:top w:w="15" w:type="dxa"/>
            <w:left w:w="15" w:type="dxa"/>
            <w:bottom w:w="15" w:type="dxa"/>
            <w:right w:w="15" w:type="dxa"/>
          </w:tblCellMar>
        </w:tblPrEx>
        <w:trPr>
          <w:trHeight w:val="342" w:hRule="atLeast"/>
        </w:trPr>
        <w:tc>
          <w:tcPr>
            <w:tcW w:w="82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费用承担单位</w:t>
            </w:r>
          </w:p>
        </w:tc>
        <w:tc>
          <w:tcPr>
            <w:tcW w:w="4172" w:type="pct"/>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themeColor="text1"/>
                <w:sz w:val="20"/>
                <w:szCs w:val="20"/>
                <w14:textFill>
                  <w14:solidFill>
                    <w14:schemeClr w14:val="tx1"/>
                  </w14:solidFill>
                </w14:textFill>
              </w:rPr>
            </w:pPr>
          </w:p>
        </w:tc>
      </w:tr>
      <w:tr>
        <w:tblPrEx>
          <w:tblCellMar>
            <w:top w:w="15" w:type="dxa"/>
            <w:left w:w="15" w:type="dxa"/>
            <w:bottom w:w="15" w:type="dxa"/>
            <w:right w:w="15" w:type="dxa"/>
          </w:tblCellMar>
        </w:tblPrEx>
        <w:trPr>
          <w:trHeight w:val="342" w:hRule="atLeast"/>
        </w:trPr>
        <w:tc>
          <w:tcPr>
            <w:tcW w:w="5000" w:type="pct"/>
            <w:gridSpan w:val="3"/>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与建设单位是否办理签证  </w:t>
            </w:r>
            <w:r>
              <w:rPr>
                <w:rFonts w:hint="eastAsia" w:ascii="仿宋" w:hAnsi="仿宋" w:eastAsia="仿宋" w:cs="仿宋"/>
                <w:color w:val="000000" w:themeColor="text1"/>
                <w:sz w:val="20"/>
                <w:szCs w:val="20"/>
                <w14:textFill>
                  <w14:solidFill>
                    <w14:schemeClr w14:val="tx1"/>
                  </w14:solidFill>
                </w14:textFill>
              </w:rPr>
              <w:sym w:font="Wingdings" w:char="00A8"/>
            </w:r>
            <w:r>
              <w:rPr>
                <w:rFonts w:hint="eastAsia" w:ascii="仿宋" w:hAnsi="仿宋" w:eastAsia="仿宋" w:cs="仿宋"/>
                <w:color w:val="000000" w:themeColor="text1"/>
                <w:sz w:val="20"/>
                <w:szCs w:val="20"/>
                <w14:textFill>
                  <w14:solidFill>
                    <w14:schemeClr w14:val="tx1"/>
                  </w14:solidFill>
                </w14:textFill>
              </w:rPr>
              <w:t>是  签证编号：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sym w:font="Wingdings" w:char="00A8"/>
            </w:r>
            <w:r>
              <w:rPr>
                <w:rFonts w:hint="eastAsia" w:ascii="仿宋" w:hAnsi="仿宋" w:eastAsia="仿宋" w:cs="仿宋"/>
                <w:color w:val="000000" w:themeColor="text1"/>
                <w:sz w:val="20"/>
                <w:szCs w:val="20"/>
                <w14:textFill>
                  <w14:solidFill>
                    <w14:schemeClr w14:val="tx1"/>
                  </w14:solidFill>
                </w14:textFill>
              </w:rPr>
              <w:t>否</w:t>
            </w:r>
          </w:p>
        </w:tc>
      </w:tr>
      <w:tr>
        <w:tblPrEx>
          <w:tblCellMar>
            <w:top w:w="15" w:type="dxa"/>
            <w:left w:w="15" w:type="dxa"/>
            <w:bottom w:w="15" w:type="dxa"/>
            <w:right w:w="15" w:type="dxa"/>
          </w:tblCellMar>
        </w:tblPrEx>
        <w:trPr>
          <w:trHeight w:val="361" w:hRule="atLeast"/>
        </w:trPr>
        <w:tc>
          <w:tcPr>
            <w:tcW w:w="5000" w:type="pct"/>
            <w:gridSpan w:val="3"/>
            <w:vMerge w:val="restart"/>
            <w:tcBorders>
              <w:top w:val="single" w:color="000000" w:sz="4" w:space="0"/>
              <w:left w:val="single" w:color="000000" w:sz="4" w:space="0"/>
              <w:bottom w:val="single" w:color="000000" w:sz="4" w:space="0"/>
              <w:right w:val="single" w:color="000000" w:sz="4" w:space="0"/>
            </w:tcBorders>
            <w:noWrap w:val="0"/>
            <w:vAlign w:val="top"/>
          </w:tcPr>
          <w:p>
            <w:pPr>
              <w:widowControl/>
              <w:spacing w:after="200"/>
              <w:ind w:left="-155" w:leftChars="-74" w:firstLine="156" w:firstLineChars="78"/>
              <w:jc w:val="left"/>
              <w:textAlignment w:val="top"/>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签证情况说明（签证原因、工作内容、完成工程量）：</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p>
        </w:tc>
      </w:tr>
      <w:tr>
        <w:tblPrEx>
          <w:tblCellMar>
            <w:top w:w="15" w:type="dxa"/>
            <w:left w:w="15" w:type="dxa"/>
            <w:bottom w:w="15" w:type="dxa"/>
            <w:right w:w="15" w:type="dxa"/>
          </w:tblCellMar>
        </w:tblPrEx>
        <w:trPr>
          <w:trHeight w:val="361"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仿宋" w:hAnsi="仿宋" w:eastAsia="仿宋" w:cs="仿宋"/>
                <w:color w:val="000000" w:themeColor="text1"/>
                <w:sz w:val="20"/>
                <w:szCs w:val="20"/>
                <w14:textFill>
                  <w14:solidFill>
                    <w14:schemeClr w14:val="tx1"/>
                  </w14:solidFill>
                </w14:textFill>
              </w:rPr>
            </w:pPr>
          </w:p>
        </w:tc>
      </w:tr>
      <w:tr>
        <w:tblPrEx>
          <w:tblCellMar>
            <w:top w:w="15" w:type="dxa"/>
            <w:left w:w="15" w:type="dxa"/>
            <w:bottom w:w="15" w:type="dxa"/>
            <w:right w:w="15" w:type="dxa"/>
          </w:tblCellMar>
        </w:tblPrEx>
        <w:trPr>
          <w:trHeight w:val="361"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仿宋" w:hAnsi="仿宋" w:eastAsia="仿宋" w:cs="仿宋"/>
                <w:color w:val="000000" w:themeColor="text1"/>
                <w:sz w:val="20"/>
                <w:szCs w:val="20"/>
                <w14:textFill>
                  <w14:solidFill>
                    <w14:schemeClr w14:val="tx1"/>
                  </w14:solidFill>
                </w14:textFill>
              </w:rPr>
            </w:pPr>
          </w:p>
        </w:tc>
      </w:tr>
      <w:tr>
        <w:tblPrEx>
          <w:tblCellMar>
            <w:top w:w="15" w:type="dxa"/>
            <w:left w:w="15" w:type="dxa"/>
            <w:bottom w:w="15" w:type="dxa"/>
            <w:right w:w="15" w:type="dxa"/>
          </w:tblCellMar>
        </w:tblPrEx>
        <w:trPr>
          <w:trHeight w:val="361"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仿宋" w:hAnsi="仿宋" w:eastAsia="仿宋" w:cs="仿宋"/>
                <w:color w:val="000000" w:themeColor="text1"/>
                <w:sz w:val="20"/>
                <w:szCs w:val="20"/>
                <w14:textFill>
                  <w14:solidFill>
                    <w14:schemeClr w14:val="tx1"/>
                  </w14:solidFill>
                </w14:textFill>
              </w:rPr>
            </w:pPr>
          </w:p>
        </w:tc>
      </w:tr>
      <w:tr>
        <w:trPr>
          <w:trHeight w:val="361"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仿宋" w:hAnsi="仿宋" w:eastAsia="仿宋" w:cs="仿宋"/>
                <w:color w:val="000000" w:themeColor="text1"/>
                <w:sz w:val="20"/>
                <w:szCs w:val="20"/>
                <w14:textFill>
                  <w14:solidFill>
                    <w14:schemeClr w14:val="tx1"/>
                  </w14:solidFill>
                </w14:textFill>
              </w:rPr>
            </w:pPr>
          </w:p>
        </w:tc>
      </w:tr>
      <w:tr>
        <w:trPr>
          <w:trHeight w:val="361"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仿宋" w:hAnsi="仿宋" w:eastAsia="仿宋" w:cs="仿宋"/>
                <w:color w:val="000000" w:themeColor="text1"/>
                <w:sz w:val="20"/>
                <w:szCs w:val="20"/>
                <w14:textFill>
                  <w14:solidFill>
                    <w14:schemeClr w14:val="tx1"/>
                  </w14:solidFill>
                </w14:textFill>
              </w:rPr>
            </w:pPr>
          </w:p>
        </w:tc>
      </w:tr>
      <w:tr>
        <w:tblPrEx>
          <w:tblCellMar>
            <w:top w:w="15" w:type="dxa"/>
            <w:left w:w="15" w:type="dxa"/>
            <w:bottom w:w="15" w:type="dxa"/>
            <w:right w:w="15" w:type="dxa"/>
          </w:tblCellMar>
        </w:tblPrEx>
        <w:trPr>
          <w:trHeight w:val="361"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仿宋" w:hAnsi="仿宋" w:eastAsia="仿宋" w:cs="仿宋"/>
                <w:color w:val="000000" w:themeColor="text1"/>
                <w:sz w:val="20"/>
                <w:szCs w:val="20"/>
                <w14:textFill>
                  <w14:solidFill>
                    <w14:schemeClr w14:val="tx1"/>
                  </w14:solidFill>
                </w14:textFill>
              </w:rPr>
            </w:pPr>
          </w:p>
        </w:tc>
      </w:tr>
      <w:tr>
        <w:trPr>
          <w:trHeight w:val="361"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仿宋" w:hAnsi="仿宋" w:eastAsia="仿宋" w:cs="仿宋"/>
                <w:color w:val="000000" w:themeColor="text1"/>
                <w:sz w:val="20"/>
                <w:szCs w:val="20"/>
                <w14:textFill>
                  <w14:solidFill>
                    <w14:schemeClr w14:val="tx1"/>
                  </w14:solidFill>
                </w14:textFill>
              </w:rPr>
            </w:pPr>
          </w:p>
        </w:tc>
      </w:tr>
      <w:tr>
        <w:trPr>
          <w:trHeight w:val="1848" w:hRule="atLeast"/>
        </w:trPr>
        <w:tc>
          <w:tcPr>
            <w:tcW w:w="2580" w:type="pct"/>
            <w:gridSpan w:val="2"/>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现场施工员意见：</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p>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p>
          <w:p>
            <w:pPr>
              <w:widowControl/>
              <w:ind w:left="1900" w:hanging="1900" w:hangingChars="950"/>
              <w:jc w:val="left"/>
              <w:textAlignment w:val="top"/>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签名及日期：</w:t>
            </w:r>
          </w:p>
        </w:tc>
        <w:tc>
          <w:tcPr>
            <w:tcW w:w="2419" w:type="pct"/>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项目副经理意见：</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p>
          <w:p>
            <w:pPr>
              <w:widowControl/>
              <w:jc w:val="left"/>
              <w:textAlignment w:val="top"/>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br w:type="textWrapping"/>
            </w:r>
          </w:p>
          <w:p>
            <w:pPr>
              <w:widowControl/>
              <w:ind w:firstLine="1800" w:firstLineChars="900"/>
              <w:jc w:val="left"/>
              <w:textAlignment w:val="top"/>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签名及日期：</w:t>
            </w:r>
          </w:p>
        </w:tc>
      </w:tr>
      <w:tr>
        <w:tblPrEx>
          <w:tblCellMar>
            <w:top w:w="15" w:type="dxa"/>
            <w:left w:w="15" w:type="dxa"/>
            <w:bottom w:w="15" w:type="dxa"/>
            <w:right w:w="15" w:type="dxa"/>
          </w:tblCellMar>
        </w:tblPrEx>
        <w:trPr>
          <w:trHeight w:val="1848" w:hRule="atLeast"/>
        </w:trPr>
        <w:tc>
          <w:tcPr>
            <w:tcW w:w="2580" w:type="pct"/>
            <w:gridSpan w:val="2"/>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技术负责人意见（对工作内容及工程量见证）：</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p>
          <w:p>
            <w:pPr>
              <w:widowControl/>
              <w:ind w:firstLine="1900" w:firstLineChars="950"/>
              <w:jc w:val="left"/>
              <w:textAlignment w:val="top"/>
              <w:rPr>
                <w:rFonts w:hint="eastAsia" w:ascii="仿宋" w:hAnsi="仿宋" w:eastAsia="仿宋" w:cs="仿宋"/>
                <w:color w:val="000000" w:themeColor="text1"/>
                <w:kern w:val="0"/>
                <w:sz w:val="20"/>
                <w:szCs w:val="20"/>
                <w14:textFill>
                  <w14:solidFill>
                    <w14:schemeClr w14:val="tx1"/>
                  </w14:solidFill>
                </w14:textFill>
              </w:rPr>
            </w:pPr>
          </w:p>
          <w:p>
            <w:pPr>
              <w:widowControl/>
              <w:ind w:firstLine="1900" w:firstLineChars="950"/>
              <w:jc w:val="left"/>
              <w:textAlignment w:val="top"/>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签名及日期：</w:t>
            </w:r>
          </w:p>
        </w:tc>
        <w:tc>
          <w:tcPr>
            <w:tcW w:w="2419" w:type="pct"/>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项目成本管理员意见（本次签证金额）：</w:t>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p>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p>
          <w:p>
            <w:pPr>
              <w:widowControl/>
              <w:ind w:firstLine="1800" w:firstLineChars="900"/>
              <w:jc w:val="left"/>
              <w:textAlignment w:val="top"/>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签名及日期：</w:t>
            </w:r>
          </w:p>
        </w:tc>
      </w:tr>
      <w:tr>
        <w:tblPrEx>
          <w:tblCellMar>
            <w:top w:w="15" w:type="dxa"/>
            <w:left w:w="15" w:type="dxa"/>
            <w:bottom w:w="15" w:type="dxa"/>
            <w:right w:w="15" w:type="dxa"/>
          </w:tblCellMar>
        </w:tblPrEx>
        <w:trPr>
          <w:trHeight w:val="1547" w:hRule="atLeast"/>
        </w:trPr>
        <w:tc>
          <w:tcPr>
            <w:tcW w:w="5000" w:type="pct"/>
            <w:gridSpan w:val="3"/>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t>项目经理意见：</w:t>
            </w:r>
            <w:r>
              <w:rPr>
                <w:rFonts w:hint="eastAsia" w:ascii="仿宋" w:hAnsi="仿宋" w:eastAsia="仿宋" w:cs="仿宋"/>
                <w:color w:val="000000" w:themeColor="text1"/>
                <w:kern w:val="0"/>
                <w:sz w:val="20"/>
                <w:szCs w:val="20"/>
                <w14:textFill>
                  <w14:solidFill>
                    <w14:schemeClr w14:val="tx1"/>
                  </w14:solidFill>
                </w14:textFill>
              </w:rPr>
              <w:br w:type="textWrapping"/>
            </w:r>
          </w:p>
          <w:p>
            <w:pPr>
              <w:widowControl/>
              <w:jc w:val="left"/>
              <w:textAlignment w:val="top"/>
              <w:rPr>
                <w:rFonts w:hint="eastAsia" w:ascii="仿宋" w:hAnsi="仿宋" w:eastAsia="仿宋" w:cs="仿宋"/>
                <w:color w:val="000000" w:themeColor="text1"/>
                <w:kern w:val="0"/>
                <w:sz w:val="20"/>
                <w:szCs w:val="20"/>
                <w14:textFill>
                  <w14:solidFill>
                    <w14:schemeClr w14:val="tx1"/>
                  </w14:solidFill>
                </w14:textFill>
              </w:rPr>
            </w:pP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br w:type="textWrapping"/>
            </w:r>
            <w:r>
              <w:rPr>
                <w:rFonts w:hint="eastAsia" w:ascii="仿宋" w:hAnsi="仿宋" w:eastAsia="仿宋" w:cs="仿宋"/>
                <w:color w:val="000000" w:themeColor="text1"/>
                <w:kern w:val="0"/>
                <w:sz w:val="20"/>
                <w:szCs w:val="20"/>
                <w14:textFill>
                  <w14:solidFill>
                    <w14:schemeClr w14:val="tx1"/>
                  </w14:solidFill>
                </w14:textFill>
              </w:rPr>
              <w:t xml:space="preserve">                                                                 签名及日期：</w:t>
            </w:r>
          </w:p>
        </w:tc>
      </w:tr>
      <w:tr>
        <w:tblPrEx>
          <w:tblCellMar>
            <w:top w:w="15" w:type="dxa"/>
            <w:left w:w="15" w:type="dxa"/>
            <w:bottom w:w="15" w:type="dxa"/>
            <w:right w:w="15" w:type="dxa"/>
          </w:tblCellMar>
        </w:tblPrEx>
        <w:trPr>
          <w:trHeight w:val="414" w:hRule="atLeast"/>
        </w:trPr>
        <w:tc>
          <w:tcPr>
            <w:tcW w:w="5000" w:type="pct"/>
            <w:gridSpan w:val="3"/>
            <w:noWrap w:val="0"/>
            <w:vAlign w:val="center"/>
          </w:tcPr>
          <w:p>
            <w:pPr>
              <w:widowControl/>
              <w:snapToGrid w:val="0"/>
              <w:spacing w:line="192" w:lineRule="auto"/>
              <w:jc w:val="left"/>
              <w:textAlignment w:val="center"/>
              <w:rPr>
                <w:rFonts w:hint="eastAsia" w:ascii="仿宋" w:hAnsi="仿宋" w:eastAsia="仿宋" w:cs="仿宋"/>
                <w:color w:val="000000" w:themeColor="text1"/>
                <w:kern w:val="0"/>
                <w:sz w:val="18"/>
                <w:szCs w:val="18"/>
                <w14:textFill>
                  <w14:solidFill>
                    <w14:schemeClr w14:val="tx1"/>
                  </w14:solidFill>
                </w14:textFill>
              </w:rPr>
            </w:pPr>
            <w:r>
              <w:rPr>
                <w:rFonts w:hint="eastAsia" w:ascii="仿宋" w:hAnsi="仿宋" w:eastAsia="仿宋" w:cs="仿宋"/>
                <w:color w:val="000000" w:themeColor="text1"/>
                <w:kern w:val="0"/>
                <w:sz w:val="18"/>
                <w:szCs w:val="18"/>
                <w14:textFill>
                  <w14:solidFill>
                    <w14:schemeClr w14:val="tx1"/>
                  </w14:solidFill>
                </w14:textFill>
              </w:rPr>
              <w:t>注：</w:t>
            </w:r>
            <w:r>
              <w:rPr>
                <w:rFonts w:hint="eastAsia" w:ascii="仿宋" w:hAnsi="仿宋" w:eastAsia="仿宋" w:cs="仿宋"/>
                <w:color w:val="000000" w:themeColor="text1"/>
                <w:kern w:val="0"/>
                <w:sz w:val="13"/>
                <w:szCs w:val="13"/>
                <w14:textFill>
                  <w14:solidFill>
                    <w14:schemeClr w14:val="tx1"/>
                  </w14:solidFill>
                </w14:textFill>
              </w:rPr>
              <w:t>①</w:t>
            </w:r>
            <w:r>
              <w:rPr>
                <w:rFonts w:hint="eastAsia" w:ascii="仿宋" w:hAnsi="仿宋" w:eastAsia="仿宋" w:cs="仿宋"/>
                <w:color w:val="000000" w:themeColor="text1"/>
                <w:kern w:val="0"/>
                <w:sz w:val="18"/>
                <w:szCs w:val="18"/>
                <w14:textFill>
                  <w14:solidFill>
                    <w14:schemeClr w14:val="tx1"/>
                  </w14:solidFill>
                </w14:textFill>
              </w:rPr>
              <w:t>通知单、工程变更(联系)单、工程量审核表、图像资料（事前、事中、事后）及其它相关依据附后；</w:t>
            </w:r>
          </w:p>
          <w:p>
            <w:pPr>
              <w:widowControl/>
              <w:snapToGrid w:val="0"/>
              <w:spacing w:line="192" w:lineRule="auto"/>
              <w:ind w:left="0" w:leftChars="0" w:firstLine="358" w:firstLineChars="276"/>
              <w:jc w:val="left"/>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kern w:val="0"/>
                <w:sz w:val="13"/>
                <w:szCs w:val="13"/>
                <w14:textFill>
                  <w14:solidFill>
                    <w14:schemeClr w14:val="tx1"/>
                  </w14:solidFill>
                </w14:textFill>
              </w:rPr>
              <w:t>②</w:t>
            </w:r>
            <w:r>
              <w:rPr>
                <w:rFonts w:hint="eastAsia" w:ascii="仿宋" w:hAnsi="仿宋" w:eastAsia="仿宋" w:cs="仿宋"/>
                <w:color w:val="000000" w:themeColor="text1"/>
                <w:kern w:val="0"/>
                <w:sz w:val="18"/>
                <w:szCs w:val="18"/>
                <w14:textFill>
                  <w14:solidFill>
                    <w14:schemeClr w14:val="tx1"/>
                  </w14:solidFill>
                </w14:textFill>
              </w:rPr>
              <w:t>一式二份，项目成本管理员和分包单位各一份。</w:t>
            </w:r>
            <w:r>
              <w:rPr>
                <w:rFonts w:hint="eastAsia" w:ascii="仿宋" w:hAnsi="仿宋" w:eastAsia="仿宋" w:cs="仿宋"/>
                <w:color w:val="000000" w:themeColor="text1"/>
                <w:kern w:val="0"/>
                <w:sz w:val="13"/>
                <w:szCs w:val="13"/>
                <w14:textFill>
                  <w14:solidFill>
                    <w14:schemeClr w14:val="tx1"/>
                  </w14:solidFill>
                </w14:textFill>
              </w:rPr>
              <w:t>③</w:t>
            </w:r>
            <w:r>
              <w:rPr>
                <w:rFonts w:hint="eastAsia" w:ascii="仿宋" w:hAnsi="仿宋" w:eastAsia="仿宋" w:cs="仿宋"/>
                <w:color w:val="000000" w:themeColor="text1"/>
                <w:kern w:val="0"/>
                <w:sz w:val="16"/>
                <w:szCs w:val="16"/>
                <w14:textFill>
                  <w14:solidFill>
                    <w14:schemeClr w14:val="tx1"/>
                  </w14:solidFill>
                </w14:textFill>
              </w:rPr>
              <w:t>作为公司审核的依据。</w:t>
            </w:r>
          </w:p>
        </w:tc>
      </w:tr>
    </w:tbl>
    <w:p>
      <w:pPr>
        <w:spacing w:line="360" w:lineRule="auto"/>
        <w:ind w:right="-672" w:rightChars="-320" w:firstLine="8031" w:firstLineChars="200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7" w:type="default"/>
          <w:pgSz w:w="11906" w:h="16838"/>
          <w:pgMar w:top="1440" w:right="1502" w:bottom="952" w:left="1179" w:header="964" w:footer="567" w:gutter="0"/>
          <w:pgBorders>
            <w:top w:val="none" w:sz="0" w:space="0"/>
            <w:left w:val="none" w:sz="0" w:space="0"/>
            <w:bottom w:val="none" w:sz="0" w:space="0"/>
            <w:right w:val="none" w:sz="0" w:space="0"/>
          </w:pgBorders>
          <w:pgNumType w:fmt="decimal"/>
          <w:cols w:space="0" w:num="1"/>
          <w:docGrid w:type="lines" w:linePitch="293" w:charSpace="0"/>
        </w:sectPr>
      </w:pPr>
    </w:p>
    <w:p>
      <w:pPr>
        <w:spacing w:line="360" w:lineRule="auto"/>
        <w:ind w:right="-672" w:rightChars="-320" w:firstLine="8031" w:firstLineChars="200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附件五</w:t>
      </w:r>
    </w:p>
    <w:p>
      <w:pPr>
        <w:tabs>
          <w:tab w:val="left" w:pos="720"/>
        </w:tabs>
        <w:adjustRightInd w:val="0"/>
        <w:snapToGrid w:val="0"/>
        <w:spacing w:line="360" w:lineRule="auto"/>
        <w:ind w:left="482" w:hanging="482" w:hangingChars="150"/>
        <w:jc w:val="cente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分 项 工 程 单 价 申 报 审 批 表</w:t>
      </w:r>
    </w:p>
    <w:p>
      <w:pPr>
        <w:keepNext w:val="0"/>
        <w:keepLines w:val="0"/>
        <w:pageBreakBefore w:val="0"/>
        <w:widowControl w:val="0"/>
        <w:kinsoku/>
        <w:wordWrap w:val="0"/>
        <w:overflowPunct/>
        <w:topLinePunct w:val="0"/>
        <w:autoSpaceDE/>
        <w:autoSpaceDN/>
        <w:bidi w:val="0"/>
        <w:adjustRightInd/>
        <w:snapToGrid w:val="0"/>
        <w:spacing w:line="240" w:lineRule="auto"/>
        <w:ind w:right="482" w:firstLine="361" w:firstLineChars="200"/>
        <w:textAlignment w:val="auto"/>
        <w:outlineLvl w:val="0"/>
        <w:rPr>
          <w:rFonts w:hint="eastAsia" w:ascii="仿宋" w:hAnsi="仿宋" w:eastAsia="仿宋" w:cs="仿宋"/>
          <w:b/>
          <w:color w:val="000000" w:themeColor="text1"/>
          <w:sz w:val="18"/>
          <w:szCs w:val="18"/>
          <w14:textFill>
            <w14:solidFill>
              <w14:schemeClr w14:val="tx1"/>
            </w14:solidFill>
          </w14:textFill>
        </w:rPr>
      </w:pPr>
      <w:bookmarkStart w:id="89" w:name="_Toc17135"/>
      <w:bookmarkStart w:id="90" w:name="_Toc9448"/>
      <w:bookmarkStart w:id="91" w:name="_Toc21420"/>
      <w:bookmarkStart w:id="92" w:name="_Toc11813"/>
      <w:bookmarkStart w:id="93" w:name="_Toc12016"/>
      <w:bookmarkStart w:id="94" w:name="_Toc23181"/>
      <w:bookmarkStart w:id="95" w:name="_Toc10189"/>
      <w:bookmarkStart w:id="96" w:name="_Toc27012"/>
      <w:bookmarkStart w:id="97" w:name="_Toc566"/>
      <w:bookmarkStart w:id="98" w:name="_Toc21044"/>
      <w:bookmarkStart w:id="99" w:name="_Toc26549"/>
      <w:bookmarkStart w:id="100" w:name="_Toc22224"/>
      <w:bookmarkStart w:id="101" w:name="_Toc9223"/>
      <w:bookmarkStart w:id="102" w:name="_Toc687"/>
      <w:bookmarkStart w:id="103" w:name="_Toc17033"/>
      <w:r>
        <w:rPr>
          <w:rFonts w:hint="eastAsia" w:ascii="仿宋" w:hAnsi="仿宋" w:eastAsia="仿宋" w:cs="仿宋"/>
          <w:b/>
          <w:color w:val="000000" w:themeColor="text1"/>
          <w:sz w:val="18"/>
          <w:szCs w:val="18"/>
          <w14:textFill>
            <w14:solidFill>
              <w14:schemeClr w14:val="tx1"/>
            </w14:solidFill>
          </w14:textFill>
        </w:rPr>
        <w:t>项目名称：                                                  报价单位：</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rFonts w:hint="eastAsia" w:ascii="仿宋" w:hAnsi="仿宋" w:eastAsia="仿宋" w:cs="仿宋"/>
          <w:b/>
          <w:color w:val="000000" w:themeColor="text1"/>
          <w:sz w:val="18"/>
          <w:szCs w:val="18"/>
          <w14:textFill>
            <w14:solidFill>
              <w14:schemeClr w14:val="tx1"/>
            </w14:solidFill>
          </w14:textFill>
        </w:rPr>
        <w:t xml:space="preserve">                  </w:t>
      </w:r>
    </w:p>
    <w:tbl>
      <w:tblPr>
        <w:tblStyle w:val="13"/>
        <w:tblW w:w="8670" w:type="dxa"/>
        <w:tblInd w:w="392"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696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8670" w:type="dxa"/>
            <w:gridSpan w:val="2"/>
            <w:noWrap w:val="0"/>
            <w:vAlign w:val="center"/>
          </w:tcPr>
          <w:p>
            <w:pPr>
              <w:jc w:val="center"/>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分项工程名称、主要工作内容、工程量及难易情况等信息(主合同外工程)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86" w:hRule="atLeast"/>
        </w:trPr>
        <w:tc>
          <w:tcPr>
            <w:tcW w:w="1701" w:type="dxa"/>
            <w:noWrap w:val="0"/>
            <w:vAlign w:val="center"/>
          </w:tcPr>
          <w:p>
            <w:pPr>
              <w:jc w:val="left"/>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填表内容：</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1、项目部意见：</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1.1建议价</w:t>
            </w:r>
          </w:p>
          <w:p>
            <w:pPr>
              <w:keepNext w:val="0"/>
              <w:keepLines w:val="0"/>
              <w:pageBreakBefore w:val="0"/>
              <w:widowControl w:val="0"/>
              <w:kinsoku/>
              <w:wordWrap/>
              <w:overflowPunct/>
              <w:topLinePunct w:val="0"/>
              <w:autoSpaceDE/>
              <w:autoSpaceDN/>
              <w:bidi w:val="0"/>
              <w:adjustRightInd/>
              <w:snapToGrid w:val="0"/>
              <w:ind w:left="271" w:hanging="271" w:hangingChars="15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1.2价格分析/单价依据</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2、产生原因 ：</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 xml:space="preserve">□ 甲方   □中泰 </w:t>
            </w:r>
          </w:p>
          <w:p>
            <w:pPr>
              <w:keepNext w:val="0"/>
              <w:keepLines w:val="0"/>
              <w:pageBreakBefore w:val="0"/>
              <w:widowControl w:val="0"/>
              <w:kinsoku/>
              <w:wordWrap/>
              <w:overflowPunct/>
              <w:topLinePunct w:val="0"/>
              <w:autoSpaceDE/>
              <w:autoSpaceDN/>
              <w:bidi w:val="0"/>
              <w:adjustRightInd/>
              <w:snapToGrid w:val="0"/>
              <w:ind w:left="271" w:hanging="271" w:hangingChars="150"/>
              <w:jc w:val="left"/>
              <w:textAlignment w:val="auto"/>
              <w:rPr>
                <w:rFonts w:hint="eastAsia" w:ascii="仿宋" w:hAnsi="仿宋" w:eastAsia="仿宋" w:cs="仿宋"/>
                <w:b/>
                <w:bCs/>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 其他单位责任</w:t>
            </w:r>
            <w:r>
              <w:rPr>
                <w:rFonts w:hint="eastAsia" w:ascii="仿宋" w:hAnsi="仿宋" w:eastAsia="仿宋" w:cs="仿宋"/>
                <w:b/>
                <w:bCs/>
                <w:color w:val="000000" w:themeColor="text1"/>
                <w:sz w:val="18"/>
                <w:szCs w:val="18"/>
                <w14:textFill>
                  <w14:solidFill>
                    <w14:schemeClr w14:val="tx1"/>
                  </w14:solidFill>
                </w14:textFill>
              </w:rPr>
              <w:t>，具体情况</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3、附件资料：</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3.1施工图</w:t>
            </w:r>
            <w:r>
              <w:rPr>
                <w:rFonts w:hint="eastAsia" w:ascii="仿宋" w:hAnsi="仿宋" w:eastAsia="仿宋" w:cs="仿宋"/>
                <w:b/>
                <w:color w:val="000000" w:themeColor="text1"/>
                <w:sz w:val="18"/>
                <w:szCs w:val="18"/>
                <w:u w:val="single"/>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张 </w:t>
            </w:r>
          </w:p>
          <w:p>
            <w:pPr>
              <w:keepNext w:val="0"/>
              <w:keepLines w:val="0"/>
              <w:pageBreakBefore w:val="0"/>
              <w:widowControl w:val="0"/>
              <w:kinsoku/>
              <w:wordWrap/>
              <w:overflowPunct/>
              <w:topLinePunct w:val="0"/>
              <w:autoSpaceDE/>
              <w:autoSpaceDN/>
              <w:bidi w:val="0"/>
              <w:adjustRightInd/>
              <w:snapToGrid w:val="0"/>
              <w:ind w:left="361" w:hanging="361" w:hangingChars="20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3.2签证单（复印件）</w:t>
            </w:r>
            <w:r>
              <w:rPr>
                <w:rFonts w:hint="eastAsia" w:ascii="仿宋" w:hAnsi="仿宋" w:eastAsia="仿宋" w:cs="仿宋"/>
                <w:b/>
                <w:color w:val="000000" w:themeColor="text1"/>
                <w:sz w:val="18"/>
                <w:szCs w:val="18"/>
                <w:u w:val="single"/>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页</w:t>
            </w:r>
          </w:p>
          <w:p>
            <w:pPr>
              <w:keepNext w:val="0"/>
              <w:keepLines w:val="0"/>
              <w:pageBreakBefore w:val="0"/>
              <w:widowControl w:val="0"/>
              <w:kinsoku/>
              <w:wordWrap/>
              <w:overflowPunct/>
              <w:topLinePunct w:val="0"/>
              <w:autoSpaceDE/>
              <w:autoSpaceDN/>
              <w:bidi w:val="0"/>
              <w:adjustRightInd/>
              <w:snapToGrid w:val="0"/>
              <w:ind w:left="271" w:hanging="271" w:hangingChars="15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3.3分包单位报价单（原件）</w:t>
            </w:r>
            <w:r>
              <w:rPr>
                <w:rFonts w:hint="eastAsia" w:ascii="仿宋" w:hAnsi="仿宋" w:eastAsia="仿宋" w:cs="仿宋"/>
                <w:b/>
                <w:color w:val="000000" w:themeColor="text1"/>
                <w:sz w:val="18"/>
                <w:szCs w:val="18"/>
                <w:u w:val="single"/>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页 </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3.4其他资料</w:t>
            </w:r>
            <w:r>
              <w:rPr>
                <w:rFonts w:hint="eastAsia" w:ascii="仿宋" w:hAnsi="仿宋" w:eastAsia="仿宋" w:cs="仿宋"/>
                <w:b/>
                <w:color w:val="000000" w:themeColor="text1"/>
                <w:sz w:val="18"/>
                <w:szCs w:val="18"/>
                <w:u w:val="single"/>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页</w:t>
            </w:r>
          </w:p>
        </w:tc>
        <w:tc>
          <w:tcPr>
            <w:tcW w:w="6969" w:type="dxa"/>
            <w:noWrap w:val="0"/>
            <w:vAlign w:val="center"/>
          </w:tcPr>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p>
          <w:p>
            <w:pPr>
              <w:rPr>
                <w:rFonts w:hint="eastAsia" w:ascii="仿宋" w:hAnsi="仿宋" w:eastAsia="仿宋" w:cs="仿宋"/>
                <w:b/>
                <w:color w:val="000000" w:themeColor="text1"/>
                <w:sz w:val="18"/>
                <w:szCs w:val="18"/>
                <w14:textFill>
                  <w14:solidFill>
                    <w14:schemeClr w14:val="tx1"/>
                  </w14:solidFill>
                </w14:textFill>
              </w:rPr>
            </w:pPr>
          </w:p>
          <w:p>
            <w:pPr>
              <w:ind w:right="284"/>
              <w:jc w:val="left"/>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施工员/经办人:                     项目经理：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8" w:hRule="exact"/>
        </w:trPr>
        <w:tc>
          <w:tcPr>
            <w:tcW w:w="1701" w:type="dxa"/>
            <w:noWrap w:val="0"/>
            <w:vAlign w:val="center"/>
          </w:tcPr>
          <w:p>
            <w:pPr>
              <w:ind w:firstLine="271" w:firstLineChars="150"/>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工程部意见</w:t>
            </w:r>
          </w:p>
        </w:tc>
        <w:tc>
          <w:tcPr>
            <w:tcW w:w="6969" w:type="dxa"/>
            <w:noWrap w:val="0"/>
            <w:vAlign w:val="top"/>
          </w:tcPr>
          <w:p>
            <w:pPr>
              <w:wordWrap w:val="0"/>
              <w:ind w:right="644"/>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 xml:space="preserve">          </w:t>
            </w:r>
          </w:p>
          <w:p>
            <w:pPr>
              <w:wordWrap w:val="0"/>
              <w:ind w:right="644"/>
              <w:rPr>
                <w:rFonts w:hint="eastAsia" w:ascii="仿宋" w:hAnsi="仿宋" w:eastAsia="仿宋" w:cs="仿宋"/>
                <w:b/>
                <w:color w:val="000000" w:themeColor="text1"/>
                <w:sz w:val="18"/>
                <w:szCs w:val="18"/>
                <w14:textFill>
                  <w14:solidFill>
                    <w14:schemeClr w14:val="tx1"/>
                  </w14:solidFill>
                </w14:textFill>
              </w:rPr>
            </w:pPr>
          </w:p>
          <w:p>
            <w:pPr>
              <w:wordWrap w:val="0"/>
              <w:ind w:right="644"/>
              <w:jc w:val="center"/>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负责人：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27" w:hRule="exact"/>
        </w:trPr>
        <w:tc>
          <w:tcPr>
            <w:tcW w:w="1701" w:type="dxa"/>
            <w:noWrap w:val="0"/>
            <w:vAlign w:val="center"/>
          </w:tcPr>
          <w:p>
            <w:pPr>
              <w:jc w:val="center"/>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成本中心意见</w:t>
            </w:r>
          </w:p>
        </w:tc>
        <w:tc>
          <w:tcPr>
            <w:tcW w:w="6969" w:type="dxa"/>
            <w:noWrap w:val="0"/>
            <w:vAlign w:val="top"/>
          </w:tcPr>
          <w:p>
            <w:pPr>
              <w:wordWrap w:val="0"/>
              <w:ind w:right="644"/>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 xml:space="preserve">          </w:t>
            </w:r>
          </w:p>
          <w:p>
            <w:pPr>
              <w:wordWrap w:val="0"/>
              <w:ind w:right="644"/>
              <w:rPr>
                <w:rFonts w:hint="eastAsia" w:ascii="仿宋" w:hAnsi="仿宋" w:eastAsia="仿宋" w:cs="仿宋"/>
                <w:b/>
                <w:color w:val="000000" w:themeColor="text1"/>
                <w:sz w:val="18"/>
                <w:szCs w:val="18"/>
                <w14:textFill>
                  <w14:solidFill>
                    <w14:schemeClr w14:val="tx1"/>
                  </w14:solidFill>
                </w14:textFill>
              </w:rPr>
            </w:pPr>
          </w:p>
          <w:p>
            <w:pPr>
              <w:wordWrap w:val="0"/>
              <w:ind w:right="644" w:firstLine="3253" w:firstLineChars="1800"/>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负责人：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68" w:hRule="exact"/>
        </w:trPr>
        <w:tc>
          <w:tcPr>
            <w:tcW w:w="1701" w:type="dxa"/>
            <w:noWrap w:val="0"/>
            <w:vAlign w:val="center"/>
          </w:tcPr>
          <w:p>
            <w:pPr>
              <w:jc w:val="center"/>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招采中心意见</w:t>
            </w:r>
          </w:p>
        </w:tc>
        <w:tc>
          <w:tcPr>
            <w:tcW w:w="6969" w:type="dxa"/>
            <w:noWrap w:val="0"/>
            <w:vAlign w:val="top"/>
          </w:tcPr>
          <w:p>
            <w:pPr>
              <w:wordWrap w:val="0"/>
              <w:ind w:right="644"/>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 xml:space="preserve">          </w:t>
            </w:r>
          </w:p>
          <w:p>
            <w:pPr>
              <w:wordWrap w:val="0"/>
              <w:ind w:right="644" w:firstLine="5331" w:firstLineChars="2950"/>
              <w:rPr>
                <w:rFonts w:hint="eastAsia" w:ascii="仿宋" w:hAnsi="仿宋" w:eastAsia="仿宋" w:cs="仿宋"/>
                <w:b/>
                <w:color w:val="000000" w:themeColor="text1"/>
                <w:sz w:val="18"/>
                <w:szCs w:val="18"/>
                <w14:textFill>
                  <w14:solidFill>
                    <w14:schemeClr w14:val="tx1"/>
                  </w14:solidFill>
                </w14:textFill>
              </w:rPr>
            </w:pPr>
          </w:p>
          <w:p>
            <w:pPr>
              <w:wordWrap w:val="0"/>
              <w:ind w:right="644" w:firstLine="3253" w:firstLineChars="1800"/>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 xml:space="preserve">负责人：           </w:t>
            </w: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20" w:hRule="exact"/>
        </w:trPr>
        <w:tc>
          <w:tcPr>
            <w:tcW w:w="1701" w:type="dxa"/>
            <w:noWrap w:val="0"/>
            <w:vAlign w:val="center"/>
          </w:tcPr>
          <w:p>
            <w:pPr>
              <w:jc w:val="center"/>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副总经理意见</w:t>
            </w:r>
          </w:p>
        </w:tc>
        <w:tc>
          <w:tcPr>
            <w:tcW w:w="6969" w:type="dxa"/>
            <w:noWrap w:val="0"/>
            <w:vAlign w:val="top"/>
          </w:tcPr>
          <w:p>
            <w:pPr>
              <w:ind w:right="284"/>
              <w:jc w:val="right"/>
              <w:rPr>
                <w:rFonts w:hint="eastAsia" w:ascii="仿宋" w:hAnsi="仿宋" w:eastAsia="仿宋" w:cs="仿宋"/>
                <w:b/>
                <w:color w:val="000000" w:themeColor="text1"/>
                <w:sz w:val="11"/>
                <w:szCs w:val="1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ind w:right="283"/>
              <w:jc w:val="both"/>
              <w:textAlignment w:val="auto"/>
              <w:rPr>
                <w:rFonts w:hint="eastAsia" w:ascii="仿宋" w:hAnsi="仿宋" w:eastAsia="仿宋" w:cs="仿宋"/>
                <w:b/>
                <w:color w:val="000000" w:themeColor="text1"/>
                <w:sz w:val="11"/>
                <w:szCs w:val="11"/>
                <w14:textFill>
                  <w14:solidFill>
                    <w14:schemeClr w14:val="tx1"/>
                  </w14:solidFill>
                </w14:textFill>
              </w:rPr>
            </w:pPr>
          </w:p>
          <w:p>
            <w:pPr>
              <w:ind w:right="284"/>
              <w:jc w:val="both"/>
              <w:rPr>
                <w:rFonts w:hint="eastAsia" w:ascii="仿宋" w:hAnsi="仿宋" w:eastAsia="仿宋" w:cs="仿宋"/>
                <w:b/>
                <w:color w:val="000000" w:themeColor="text1"/>
                <w:sz w:val="11"/>
                <w:szCs w:val="11"/>
                <w14:textFill>
                  <w14:solidFill>
                    <w14:schemeClr w14:val="tx1"/>
                  </w14:solidFill>
                </w14:textFill>
              </w:rPr>
            </w:pPr>
          </w:p>
          <w:p>
            <w:pPr>
              <w:wordWrap w:val="0"/>
              <w:ind w:left="0" w:leftChars="0" w:right="374" w:firstLine="2107" w:firstLineChars="1166"/>
              <w:jc w:val="right"/>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副总经理：   </w:t>
            </w: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        日期：       </w:t>
            </w:r>
          </w:p>
          <w:p>
            <w:pPr>
              <w:ind w:right="284"/>
              <w:jc w:val="right"/>
              <w:rPr>
                <w:rFonts w:hint="eastAsia" w:ascii="仿宋" w:hAnsi="仿宋" w:eastAsia="仿宋" w:cs="仿宋"/>
                <w:b/>
                <w:color w:val="000000" w:themeColor="text1"/>
                <w:sz w:val="18"/>
                <w:szCs w:val="18"/>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56" w:hRule="exact"/>
        </w:trPr>
        <w:tc>
          <w:tcPr>
            <w:tcW w:w="1701" w:type="dxa"/>
            <w:noWrap w:val="0"/>
            <w:vAlign w:val="center"/>
          </w:tcPr>
          <w:p>
            <w:pPr>
              <w:jc w:val="center"/>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总经理审批意见</w:t>
            </w:r>
          </w:p>
        </w:tc>
        <w:tc>
          <w:tcPr>
            <w:tcW w:w="6969" w:type="dxa"/>
            <w:noWrap w:val="0"/>
            <w:vAlign w:val="top"/>
          </w:tcPr>
          <w:p>
            <w:pPr>
              <w:ind w:right="504"/>
              <w:rPr>
                <w:rFonts w:hint="eastAsia" w:ascii="仿宋" w:hAnsi="仿宋" w:eastAsia="仿宋" w:cs="仿宋"/>
                <w:b/>
                <w:color w:val="000000" w:themeColor="text1"/>
                <w:sz w:val="11"/>
                <w:szCs w:val="1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ind w:right="283"/>
              <w:jc w:val="right"/>
              <w:textAlignment w:val="auto"/>
              <w:rPr>
                <w:rFonts w:hint="eastAsia" w:ascii="仿宋" w:hAnsi="仿宋" w:eastAsia="仿宋" w:cs="仿宋"/>
                <w:b/>
                <w:color w:val="000000" w:themeColor="text1"/>
                <w:sz w:val="11"/>
                <w:szCs w:val="11"/>
                <w14:textFill>
                  <w14:solidFill>
                    <w14:schemeClr w14:val="tx1"/>
                  </w14:solidFill>
                </w14:textFill>
              </w:rPr>
            </w:pPr>
          </w:p>
          <w:p>
            <w:pPr>
              <w:wordWrap w:val="0"/>
              <w:ind w:left="0" w:leftChars="0" w:right="464" w:firstLine="220" w:firstLineChars="122"/>
              <w:jc w:val="center"/>
              <w:rPr>
                <w:rFonts w:hint="eastAsia" w:ascii="仿宋" w:hAnsi="仿宋" w:eastAsia="仿宋" w:cs="仿宋"/>
                <w:b/>
                <w:color w:val="000000" w:themeColor="text1"/>
                <w:sz w:val="18"/>
                <w:szCs w:val="18"/>
                <w:lang w:val="en-US" w:eastAsia="zh-CN"/>
                <w14:textFill>
                  <w14:solidFill>
                    <w14:schemeClr w14:val="tx1"/>
                  </w14:solidFill>
                </w14:textFill>
              </w:rPr>
            </w:pP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p>
          <w:p>
            <w:pPr>
              <w:wordWrap w:val="0"/>
              <w:ind w:left="0" w:leftChars="0" w:right="464" w:firstLine="220" w:firstLineChars="122"/>
              <w:jc w:val="center"/>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总经理：            </w:t>
            </w: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 日期：      </w:t>
            </w:r>
          </w:p>
          <w:p>
            <w:pPr>
              <w:ind w:right="284"/>
              <w:jc w:val="right"/>
              <w:rPr>
                <w:rFonts w:hint="eastAsia" w:ascii="仿宋" w:hAnsi="仿宋" w:eastAsia="仿宋" w:cs="仿宋"/>
                <w:b/>
                <w:color w:val="000000" w:themeColor="text1"/>
                <w:sz w:val="18"/>
                <w:szCs w:val="18"/>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13" w:hRule="exact"/>
        </w:trPr>
        <w:tc>
          <w:tcPr>
            <w:tcW w:w="1701" w:type="dxa"/>
            <w:noWrap w:val="0"/>
            <w:vAlign w:val="center"/>
          </w:tcPr>
          <w:p>
            <w:pPr>
              <w:jc w:val="center"/>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董事长审批意见</w:t>
            </w:r>
          </w:p>
        </w:tc>
        <w:tc>
          <w:tcPr>
            <w:tcW w:w="6969" w:type="dxa"/>
            <w:noWrap w:val="0"/>
            <w:vAlign w:val="top"/>
          </w:tcPr>
          <w:p>
            <w:pPr>
              <w:ind w:right="284"/>
              <w:jc w:val="right"/>
              <w:rPr>
                <w:rFonts w:hint="eastAsia" w:ascii="仿宋" w:hAnsi="仿宋" w:eastAsia="仿宋" w:cs="仿宋"/>
                <w:b/>
                <w:color w:val="000000" w:themeColor="text1"/>
                <w:sz w:val="18"/>
                <w:szCs w:val="18"/>
                <w14:textFill>
                  <w14:solidFill>
                    <w14:schemeClr w14:val="tx1"/>
                  </w14:solidFill>
                </w14:textFill>
              </w:rPr>
            </w:pPr>
          </w:p>
          <w:p>
            <w:pPr>
              <w:wordWrap w:val="0"/>
              <w:ind w:left="0" w:leftChars="0" w:right="284" w:firstLine="421" w:firstLineChars="233"/>
              <w:jc w:val="right"/>
              <w:rPr>
                <w:rFonts w:hint="eastAsia" w:ascii="仿宋" w:hAnsi="仿宋" w:eastAsia="仿宋" w:cs="仿宋"/>
                <w:b/>
                <w:color w:val="000000" w:themeColor="text1"/>
                <w:sz w:val="18"/>
                <w:szCs w:val="1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283" w:firstLine="351" w:firstLineChars="233"/>
              <w:jc w:val="right"/>
              <w:textAlignment w:val="auto"/>
              <w:rPr>
                <w:rFonts w:hint="eastAsia" w:ascii="仿宋" w:hAnsi="仿宋" w:eastAsia="仿宋" w:cs="仿宋"/>
                <w:b/>
                <w:color w:val="000000" w:themeColor="text1"/>
                <w:sz w:val="15"/>
                <w:szCs w:val="15"/>
                <w14:textFill>
                  <w14:solidFill>
                    <w14:schemeClr w14:val="tx1"/>
                  </w14:solidFill>
                </w14:textFill>
              </w:rPr>
            </w:pPr>
          </w:p>
          <w:p>
            <w:pPr>
              <w:wordWrap w:val="0"/>
              <w:ind w:left="0" w:leftChars="0" w:right="284" w:firstLine="421" w:firstLineChars="233"/>
              <w:jc w:val="right"/>
              <w:rPr>
                <w:rFonts w:hint="eastAsia" w:ascii="仿宋" w:hAnsi="仿宋" w:eastAsia="仿宋" w:cs="仿宋"/>
                <w:b/>
                <w:color w:val="000000" w:themeColor="text1"/>
                <w:sz w:val="18"/>
                <w:szCs w:val="18"/>
                <w14:textFill>
                  <w14:solidFill>
                    <w14:schemeClr w14:val="tx1"/>
                  </w14:solidFill>
                </w14:textFill>
              </w:rPr>
            </w:pPr>
            <w:r>
              <w:rPr>
                <w:rFonts w:hint="eastAsia" w:ascii="仿宋" w:hAnsi="仿宋" w:eastAsia="仿宋" w:cs="仿宋"/>
                <w:b/>
                <w:color w:val="000000" w:themeColor="text1"/>
                <w:sz w:val="18"/>
                <w:szCs w:val="18"/>
                <w14:textFill>
                  <w14:solidFill>
                    <w14:schemeClr w14:val="tx1"/>
                  </w14:solidFill>
                </w14:textFill>
              </w:rPr>
              <w:t xml:space="preserve">                 </w:t>
            </w: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 </w:t>
            </w: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董事长：          </w:t>
            </w:r>
            <w:r>
              <w:rPr>
                <w:rFonts w:hint="eastAsia" w:ascii="仿宋" w:hAnsi="仿宋" w:eastAsia="仿宋" w:cs="仿宋"/>
                <w:b/>
                <w:color w:val="000000" w:themeColor="text1"/>
                <w:sz w:val="18"/>
                <w:szCs w:val="18"/>
                <w:lang w:val="en-US" w:eastAsia="zh-CN"/>
                <w14:textFill>
                  <w14:solidFill>
                    <w14:schemeClr w14:val="tx1"/>
                  </w14:solidFill>
                </w14:textFill>
              </w:rPr>
              <w:t xml:space="preserve">   </w:t>
            </w:r>
            <w:r>
              <w:rPr>
                <w:rFonts w:hint="eastAsia" w:ascii="仿宋" w:hAnsi="仿宋" w:eastAsia="仿宋" w:cs="仿宋"/>
                <w:b/>
                <w:color w:val="000000" w:themeColor="text1"/>
                <w:sz w:val="18"/>
                <w:szCs w:val="18"/>
                <w14:textFill>
                  <w14:solidFill>
                    <w14:schemeClr w14:val="tx1"/>
                  </w14:solidFill>
                </w14:textFill>
              </w:rPr>
              <w:t xml:space="preserve">日期：          </w:t>
            </w:r>
          </w:p>
        </w:tc>
      </w:tr>
    </w:tbl>
    <w:p>
      <w:pPr>
        <w:keepNext w:val="0"/>
        <w:keepLines w:val="0"/>
        <w:pageBreakBefore w:val="0"/>
        <w:widowControl w:val="0"/>
        <w:kinsoku/>
        <w:wordWrap/>
        <w:overflowPunct/>
        <w:topLinePunct w:val="0"/>
        <w:autoSpaceDE/>
        <w:autoSpaceDN/>
        <w:bidi w:val="0"/>
        <w:adjustRightInd/>
        <w:snapToGrid w:val="0"/>
        <w:ind w:left="993" w:leftChars="150" w:hanging="678" w:hangingChars="450"/>
        <w:textAlignment w:val="auto"/>
        <w:rPr>
          <w:rFonts w:hint="eastAsia" w:ascii="仿宋" w:hAnsi="仿宋" w:eastAsia="仿宋" w:cs="仿宋"/>
          <w:b/>
          <w:color w:val="000000" w:themeColor="text1"/>
          <w:sz w:val="15"/>
          <w:szCs w:val="15"/>
          <w14:textFill>
            <w14:solidFill>
              <w14:schemeClr w14:val="tx1"/>
            </w14:solidFill>
          </w14:textFill>
        </w:rPr>
      </w:pPr>
      <w:r>
        <w:rPr>
          <w:rFonts w:hint="eastAsia" w:ascii="仿宋" w:hAnsi="仿宋" w:eastAsia="仿宋" w:cs="仿宋"/>
          <w:b/>
          <w:color w:val="000000" w:themeColor="text1"/>
          <w:sz w:val="15"/>
          <w:szCs w:val="15"/>
          <w14:textFill>
            <w14:solidFill>
              <w14:schemeClr w14:val="tx1"/>
            </w14:solidFill>
          </w14:textFill>
        </w:rPr>
        <w:t xml:space="preserve">备注：   </w:t>
      </w:r>
      <w:r>
        <w:rPr>
          <w:rFonts w:hint="eastAsia" w:ascii="仿宋" w:hAnsi="仿宋" w:eastAsia="仿宋" w:cs="仿宋"/>
          <w:b/>
          <w:color w:val="000000" w:themeColor="text1"/>
          <w:sz w:val="15"/>
          <w:szCs w:val="15"/>
          <w:lang w:val="en-US" w:eastAsia="zh-CN"/>
          <w14:textFill>
            <w14:solidFill>
              <w14:schemeClr w14:val="tx1"/>
            </w14:solidFill>
          </w14:textFill>
        </w:rPr>
        <w:t>1、</w:t>
      </w:r>
      <w:r>
        <w:rPr>
          <w:rFonts w:hint="eastAsia" w:ascii="仿宋" w:hAnsi="仿宋" w:eastAsia="仿宋" w:cs="仿宋"/>
          <w:b/>
          <w:color w:val="000000" w:themeColor="text1"/>
          <w:sz w:val="15"/>
          <w:szCs w:val="15"/>
          <w14:textFill>
            <w14:solidFill>
              <w14:schemeClr w14:val="tx1"/>
            </w14:solidFill>
          </w14:textFill>
        </w:rPr>
        <w:t>如表内容填写不下，可另加附页详细说明。</w:t>
      </w:r>
    </w:p>
    <w:p>
      <w:pPr>
        <w:keepNext w:val="0"/>
        <w:keepLines w:val="0"/>
        <w:pageBreakBefore w:val="0"/>
        <w:widowControl w:val="0"/>
        <w:kinsoku/>
        <w:wordWrap/>
        <w:overflowPunct/>
        <w:topLinePunct w:val="0"/>
        <w:autoSpaceDE/>
        <w:autoSpaceDN/>
        <w:bidi w:val="0"/>
        <w:adjustRightInd/>
        <w:snapToGrid w:val="0"/>
        <w:spacing w:line="216" w:lineRule="auto"/>
        <w:ind w:left="993" w:leftChars="150" w:hanging="678" w:hangingChars="450"/>
        <w:textAlignment w:val="auto"/>
        <w:rPr>
          <w:rFonts w:hint="eastAsia" w:ascii="仿宋" w:hAnsi="仿宋" w:eastAsia="仿宋" w:cs="仿宋"/>
          <w:b/>
          <w:bCs w:val="0"/>
          <w:color w:val="000000" w:themeColor="text1"/>
          <w:sz w:val="15"/>
          <w:szCs w:val="15"/>
          <w14:textFill>
            <w14:solidFill>
              <w14:schemeClr w14:val="tx1"/>
            </w14:solidFill>
          </w14:textFill>
        </w:rPr>
      </w:pPr>
      <w:r>
        <w:rPr>
          <w:rFonts w:hint="eastAsia" w:ascii="仿宋" w:hAnsi="仿宋" w:eastAsia="仿宋" w:cs="仿宋"/>
          <w:b/>
          <w:bCs w:val="0"/>
          <w:color w:val="000000" w:themeColor="text1"/>
          <w:sz w:val="15"/>
          <w:szCs w:val="15"/>
          <w14:textFill>
            <w14:solidFill>
              <w14:schemeClr w14:val="tx1"/>
            </w14:solidFill>
          </w14:textFill>
        </w:rPr>
        <w:t>填表须知：1、施工员/经办人须按“填表内容”填写完整申报信息，在选择对应的“□”中打“√”。</w:t>
      </w:r>
    </w:p>
    <w:p>
      <w:pPr>
        <w:keepNext w:val="0"/>
        <w:keepLines w:val="0"/>
        <w:pageBreakBefore w:val="0"/>
        <w:widowControl w:val="0"/>
        <w:kinsoku/>
        <w:wordWrap/>
        <w:overflowPunct/>
        <w:topLinePunct w:val="0"/>
        <w:autoSpaceDE/>
        <w:autoSpaceDN/>
        <w:bidi w:val="0"/>
        <w:adjustRightInd/>
        <w:snapToGrid w:val="0"/>
        <w:spacing w:line="216" w:lineRule="auto"/>
        <w:ind w:left="1312" w:leftChars="517" w:hanging="226" w:hangingChars="150"/>
        <w:textAlignment w:val="auto"/>
        <w:rPr>
          <w:rFonts w:hint="eastAsia" w:ascii="仿宋" w:hAnsi="仿宋" w:eastAsia="仿宋" w:cs="仿宋"/>
          <w:b/>
          <w:bCs w:val="0"/>
          <w:color w:val="000000" w:themeColor="text1"/>
          <w:sz w:val="15"/>
          <w:szCs w:val="15"/>
          <w14:textFill>
            <w14:solidFill>
              <w14:schemeClr w14:val="tx1"/>
            </w14:solidFill>
          </w14:textFill>
        </w:rPr>
      </w:pPr>
      <w:r>
        <w:rPr>
          <w:rFonts w:hint="eastAsia" w:ascii="仿宋" w:hAnsi="仿宋" w:eastAsia="仿宋" w:cs="仿宋"/>
          <w:b/>
          <w:bCs w:val="0"/>
          <w:color w:val="000000" w:themeColor="text1"/>
          <w:sz w:val="15"/>
          <w:szCs w:val="15"/>
          <w14:textFill>
            <w14:solidFill>
              <w14:schemeClr w14:val="tx1"/>
            </w14:solidFill>
          </w14:textFill>
        </w:rPr>
        <w:t>2、项目部建议价中，应作出价格分析，比如；该工程共用工XX个工日，每工日XX元，共使用材料XX立方，每立方XX元等（人、材、机）成本分析；或者注明单价参照依据，比如：该项工程与XX项目中XX分项工程的做法内容基本一致，参考XX项目中的XX分项工程单价等。</w:t>
      </w:r>
    </w:p>
    <w:p>
      <w:pPr>
        <w:keepNext w:val="0"/>
        <w:keepLines w:val="0"/>
        <w:pageBreakBefore w:val="0"/>
        <w:widowControl w:val="0"/>
        <w:kinsoku/>
        <w:wordWrap/>
        <w:overflowPunct/>
        <w:topLinePunct w:val="0"/>
        <w:autoSpaceDE/>
        <w:autoSpaceDN/>
        <w:bidi w:val="0"/>
        <w:adjustRightInd/>
        <w:snapToGrid w:val="0"/>
        <w:spacing w:line="216" w:lineRule="auto"/>
        <w:ind w:left="1301" w:leftChars="512" w:hanging="226" w:hangingChars="150"/>
        <w:textAlignment w:val="auto"/>
        <w:rPr>
          <w:rFonts w:hint="eastAsia" w:ascii="仿宋" w:hAnsi="仿宋" w:eastAsia="仿宋" w:cs="仿宋"/>
          <w:b/>
          <w:bCs w:val="0"/>
          <w:color w:val="000000" w:themeColor="text1"/>
          <w:sz w:val="15"/>
          <w:szCs w:val="15"/>
          <w14:textFill>
            <w14:solidFill>
              <w14:schemeClr w14:val="tx1"/>
            </w14:solidFill>
          </w14:textFill>
        </w:rPr>
      </w:pPr>
      <w:r>
        <w:rPr>
          <w:rFonts w:hint="eastAsia" w:ascii="仿宋" w:hAnsi="仿宋" w:eastAsia="仿宋" w:cs="仿宋"/>
          <w:b/>
          <w:bCs w:val="0"/>
          <w:color w:val="000000" w:themeColor="text1"/>
          <w:sz w:val="15"/>
          <w:szCs w:val="15"/>
          <w14:textFill>
            <w14:solidFill>
              <w14:schemeClr w14:val="tx1"/>
            </w14:solidFill>
          </w14:textFill>
        </w:rPr>
        <w:t>3、项目部在收到分包单位单价申报后5天内需将分包单位的单价申报作为本表的附件一并交工程部，由工程部负责汇集各项目应定价的分项工程，按此表程序进行审批。</w:t>
      </w:r>
    </w:p>
    <w:p>
      <w:pPr>
        <w:keepNext w:val="0"/>
        <w:keepLines w:val="0"/>
        <w:pageBreakBefore w:val="0"/>
        <w:widowControl w:val="0"/>
        <w:kinsoku/>
        <w:wordWrap/>
        <w:overflowPunct/>
        <w:topLinePunct w:val="0"/>
        <w:autoSpaceDE/>
        <w:autoSpaceDN/>
        <w:bidi w:val="0"/>
        <w:adjustRightInd/>
        <w:snapToGrid w:val="0"/>
        <w:spacing w:line="216" w:lineRule="auto"/>
        <w:textAlignment w:val="auto"/>
        <w:rPr>
          <w:rFonts w:hint="eastAsia" w:ascii="仿宋" w:hAnsi="仿宋" w:eastAsia="仿宋" w:cs="仿宋"/>
          <w:b/>
          <w:bCs/>
          <w:i w:val="0"/>
          <w:iCs w:val="0"/>
          <w:color w:val="000000" w:themeColor="text1"/>
          <w:sz w:val="24"/>
          <w:szCs w:val="24"/>
          <w:highlight w:val="none"/>
          <w:lang w:eastAsia="zh-CN"/>
          <w14:textFill>
            <w14:solidFill>
              <w14:schemeClr w14:val="tx1"/>
            </w14:solidFill>
          </w14:textFill>
        </w:rPr>
      </w:pPr>
      <w:r>
        <w:rPr>
          <w:rFonts w:hint="eastAsia" w:ascii="仿宋" w:hAnsi="仿宋" w:eastAsia="仿宋" w:cs="仿宋"/>
          <w:b/>
          <w:bCs w:val="0"/>
          <w:color w:val="000000" w:themeColor="text1"/>
          <w:sz w:val="15"/>
          <w:szCs w:val="15"/>
          <w14:textFill>
            <w14:solidFill>
              <w14:schemeClr w14:val="tx1"/>
            </w14:solidFill>
          </w14:textFill>
        </w:rPr>
        <w:t xml:space="preserve">              4、各部门填写单价时必须签名并注明日期。</w:t>
      </w:r>
    </w:p>
    <w:p>
      <w:pPr>
        <w:spacing w:line="360" w:lineRule="auto"/>
        <w:ind w:right="-672" w:rightChars="-320" w:firstLine="8031" w:firstLineChars="200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附件六</w:t>
      </w:r>
    </w:p>
    <w:p>
      <w:pPr>
        <w:spacing w:line="360" w:lineRule="auto"/>
        <w:ind w:right="-672" w:rightChars="-320" w:firstLine="8031" w:firstLineChars="200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jc w:val="center"/>
        <w:rPr>
          <w:color w:val="auto"/>
          <w:sz w:val="32"/>
          <w:szCs w:val="32"/>
          <w:highlight w:val="none"/>
        </w:rPr>
      </w:pPr>
    </w:p>
    <w:tbl>
      <w:tblPr>
        <w:tblStyle w:val="14"/>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pPr>
              <w:jc w:val="center"/>
              <w:rPr>
                <w:b/>
                <w:color w:val="auto"/>
                <w:sz w:val="30"/>
                <w:szCs w:val="30"/>
                <w:highlight w:val="none"/>
              </w:rPr>
            </w:pPr>
            <w:r>
              <w:rPr>
                <w:rFonts w:hint="eastAsia"/>
                <w:b/>
                <w:color w:val="auto"/>
                <w:sz w:val="30"/>
                <w:szCs w:val="30"/>
                <w:highlight w:val="none"/>
              </w:rPr>
              <w:t>序号</w:t>
            </w:r>
          </w:p>
        </w:tc>
        <w:tc>
          <w:tcPr>
            <w:tcW w:w="8428" w:type="dxa"/>
          </w:tcPr>
          <w:p>
            <w:pPr>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30"/>
                <w:szCs w:val="30"/>
                <w:highlight w:val="none"/>
              </w:rPr>
            </w:pPr>
            <w:r>
              <w:rPr>
                <w:rFonts w:hint="eastAsia"/>
                <w:color w:val="auto"/>
                <w:sz w:val="28"/>
                <w:szCs w:val="28"/>
                <w:highlight w:val="none"/>
              </w:rPr>
              <w:t>1</w:t>
            </w:r>
          </w:p>
        </w:tc>
        <w:tc>
          <w:tcPr>
            <w:tcW w:w="8428" w:type="dxa"/>
          </w:tcPr>
          <w:p>
            <w:pPr>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2</w:t>
            </w:r>
          </w:p>
        </w:tc>
        <w:tc>
          <w:tcPr>
            <w:tcW w:w="8428" w:type="dxa"/>
          </w:tcPr>
          <w:p>
            <w:pPr>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3</w:t>
            </w:r>
          </w:p>
        </w:tc>
        <w:tc>
          <w:tcPr>
            <w:tcW w:w="8428" w:type="dxa"/>
          </w:tcPr>
          <w:p>
            <w:pPr>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color w:val="auto"/>
                <w:sz w:val="28"/>
                <w:szCs w:val="28"/>
                <w:highlight w:val="none"/>
              </w:rPr>
            </w:pPr>
            <w:r>
              <w:rPr>
                <w:rFonts w:hint="eastAsia"/>
                <w:color w:val="auto"/>
                <w:sz w:val="28"/>
                <w:szCs w:val="28"/>
                <w:highlight w:val="none"/>
              </w:rPr>
              <w:t>4</w:t>
            </w:r>
          </w:p>
        </w:tc>
        <w:tc>
          <w:tcPr>
            <w:tcW w:w="8428" w:type="dxa"/>
          </w:tcPr>
          <w:p>
            <w:pPr>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5</w:t>
            </w:r>
          </w:p>
        </w:tc>
        <w:tc>
          <w:tcPr>
            <w:tcW w:w="8428" w:type="dxa"/>
          </w:tcPr>
          <w:p>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6</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7</w:t>
            </w:r>
          </w:p>
        </w:tc>
        <w:tc>
          <w:tcPr>
            <w:tcW w:w="8428" w:type="dxa"/>
          </w:tcPr>
          <w:p>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8</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jc w:val="center"/>
        <w:rPr>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附件七</w:t>
      </w:r>
    </w:p>
    <w:p>
      <w:pPr>
        <w:spacing w:before="241" w:line="360" w:lineRule="auto"/>
        <w:ind w:left="0"/>
        <w:jc w:val="center"/>
        <w:rPr>
          <w:rFonts w:hint="eastAsia" w:ascii="仿宋" w:hAnsi="仿宋" w:eastAsia="仿宋" w:cs="仿宋"/>
          <w:b/>
          <w:bCs/>
          <w:color w:val="auto"/>
          <w:spacing w:val="-4"/>
          <w:position w:val="21"/>
          <w:sz w:val="8"/>
          <w:szCs w:val="8"/>
        </w:rPr>
      </w:pPr>
      <w:r>
        <w:rPr>
          <w:rFonts w:hint="eastAsia" w:ascii="仿宋" w:hAnsi="仿宋" w:eastAsia="仿宋" w:cs="仿宋"/>
          <w:b/>
          <w:bCs/>
          <w:color w:val="auto"/>
          <w:spacing w:val="-4"/>
          <w:position w:val="21"/>
          <w:sz w:val="32"/>
          <w:szCs w:val="32"/>
          <w:lang w:val="en-US" w:eastAsia="zh-CN"/>
        </w:rPr>
        <w:t>工人工资发放</w:t>
      </w:r>
      <w:r>
        <w:rPr>
          <w:rFonts w:hint="eastAsia" w:ascii="仿宋" w:hAnsi="仿宋" w:eastAsia="仿宋" w:cs="仿宋"/>
          <w:b/>
          <w:bCs/>
          <w:color w:val="auto"/>
          <w:spacing w:val="-4"/>
          <w:position w:val="21"/>
          <w:sz w:val="32"/>
          <w:szCs w:val="32"/>
        </w:rPr>
        <w:t>承诺书</w:t>
      </w:r>
    </w:p>
    <w:p>
      <w:pPr>
        <w:spacing w:line="360" w:lineRule="auto"/>
        <w:ind w:left="253"/>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致：</w:t>
      </w:r>
      <w:r>
        <w:rPr>
          <w:rFonts w:hint="eastAsia" w:ascii="宋体" w:hAnsi="宋体" w:eastAsia="宋体" w:cs="宋体"/>
          <w:b/>
          <w:bCs/>
          <w:sz w:val="24"/>
          <w:szCs w:val="24"/>
          <w:highlight w:val="none"/>
          <w:lang w:val="en-US" w:eastAsia="zh-CN"/>
        </w:rPr>
        <w:t>**********</w:t>
      </w:r>
      <w:r>
        <w:rPr>
          <w:rFonts w:hint="eastAsia" w:ascii="宋体" w:hAnsi="宋体" w:eastAsia="宋体" w:cs="宋体"/>
          <w:b/>
          <w:bCs/>
          <w:sz w:val="24"/>
          <w:szCs w:val="24"/>
          <w:highlight w:val="none"/>
        </w:rPr>
        <w:t>有限公司</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z w:val="24"/>
          <w:szCs w:val="24"/>
          <w:lang w:val="en-US" w:eastAsia="zh-CN"/>
        </w:rPr>
      </w:pPr>
      <w:r>
        <w:rPr>
          <w:rFonts w:hint="eastAsia" w:ascii="宋体" w:hAnsi="宋体" w:eastAsia="宋体" w:cs="宋体"/>
          <w:spacing w:val="8"/>
          <w:sz w:val="24"/>
          <w:szCs w:val="24"/>
          <w:highlight w:val="none"/>
          <w:lang w:val="en-US" w:eastAsia="zh-CN"/>
        </w:rPr>
        <w:t>目前该工程在</w:t>
      </w:r>
      <w:r>
        <w:rPr>
          <w:rFonts w:hint="eastAsia" w:ascii="宋体" w:hAnsi="宋体" w:eastAsia="宋体" w:cs="宋体"/>
          <w:spacing w:val="8"/>
          <w:sz w:val="24"/>
          <w:szCs w:val="24"/>
          <w:highlight w:val="none"/>
          <w:u w:val="single"/>
          <w:lang w:val="en-US" w:eastAsia="zh-CN"/>
        </w:rPr>
        <w:sym w:font="Wingdings 2" w:char="00A3"/>
      </w:r>
      <w:r>
        <w:rPr>
          <w:rFonts w:hint="eastAsia" w:ascii="宋体" w:hAnsi="宋体" w:eastAsia="宋体" w:cs="宋体"/>
          <w:spacing w:val="8"/>
          <w:sz w:val="24"/>
          <w:szCs w:val="24"/>
          <w:highlight w:val="none"/>
          <w:u w:val="single"/>
          <w:lang w:val="en-US" w:eastAsia="zh-CN"/>
        </w:rPr>
        <w:t xml:space="preserve">施工过程中  </w:t>
      </w:r>
      <w:r>
        <w:rPr>
          <w:rFonts w:hint="eastAsia" w:ascii="宋体" w:hAnsi="宋体" w:eastAsia="宋体" w:cs="宋体"/>
          <w:spacing w:val="8"/>
          <w:sz w:val="24"/>
          <w:szCs w:val="24"/>
          <w:highlight w:val="none"/>
          <w:u w:val="single"/>
          <w:lang w:val="en-US" w:eastAsia="zh-CN"/>
        </w:rPr>
        <w:sym w:font="Wingdings 2" w:char="00A3"/>
      </w:r>
      <w:r>
        <w:rPr>
          <w:rFonts w:hint="eastAsia" w:ascii="宋体" w:hAnsi="宋体" w:eastAsia="宋体" w:cs="宋体"/>
          <w:spacing w:val="8"/>
          <w:sz w:val="24"/>
          <w:szCs w:val="24"/>
          <w:highlight w:val="none"/>
          <w:u w:val="single"/>
          <w:lang w:val="en-US" w:eastAsia="zh-CN"/>
        </w:rPr>
        <w:t>结算过程中</w:t>
      </w:r>
      <w:r>
        <w:rPr>
          <w:rFonts w:hint="eastAsia" w:ascii="宋体" w:hAnsi="宋体" w:eastAsia="宋体" w:cs="宋体"/>
          <w:spacing w:val="8"/>
          <w:sz w:val="24"/>
          <w:szCs w:val="24"/>
          <w:highlight w:val="none"/>
          <w:lang w:val="en-US" w:eastAsia="zh-CN"/>
        </w:rPr>
        <w:t>。现我司申请贵司向我司支付 ****月份工程款共计</w:t>
      </w:r>
      <w:r>
        <w:rPr>
          <w:rFonts w:hint="eastAsia" w:ascii="宋体" w:hAnsi="宋体" w:eastAsia="宋体" w:cs="宋体"/>
          <w:spacing w:val="8"/>
          <w:sz w:val="24"/>
          <w:szCs w:val="24"/>
          <w:highlight w:val="none"/>
          <w:u w:val="single"/>
          <w:lang w:val="en-US" w:eastAsia="zh-CN"/>
        </w:rPr>
        <w:t>**** 元</w:t>
      </w:r>
      <w:r>
        <w:rPr>
          <w:rFonts w:hint="eastAsia" w:ascii="宋体" w:hAnsi="宋体" w:eastAsia="宋体" w:cs="宋体"/>
          <w:spacing w:val="8"/>
          <w:sz w:val="24"/>
          <w:szCs w:val="24"/>
          <w:highlight w:val="none"/>
          <w:lang w:val="en-US" w:eastAsia="zh-CN"/>
        </w:rPr>
        <w:t>，大写：</w:t>
      </w:r>
      <w:r>
        <w:rPr>
          <w:rFonts w:hint="eastAsia" w:ascii="宋体" w:hAnsi="宋体" w:eastAsia="宋体" w:cs="宋体"/>
          <w:spacing w:val="8"/>
          <w:sz w:val="24"/>
          <w:szCs w:val="24"/>
          <w:highlight w:val="none"/>
          <w:u w:val="single"/>
          <w:lang w:val="en-US" w:eastAsia="zh-CN"/>
        </w:rPr>
        <w:t xml:space="preserve"> **** 元</w:t>
      </w:r>
      <w:r>
        <w:rPr>
          <w:rFonts w:hint="eastAsia" w:ascii="宋体" w:hAnsi="宋体" w:eastAsia="宋体" w:cs="宋体"/>
          <w:spacing w:val="8"/>
          <w:sz w:val="24"/>
          <w:szCs w:val="24"/>
          <w:highlight w:val="none"/>
          <w:lang w:val="en-US" w:eastAsia="zh-CN"/>
        </w:rPr>
        <w:t>。我司承诺累计已发放工人工资***元，</w:t>
      </w:r>
      <w:r>
        <w:rPr>
          <w:rFonts w:hint="eastAsia" w:ascii="宋体" w:hAnsi="宋体" w:eastAsia="宋体" w:cs="宋体"/>
          <w:spacing w:val="8"/>
          <w:sz w:val="24"/>
          <w:szCs w:val="24"/>
          <w:highlight w:val="none"/>
          <w:u w:val="none"/>
          <w:lang w:val="en-US" w:eastAsia="zh-CN"/>
        </w:rPr>
        <w:t>占该项目工人工资</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spacing w:val="8"/>
          <w:sz w:val="24"/>
          <w:szCs w:val="24"/>
          <w:highlight w:val="none"/>
          <w:u w:val="single"/>
          <w:lang w:val="en-US" w:eastAsia="zh-CN"/>
        </w:rPr>
        <w:t>**** 元</w:t>
      </w:r>
      <w:r>
        <w:rPr>
          <w:rFonts w:hint="eastAsia" w:ascii="宋体" w:hAnsi="宋体" w:eastAsia="宋体" w:cs="宋体"/>
          <w:spacing w:val="8"/>
          <w:sz w:val="24"/>
          <w:szCs w:val="24"/>
          <w:highlight w:val="none"/>
          <w:lang w:val="en-US" w:eastAsia="zh-CN"/>
        </w:rPr>
        <w:t>，</w:t>
      </w:r>
      <w:r>
        <w:rPr>
          <w:rFonts w:hint="eastAsia" w:ascii="宋体" w:hAnsi="宋体" w:eastAsia="宋体" w:cs="宋体"/>
          <w:spacing w:val="8"/>
          <w:sz w:val="24"/>
          <w:szCs w:val="24"/>
          <w:highlight w:val="none"/>
          <w:u w:val="none"/>
          <w:lang w:val="en-US" w:eastAsia="zh-CN"/>
        </w:rPr>
        <w:t>占该项目工人工资**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highlight w:val="none"/>
          <w:lang w:val="en-US" w:eastAsia="zh-CN"/>
        </w:rPr>
      </w:pPr>
      <w:r>
        <w:rPr>
          <w:rFonts w:hint="eastAsia" w:ascii="宋体" w:hAnsi="宋体" w:eastAsia="宋体" w:cs="宋体"/>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3"/>
        </w:numPr>
        <w:spacing w:before="120" w:line="360" w:lineRule="auto"/>
        <w:ind w:left="211" w:leftChars="0" w:right="238" w:firstLine="419" w:firstLineChars="0"/>
        <w:jc w:val="both"/>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3"/>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spacing w:val="8"/>
          <w:sz w:val="24"/>
          <w:szCs w:val="24"/>
          <w:highlight w:val="none"/>
          <w:u w:val="single"/>
          <w:lang w:val="en-US" w:eastAsia="zh-CN"/>
        </w:rPr>
      </w:pPr>
      <w:r>
        <w:rPr>
          <w:rFonts w:hint="eastAsia" w:ascii="宋体" w:hAnsi="宋体" w:eastAsia="宋体" w:cs="宋体"/>
          <w:spacing w:val="8"/>
          <w:sz w:val="24"/>
          <w:szCs w:val="24"/>
          <w:highlight w:val="none"/>
          <w:lang w:val="en-US" w:eastAsia="zh-CN"/>
        </w:rPr>
        <w:t xml:space="preserve">本人（法定代表人） **** </w:t>
      </w:r>
      <w:r>
        <w:rPr>
          <w:rFonts w:hint="eastAsia" w:ascii="宋体" w:hAnsi="宋体" w:eastAsia="宋体" w:cs="宋体"/>
          <w:spacing w:val="-4"/>
          <w:sz w:val="24"/>
          <w:szCs w:val="24"/>
          <w:highlight w:val="none"/>
          <w:lang w:val="en-US" w:eastAsia="zh-CN"/>
        </w:rPr>
        <w:t>（身份证号：</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color w:val="191F25"/>
          <w:sz w:val="24"/>
          <w:szCs w:val="24"/>
          <w:highlight w:val="none"/>
          <w:u w:val="single"/>
          <w:shd w:val="clear" w:color="auto" w:fill="FFFFFF"/>
          <w:lang w:val="en-US" w:eastAsia="zh-CN"/>
        </w:rPr>
        <w:t>******</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4"/>
          <w:sz w:val="24"/>
          <w:szCs w:val="24"/>
          <w:highlight w:val="none"/>
          <w:lang w:val="en-US" w:eastAsia="zh-CN"/>
        </w:rPr>
        <w:t>）、本人（实际控制人）</w:t>
      </w:r>
      <w:r>
        <w:rPr>
          <w:rFonts w:hint="eastAsia" w:ascii="宋体" w:hAnsi="宋体" w:eastAsia="宋体" w:cs="宋体"/>
          <w:spacing w:val="8"/>
          <w:sz w:val="24"/>
          <w:szCs w:val="24"/>
          <w:highlight w:val="none"/>
          <w:lang w:val="en-US" w:eastAsia="zh-CN"/>
        </w:rPr>
        <w:t xml:space="preserve">**** </w:t>
      </w:r>
      <w:r>
        <w:rPr>
          <w:rFonts w:hint="eastAsia" w:ascii="宋体" w:hAnsi="宋体" w:eastAsia="宋体" w:cs="宋体"/>
          <w:spacing w:val="-4"/>
          <w:sz w:val="24"/>
          <w:szCs w:val="24"/>
          <w:highlight w:val="none"/>
          <w:lang w:val="en-US" w:eastAsia="zh-CN"/>
        </w:rPr>
        <w:t>（身份证号：</w:t>
      </w:r>
      <w:r>
        <w:rPr>
          <w:rFonts w:hint="eastAsia" w:ascii="宋体" w:hAnsi="宋体" w:eastAsia="宋体" w:cs="宋体"/>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40" w:firstLineChars="100"/>
        <w:jc w:val="both"/>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color w:val="191F25"/>
          <w:sz w:val="24"/>
          <w:szCs w:val="24"/>
          <w:highlight w:val="none"/>
          <w:u w:val="single"/>
          <w:shd w:val="clear" w:color="auto" w:fill="FFFFFF"/>
          <w:lang w:val="en-US" w:eastAsia="zh-CN"/>
        </w:rPr>
        <w:t>******</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4"/>
          <w:sz w:val="24"/>
          <w:szCs w:val="24"/>
          <w:highlight w:val="none"/>
          <w:lang w:val="en-US" w:eastAsia="zh-CN"/>
        </w:rPr>
        <w:t>）同意就</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color w:val="191F25"/>
          <w:sz w:val="24"/>
          <w:szCs w:val="24"/>
          <w:highlight w:val="none"/>
          <w:u w:val="single"/>
          <w:shd w:val="clear" w:color="auto" w:fill="FFFFFF"/>
          <w:lang w:val="en-US" w:eastAsia="zh-CN"/>
        </w:rPr>
        <w:t>****</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承诺单位（盖章）：</w:t>
      </w:r>
      <w:r>
        <w:rPr>
          <w:rFonts w:hint="eastAsia" w:ascii="宋体" w:hAnsi="宋体" w:eastAsia="宋体" w:cs="宋体"/>
          <w:spacing w:val="-4"/>
          <w:sz w:val="24"/>
          <w:szCs w:val="24"/>
          <w:highlight w:val="none"/>
          <w:u w:val="none"/>
          <w:lang w:val="en-US" w:eastAsia="zh-CN"/>
        </w:rPr>
        <w:t>*******</w:t>
      </w:r>
      <w:r>
        <w:rPr>
          <w:rFonts w:hint="eastAsia" w:ascii="宋体" w:hAnsi="宋体" w:eastAsia="宋体" w:cs="宋体"/>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         担  保  人：</w:t>
      </w:r>
    </w:p>
    <w:p>
      <w:pPr>
        <w:rPr>
          <w:rFonts w:hint="eastAsia"/>
          <w:b/>
          <w:bCs/>
          <w:lang w:eastAsia="zh-CN"/>
        </w:rPr>
      </w:pPr>
      <w:r>
        <w:rPr>
          <w:rFonts w:hint="eastAsia" w:ascii="宋体" w:hAnsi="宋体" w:eastAsia="宋体" w:cs="宋体"/>
          <w:spacing w:val="-4"/>
          <w:sz w:val="24"/>
          <w:szCs w:val="24"/>
          <w:highlight w:val="none"/>
          <w:lang w:val="en-US" w:eastAsia="zh-CN"/>
        </w:rPr>
        <w:t xml:space="preserve">                                          日   期：****年**月**日</w:t>
      </w: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sectPr>
      <w:footerReference r:id="rId8" w:type="default"/>
      <w:pgSz w:w="11906" w:h="16838"/>
      <w:pgMar w:top="1440" w:right="1080" w:bottom="1440" w:left="1080"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5925D0"/>
    <w:multiLevelType w:val="multilevel"/>
    <w:tmpl w:val="B35925D0"/>
    <w:lvl w:ilvl="0" w:tentative="0">
      <w:start w:val="1"/>
      <w:numFmt w:val="chineseCounting"/>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ED70B397"/>
    <w:multiLevelType w:val="singleLevel"/>
    <w:tmpl w:val="ED70B397"/>
    <w:lvl w:ilvl="0" w:tentative="0">
      <w:start w:val="1"/>
      <w:numFmt w:val="chineseCounting"/>
      <w:suff w:val="nothing"/>
      <w:lvlText w:val="%1、"/>
      <w:lvlJc w:val="left"/>
      <w:rPr>
        <w:rFonts w:hint="eastAsia"/>
      </w:rPr>
    </w:lvl>
  </w:abstractNum>
  <w:abstractNum w:abstractNumId="2">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63CB5CCC"/>
    <w:rsid w:val="000118A6"/>
    <w:rsid w:val="00014E71"/>
    <w:rsid w:val="00070351"/>
    <w:rsid w:val="00164BDC"/>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05D6B"/>
    <w:rsid w:val="00B35E9C"/>
    <w:rsid w:val="00B970C4"/>
    <w:rsid w:val="00BC3A1F"/>
    <w:rsid w:val="00BC73D9"/>
    <w:rsid w:val="00BF7D50"/>
    <w:rsid w:val="00C01140"/>
    <w:rsid w:val="00C14B6F"/>
    <w:rsid w:val="00C70D2C"/>
    <w:rsid w:val="00C94BA8"/>
    <w:rsid w:val="00CA1002"/>
    <w:rsid w:val="00CB30A1"/>
    <w:rsid w:val="00DF5360"/>
    <w:rsid w:val="00E1609D"/>
    <w:rsid w:val="00E178E3"/>
    <w:rsid w:val="00ED202F"/>
    <w:rsid w:val="0104663C"/>
    <w:rsid w:val="011E0CCE"/>
    <w:rsid w:val="013730A5"/>
    <w:rsid w:val="0147153B"/>
    <w:rsid w:val="015765E3"/>
    <w:rsid w:val="01600FB8"/>
    <w:rsid w:val="01813F60"/>
    <w:rsid w:val="01826338"/>
    <w:rsid w:val="01B5752C"/>
    <w:rsid w:val="01B6046E"/>
    <w:rsid w:val="01BF37C7"/>
    <w:rsid w:val="01C04E49"/>
    <w:rsid w:val="021C600F"/>
    <w:rsid w:val="022C24DE"/>
    <w:rsid w:val="02391BF0"/>
    <w:rsid w:val="024C0DD3"/>
    <w:rsid w:val="024E1742"/>
    <w:rsid w:val="024F7C95"/>
    <w:rsid w:val="02587777"/>
    <w:rsid w:val="0262645B"/>
    <w:rsid w:val="02820350"/>
    <w:rsid w:val="02854A8C"/>
    <w:rsid w:val="028873DB"/>
    <w:rsid w:val="028D2017"/>
    <w:rsid w:val="02994018"/>
    <w:rsid w:val="02B63659"/>
    <w:rsid w:val="02BF77F6"/>
    <w:rsid w:val="02D55869"/>
    <w:rsid w:val="02D768EE"/>
    <w:rsid w:val="02E1776D"/>
    <w:rsid w:val="02F54D26"/>
    <w:rsid w:val="02FE1B0B"/>
    <w:rsid w:val="033E696D"/>
    <w:rsid w:val="03630182"/>
    <w:rsid w:val="03800D34"/>
    <w:rsid w:val="03F77768"/>
    <w:rsid w:val="04340622"/>
    <w:rsid w:val="045A1585"/>
    <w:rsid w:val="04910D1F"/>
    <w:rsid w:val="049B2A96"/>
    <w:rsid w:val="049F343C"/>
    <w:rsid w:val="04AB1DE0"/>
    <w:rsid w:val="04B35139"/>
    <w:rsid w:val="04CE3287"/>
    <w:rsid w:val="04DA0918"/>
    <w:rsid w:val="04DF3C4E"/>
    <w:rsid w:val="04E6106A"/>
    <w:rsid w:val="04E77D7D"/>
    <w:rsid w:val="04EB042F"/>
    <w:rsid w:val="04FB7762"/>
    <w:rsid w:val="04FF3EDA"/>
    <w:rsid w:val="050128A7"/>
    <w:rsid w:val="051C4A8C"/>
    <w:rsid w:val="052027CE"/>
    <w:rsid w:val="05216546"/>
    <w:rsid w:val="053022E6"/>
    <w:rsid w:val="05657FDC"/>
    <w:rsid w:val="056B1570"/>
    <w:rsid w:val="05A101F3"/>
    <w:rsid w:val="05AB5E10"/>
    <w:rsid w:val="05B9052D"/>
    <w:rsid w:val="05D56967"/>
    <w:rsid w:val="05E732EC"/>
    <w:rsid w:val="05EA6A4A"/>
    <w:rsid w:val="05FA2136"/>
    <w:rsid w:val="06397B8E"/>
    <w:rsid w:val="063F3298"/>
    <w:rsid w:val="06530982"/>
    <w:rsid w:val="06706AD8"/>
    <w:rsid w:val="06976105"/>
    <w:rsid w:val="06A66D03"/>
    <w:rsid w:val="06D31393"/>
    <w:rsid w:val="06DC2F7F"/>
    <w:rsid w:val="06ED4932"/>
    <w:rsid w:val="07181283"/>
    <w:rsid w:val="073F4A62"/>
    <w:rsid w:val="07580BE5"/>
    <w:rsid w:val="075D56E6"/>
    <w:rsid w:val="07740BAF"/>
    <w:rsid w:val="07B9513E"/>
    <w:rsid w:val="07BD2E94"/>
    <w:rsid w:val="07C02047"/>
    <w:rsid w:val="07E13D6B"/>
    <w:rsid w:val="07E31891"/>
    <w:rsid w:val="07F41CF0"/>
    <w:rsid w:val="07FC5C21"/>
    <w:rsid w:val="081B54CF"/>
    <w:rsid w:val="081B70BC"/>
    <w:rsid w:val="083A6C4A"/>
    <w:rsid w:val="085547A4"/>
    <w:rsid w:val="085C7B8E"/>
    <w:rsid w:val="0878647D"/>
    <w:rsid w:val="089112ED"/>
    <w:rsid w:val="08A6123D"/>
    <w:rsid w:val="08B374B6"/>
    <w:rsid w:val="08D04EA3"/>
    <w:rsid w:val="08F24A3C"/>
    <w:rsid w:val="090207D6"/>
    <w:rsid w:val="0966277A"/>
    <w:rsid w:val="09757AB5"/>
    <w:rsid w:val="0979248B"/>
    <w:rsid w:val="09934B04"/>
    <w:rsid w:val="099A1CCF"/>
    <w:rsid w:val="09A56C91"/>
    <w:rsid w:val="09A82D92"/>
    <w:rsid w:val="09C46844"/>
    <w:rsid w:val="09C94AB7"/>
    <w:rsid w:val="09E22A5D"/>
    <w:rsid w:val="09E87633"/>
    <w:rsid w:val="09FB1114"/>
    <w:rsid w:val="09FB7366"/>
    <w:rsid w:val="0A2118B5"/>
    <w:rsid w:val="0A2745F2"/>
    <w:rsid w:val="0A454A85"/>
    <w:rsid w:val="0A5132FE"/>
    <w:rsid w:val="0A5922DF"/>
    <w:rsid w:val="0A60366D"/>
    <w:rsid w:val="0A7964DD"/>
    <w:rsid w:val="0ACE6829"/>
    <w:rsid w:val="0AD62B48"/>
    <w:rsid w:val="0ADC4A4D"/>
    <w:rsid w:val="0AF42699"/>
    <w:rsid w:val="0AFA3582"/>
    <w:rsid w:val="0B70650A"/>
    <w:rsid w:val="0BB93035"/>
    <w:rsid w:val="0BD95485"/>
    <w:rsid w:val="0BDB7D38"/>
    <w:rsid w:val="0BFE6C9A"/>
    <w:rsid w:val="0C125258"/>
    <w:rsid w:val="0C177688"/>
    <w:rsid w:val="0C1D2B00"/>
    <w:rsid w:val="0C9B273A"/>
    <w:rsid w:val="0CC04DC6"/>
    <w:rsid w:val="0CC9374C"/>
    <w:rsid w:val="0CCA5228"/>
    <w:rsid w:val="0CE1709F"/>
    <w:rsid w:val="0D006A41"/>
    <w:rsid w:val="0D0522AA"/>
    <w:rsid w:val="0D077DD0"/>
    <w:rsid w:val="0D186481"/>
    <w:rsid w:val="0D4536A9"/>
    <w:rsid w:val="0D643817"/>
    <w:rsid w:val="0D723345"/>
    <w:rsid w:val="0D8B6C53"/>
    <w:rsid w:val="0D8E1614"/>
    <w:rsid w:val="0D9553DC"/>
    <w:rsid w:val="0D964F5E"/>
    <w:rsid w:val="0DAE068F"/>
    <w:rsid w:val="0DAE649D"/>
    <w:rsid w:val="0DBB3044"/>
    <w:rsid w:val="0DD51C7C"/>
    <w:rsid w:val="0DD56120"/>
    <w:rsid w:val="0DD95C10"/>
    <w:rsid w:val="0DF51C0D"/>
    <w:rsid w:val="0DFE67C9"/>
    <w:rsid w:val="0E060087"/>
    <w:rsid w:val="0E0D6E79"/>
    <w:rsid w:val="0E0F01F7"/>
    <w:rsid w:val="0E2055ED"/>
    <w:rsid w:val="0E236E8B"/>
    <w:rsid w:val="0E40102B"/>
    <w:rsid w:val="0E44078F"/>
    <w:rsid w:val="0E4741D7"/>
    <w:rsid w:val="0E4806A0"/>
    <w:rsid w:val="0E5205B9"/>
    <w:rsid w:val="0E575B4B"/>
    <w:rsid w:val="0EA63619"/>
    <w:rsid w:val="0EC341CA"/>
    <w:rsid w:val="0EDD34DE"/>
    <w:rsid w:val="0EFD148A"/>
    <w:rsid w:val="0F3050A6"/>
    <w:rsid w:val="0F465E76"/>
    <w:rsid w:val="0F915616"/>
    <w:rsid w:val="0F9A1418"/>
    <w:rsid w:val="0FA17752"/>
    <w:rsid w:val="0FDC5544"/>
    <w:rsid w:val="100242A9"/>
    <w:rsid w:val="10352EA6"/>
    <w:rsid w:val="104F3F68"/>
    <w:rsid w:val="108674CF"/>
    <w:rsid w:val="109E0A4B"/>
    <w:rsid w:val="10A14840"/>
    <w:rsid w:val="10A23752"/>
    <w:rsid w:val="10A30609"/>
    <w:rsid w:val="10D80992"/>
    <w:rsid w:val="1111746F"/>
    <w:rsid w:val="11243FFF"/>
    <w:rsid w:val="11407F98"/>
    <w:rsid w:val="11557E4D"/>
    <w:rsid w:val="11565855"/>
    <w:rsid w:val="11665A0D"/>
    <w:rsid w:val="11BE6A7E"/>
    <w:rsid w:val="11EB7CC0"/>
    <w:rsid w:val="1203051C"/>
    <w:rsid w:val="12077CFA"/>
    <w:rsid w:val="121B43BF"/>
    <w:rsid w:val="12271A49"/>
    <w:rsid w:val="122907E8"/>
    <w:rsid w:val="124205D1"/>
    <w:rsid w:val="12635AA8"/>
    <w:rsid w:val="12696E37"/>
    <w:rsid w:val="126E62DF"/>
    <w:rsid w:val="127952CC"/>
    <w:rsid w:val="12A30FD7"/>
    <w:rsid w:val="12AA36D7"/>
    <w:rsid w:val="12CD386A"/>
    <w:rsid w:val="12F901BB"/>
    <w:rsid w:val="130F3E82"/>
    <w:rsid w:val="13165211"/>
    <w:rsid w:val="132C143C"/>
    <w:rsid w:val="132E143F"/>
    <w:rsid w:val="13471AD0"/>
    <w:rsid w:val="134753CA"/>
    <w:rsid w:val="134C478E"/>
    <w:rsid w:val="13781A27"/>
    <w:rsid w:val="13826402"/>
    <w:rsid w:val="13877EBC"/>
    <w:rsid w:val="13985C26"/>
    <w:rsid w:val="13B14F39"/>
    <w:rsid w:val="13C94AC1"/>
    <w:rsid w:val="13E04D12"/>
    <w:rsid w:val="1400513F"/>
    <w:rsid w:val="14092680"/>
    <w:rsid w:val="14301B15"/>
    <w:rsid w:val="14564D5E"/>
    <w:rsid w:val="14661880"/>
    <w:rsid w:val="14726477"/>
    <w:rsid w:val="14870CC8"/>
    <w:rsid w:val="1492781C"/>
    <w:rsid w:val="1499025C"/>
    <w:rsid w:val="149B6797"/>
    <w:rsid w:val="14C41530"/>
    <w:rsid w:val="14E07884"/>
    <w:rsid w:val="14F15522"/>
    <w:rsid w:val="150337D5"/>
    <w:rsid w:val="1504174F"/>
    <w:rsid w:val="152F6751"/>
    <w:rsid w:val="1553452D"/>
    <w:rsid w:val="15542020"/>
    <w:rsid w:val="156F29B6"/>
    <w:rsid w:val="157E0E4B"/>
    <w:rsid w:val="158263AD"/>
    <w:rsid w:val="158F501B"/>
    <w:rsid w:val="15A9794A"/>
    <w:rsid w:val="15B036FB"/>
    <w:rsid w:val="15B14B22"/>
    <w:rsid w:val="15BA33B1"/>
    <w:rsid w:val="15CD0276"/>
    <w:rsid w:val="15E16D7A"/>
    <w:rsid w:val="15E338E5"/>
    <w:rsid w:val="15E46F00"/>
    <w:rsid w:val="15FE0734"/>
    <w:rsid w:val="16041350"/>
    <w:rsid w:val="161A23FF"/>
    <w:rsid w:val="161F43DC"/>
    <w:rsid w:val="16290B92"/>
    <w:rsid w:val="16297009"/>
    <w:rsid w:val="165C2217"/>
    <w:rsid w:val="167069E6"/>
    <w:rsid w:val="167D7D71"/>
    <w:rsid w:val="16A3500D"/>
    <w:rsid w:val="16B32D77"/>
    <w:rsid w:val="16B36AE1"/>
    <w:rsid w:val="16C15493"/>
    <w:rsid w:val="16E42F30"/>
    <w:rsid w:val="16ED4897"/>
    <w:rsid w:val="16FE0496"/>
    <w:rsid w:val="17123F41"/>
    <w:rsid w:val="171C4DC0"/>
    <w:rsid w:val="172A0C99"/>
    <w:rsid w:val="174C7453"/>
    <w:rsid w:val="176F2869"/>
    <w:rsid w:val="179A1DCD"/>
    <w:rsid w:val="17A15E0B"/>
    <w:rsid w:val="17AF1790"/>
    <w:rsid w:val="17C43DD4"/>
    <w:rsid w:val="17DE3E23"/>
    <w:rsid w:val="17E53404"/>
    <w:rsid w:val="17EC5092"/>
    <w:rsid w:val="17F90C5D"/>
    <w:rsid w:val="181D494B"/>
    <w:rsid w:val="183D3240"/>
    <w:rsid w:val="18416A30"/>
    <w:rsid w:val="186E09C7"/>
    <w:rsid w:val="18937310"/>
    <w:rsid w:val="189E4F3F"/>
    <w:rsid w:val="18F224FA"/>
    <w:rsid w:val="190D49C0"/>
    <w:rsid w:val="191D4341"/>
    <w:rsid w:val="19206CA1"/>
    <w:rsid w:val="19265A82"/>
    <w:rsid w:val="1938288F"/>
    <w:rsid w:val="19597C05"/>
    <w:rsid w:val="195C7136"/>
    <w:rsid w:val="197762DD"/>
    <w:rsid w:val="19786A87"/>
    <w:rsid w:val="198A7DBF"/>
    <w:rsid w:val="198B5F6F"/>
    <w:rsid w:val="19A05834"/>
    <w:rsid w:val="19A1648E"/>
    <w:rsid w:val="19B1359D"/>
    <w:rsid w:val="19B24E93"/>
    <w:rsid w:val="19B25567"/>
    <w:rsid w:val="19B7455F"/>
    <w:rsid w:val="19DB4ABE"/>
    <w:rsid w:val="1A015E61"/>
    <w:rsid w:val="1A0667DD"/>
    <w:rsid w:val="1A1B00A3"/>
    <w:rsid w:val="1A366BD3"/>
    <w:rsid w:val="1A402B73"/>
    <w:rsid w:val="1A903AFB"/>
    <w:rsid w:val="1AA475A6"/>
    <w:rsid w:val="1AC11F06"/>
    <w:rsid w:val="1ACC0721"/>
    <w:rsid w:val="1B022F94"/>
    <w:rsid w:val="1B3C1FFD"/>
    <w:rsid w:val="1B3E1954"/>
    <w:rsid w:val="1B9118D8"/>
    <w:rsid w:val="1BA16335"/>
    <w:rsid w:val="1BA57132"/>
    <w:rsid w:val="1BA6218E"/>
    <w:rsid w:val="1BAD5FE6"/>
    <w:rsid w:val="1BB13D28"/>
    <w:rsid w:val="1BE177E6"/>
    <w:rsid w:val="1BEE6D2B"/>
    <w:rsid w:val="1BF5598D"/>
    <w:rsid w:val="1C116575"/>
    <w:rsid w:val="1C305105"/>
    <w:rsid w:val="1C4A1A87"/>
    <w:rsid w:val="1C547B70"/>
    <w:rsid w:val="1C700BEF"/>
    <w:rsid w:val="1C7B17FA"/>
    <w:rsid w:val="1C896A53"/>
    <w:rsid w:val="1C972259"/>
    <w:rsid w:val="1C9D20E2"/>
    <w:rsid w:val="1CA05B4B"/>
    <w:rsid w:val="1CB11B06"/>
    <w:rsid w:val="1CBF2781"/>
    <w:rsid w:val="1CC306E9"/>
    <w:rsid w:val="1CD70D11"/>
    <w:rsid w:val="1CDF09E4"/>
    <w:rsid w:val="1CF02170"/>
    <w:rsid w:val="1CF42E6E"/>
    <w:rsid w:val="1CF70848"/>
    <w:rsid w:val="1D085BCA"/>
    <w:rsid w:val="1D104A7F"/>
    <w:rsid w:val="1D444728"/>
    <w:rsid w:val="1D510F66"/>
    <w:rsid w:val="1D7711E5"/>
    <w:rsid w:val="1D8B2357"/>
    <w:rsid w:val="1D8D5398"/>
    <w:rsid w:val="1DC36C05"/>
    <w:rsid w:val="1DD26A50"/>
    <w:rsid w:val="1DEB0CCB"/>
    <w:rsid w:val="1DFB128B"/>
    <w:rsid w:val="1E052B8D"/>
    <w:rsid w:val="1E0D7210"/>
    <w:rsid w:val="1E3E4DFF"/>
    <w:rsid w:val="1E6B19BE"/>
    <w:rsid w:val="1E8A02A3"/>
    <w:rsid w:val="1E933BB9"/>
    <w:rsid w:val="1EE518CA"/>
    <w:rsid w:val="1EF1268E"/>
    <w:rsid w:val="1EFE4EDD"/>
    <w:rsid w:val="1F026649"/>
    <w:rsid w:val="1F0864B9"/>
    <w:rsid w:val="1F1464D9"/>
    <w:rsid w:val="1F176598"/>
    <w:rsid w:val="1F417171"/>
    <w:rsid w:val="1F437CC6"/>
    <w:rsid w:val="1F444EB4"/>
    <w:rsid w:val="1F4F074B"/>
    <w:rsid w:val="1F5A6485"/>
    <w:rsid w:val="1F881E32"/>
    <w:rsid w:val="1F8D23B7"/>
    <w:rsid w:val="1FB45B95"/>
    <w:rsid w:val="1FC3519E"/>
    <w:rsid w:val="1FF57B15"/>
    <w:rsid w:val="202076CF"/>
    <w:rsid w:val="202D3B9A"/>
    <w:rsid w:val="203B28A1"/>
    <w:rsid w:val="204A474C"/>
    <w:rsid w:val="20542ED4"/>
    <w:rsid w:val="2063580D"/>
    <w:rsid w:val="20644136"/>
    <w:rsid w:val="20695B32"/>
    <w:rsid w:val="207B343E"/>
    <w:rsid w:val="20801F1B"/>
    <w:rsid w:val="20994D8B"/>
    <w:rsid w:val="20A501FD"/>
    <w:rsid w:val="20B35E4D"/>
    <w:rsid w:val="20BB73F7"/>
    <w:rsid w:val="20D364EF"/>
    <w:rsid w:val="20DB1848"/>
    <w:rsid w:val="20DE6C42"/>
    <w:rsid w:val="20E95E3C"/>
    <w:rsid w:val="20EF2BFD"/>
    <w:rsid w:val="20F871F2"/>
    <w:rsid w:val="21204FF0"/>
    <w:rsid w:val="21260D15"/>
    <w:rsid w:val="212C2C54"/>
    <w:rsid w:val="212C428E"/>
    <w:rsid w:val="2144119B"/>
    <w:rsid w:val="215D109F"/>
    <w:rsid w:val="215E090F"/>
    <w:rsid w:val="21613AFB"/>
    <w:rsid w:val="2164771A"/>
    <w:rsid w:val="216A13BE"/>
    <w:rsid w:val="21735A99"/>
    <w:rsid w:val="2177331E"/>
    <w:rsid w:val="21837F15"/>
    <w:rsid w:val="219A78C7"/>
    <w:rsid w:val="21A8557E"/>
    <w:rsid w:val="21AB746C"/>
    <w:rsid w:val="21CE3BBD"/>
    <w:rsid w:val="21D02A2F"/>
    <w:rsid w:val="21DC13D3"/>
    <w:rsid w:val="21DC28E3"/>
    <w:rsid w:val="21E9116B"/>
    <w:rsid w:val="220F05CF"/>
    <w:rsid w:val="22205764"/>
    <w:rsid w:val="222A0391"/>
    <w:rsid w:val="225E003A"/>
    <w:rsid w:val="227B299A"/>
    <w:rsid w:val="227E692E"/>
    <w:rsid w:val="228E4923"/>
    <w:rsid w:val="228F6446"/>
    <w:rsid w:val="22910410"/>
    <w:rsid w:val="22AE65BE"/>
    <w:rsid w:val="22B63195"/>
    <w:rsid w:val="22D264D9"/>
    <w:rsid w:val="22E5250A"/>
    <w:rsid w:val="22F369D5"/>
    <w:rsid w:val="22F616B5"/>
    <w:rsid w:val="22FD0E5C"/>
    <w:rsid w:val="230778C7"/>
    <w:rsid w:val="231A510B"/>
    <w:rsid w:val="235F406A"/>
    <w:rsid w:val="236A7616"/>
    <w:rsid w:val="236F7F68"/>
    <w:rsid w:val="2374647C"/>
    <w:rsid w:val="237C3267"/>
    <w:rsid w:val="23A21A79"/>
    <w:rsid w:val="23BC326A"/>
    <w:rsid w:val="23BD72DF"/>
    <w:rsid w:val="23C32DB9"/>
    <w:rsid w:val="23C46BDF"/>
    <w:rsid w:val="23DA1E7B"/>
    <w:rsid w:val="23E7405F"/>
    <w:rsid w:val="23EA5501"/>
    <w:rsid w:val="23FC3FAF"/>
    <w:rsid w:val="24156E1F"/>
    <w:rsid w:val="243E45C7"/>
    <w:rsid w:val="2475240E"/>
    <w:rsid w:val="247955FF"/>
    <w:rsid w:val="24961E78"/>
    <w:rsid w:val="24B56686"/>
    <w:rsid w:val="24D665AE"/>
    <w:rsid w:val="24E34A53"/>
    <w:rsid w:val="25201F1F"/>
    <w:rsid w:val="253B202B"/>
    <w:rsid w:val="254A7910"/>
    <w:rsid w:val="256A6BDA"/>
    <w:rsid w:val="256E456D"/>
    <w:rsid w:val="25861D82"/>
    <w:rsid w:val="258A399C"/>
    <w:rsid w:val="25B34B41"/>
    <w:rsid w:val="26086C3B"/>
    <w:rsid w:val="261920D8"/>
    <w:rsid w:val="261B0492"/>
    <w:rsid w:val="26254703"/>
    <w:rsid w:val="26415CA9"/>
    <w:rsid w:val="26492DAF"/>
    <w:rsid w:val="264D0AF2"/>
    <w:rsid w:val="26571970"/>
    <w:rsid w:val="26655E3B"/>
    <w:rsid w:val="26670C71"/>
    <w:rsid w:val="26E75394"/>
    <w:rsid w:val="270B4948"/>
    <w:rsid w:val="27215AAC"/>
    <w:rsid w:val="2723400E"/>
    <w:rsid w:val="273E668C"/>
    <w:rsid w:val="27594AEA"/>
    <w:rsid w:val="27767BD4"/>
    <w:rsid w:val="279D64BF"/>
    <w:rsid w:val="27B8643F"/>
    <w:rsid w:val="27C132F1"/>
    <w:rsid w:val="27CB7D80"/>
    <w:rsid w:val="27CD1F54"/>
    <w:rsid w:val="27DD7C53"/>
    <w:rsid w:val="27E014F2"/>
    <w:rsid w:val="281F201A"/>
    <w:rsid w:val="283F090E"/>
    <w:rsid w:val="2844798D"/>
    <w:rsid w:val="28691716"/>
    <w:rsid w:val="28930D93"/>
    <w:rsid w:val="28A13DD3"/>
    <w:rsid w:val="28C64B8B"/>
    <w:rsid w:val="28CD5F1A"/>
    <w:rsid w:val="28D366FF"/>
    <w:rsid w:val="28DF697D"/>
    <w:rsid w:val="291458F7"/>
    <w:rsid w:val="297B7724"/>
    <w:rsid w:val="29826D04"/>
    <w:rsid w:val="299763DC"/>
    <w:rsid w:val="299E36F5"/>
    <w:rsid w:val="29B6075C"/>
    <w:rsid w:val="29D532D8"/>
    <w:rsid w:val="29EE6148"/>
    <w:rsid w:val="29FB219D"/>
    <w:rsid w:val="2A157B78"/>
    <w:rsid w:val="2A5A558B"/>
    <w:rsid w:val="2A8D5961"/>
    <w:rsid w:val="2AD92954"/>
    <w:rsid w:val="2AEA2DB3"/>
    <w:rsid w:val="2AEC6B2B"/>
    <w:rsid w:val="2B0B4446"/>
    <w:rsid w:val="2B0B5F38"/>
    <w:rsid w:val="2B1F0D63"/>
    <w:rsid w:val="2B230BF3"/>
    <w:rsid w:val="2B471FB3"/>
    <w:rsid w:val="2B88437A"/>
    <w:rsid w:val="2B88534B"/>
    <w:rsid w:val="2B9501D0"/>
    <w:rsid w:val="2BB4516F"/>
    <w:rsid w:val="2BCD2F8E"/>
    <w:rsid w:val="2BE55328"/>
    <w:rsid w:val="2BFF463C"/>
    <w:rsid w:val="2C0E487F"/>
    <w:rsid w:val="2C161986"/>
    <w:rsid w:val="2C180916"/>
    <w:rsid w:val="2C1E35F3"/>
    <w:rsid w:val="2C35005E"/>
    <w:rsid w:val="2C4F5B19"/>
    <w:rsid w:val="2C505CDF"/>
    <w:rsid w:val="2C526E62"/>
    <w:rsid w:val="2C5524AE"/>
    <w:rsid w:val="2C6E3292"/>
    <w:rsid w:val="2C7D03FA"/>
    <w:rsid w:val="2C7E4AF1"/>
    <w:rsid w:val="2C862B2D"/>
    <w:rsid w:val="2C8974AE"/>
    <w:rsid w:val="2C901738"/>
    <w:rsid w:val="2C9651E0"/>
    <w:rsid w:val="2CA034F5"/>
    <w:rsid w:val="2CA64AB8"/>
    <w:rsid w:val="2CC118F2"/>
    <w:rsid w:val="2CD34A44"/>
    <w:rsid w:val="2CE101E6"/>
    <w:rsid w:val="2CEB1DDF"/>
    <w:rsid w:val="2CF00E40"/>
    <w:rsid w:val="2CF33A75"/>
    <w:rsid w:val="2CF4403D"/>
    <w:rsid w:val="2CF96C08"/>
    <w:rsid w:val="2CFF066C"/>
    <w:rsid w:val="2D2360D5"/>
    <w:rsid w:val="2D3575D7"/>
    <w:rsid w:val="2D392A9A"/>
    <w:rsid w:val="2D6A3D37"/>
    <w:rsid w:val="2DB43204"/>
    <w:rsid w:val="2DB54923"/>
    <w:rsid w:val="2DBF6A28"/>
    <w:rsid w:val="2DC75DE6"/>
    <w:rsid w:val="2DD04934"/>
    <w:rsid w:val="2DDB4BC1"/>
    <w:rsid w:val="2E0F2B31"/>
    <w:rsid w:val="2E220AB6"/>
    <w:rsid w:val="2E255EB0"/>
    <w:rsid w:val="2E3A7D96"/>
    <w:rsid w:val="2E3F3BCD"/>
    <w:rsid w:val="2E4427DA"/>
    <w:rsid w:val="2E5C5D76"/>
    <w:rsid w:val="2E5D389C"/>
    <w:rsid w:val="2E630C84"/>
    <w:rsid w:val="2E641B42"/>
    <w:rsid w:val="2E84600A"/>
    <w:rsid w:val="2E956466"/>
    <w:rsid w:val="2EBF37A7"/>
    <w:rsid w:val="2EBF4B0B"/>
    <w:rsid w:val="2ED26038"/>
    <w:rsid w:val="2ED86F63"/>
    <w:rsid w:val="2EED10C4"/>
    <w:rsid w:val="2EF7784D"/>
    <w:rsid w:val="2EFA10EB"/>
    <w:rsid w:val="2EFB21A9"/>
    <w:rsid w:val="2F1A353B"/>
    <w:rsid w:val="2F3C1703"/>
    <w:rsid w:val="2F407445"/>
    <w:rsid w:val="2F53273B"/>
    <w:rsid w:val="2F544C9F"/>
    <w:rsid w:val="2F5702EB"/>
    <w:rsid w:val="2F6F0666"/>
    <w:rsid w:val="2F860BD0"/>
    <w:rsid w:val="2F927575"/>
    <w:rsid w:val="2FF574A1"/>
    <w:rsid w:val="300246FB"/>
    <w:rsid w:val="301D42EF"/>
    <w:rsid w:val="30235CBD"/>
    <w:rsid w:val="30250D25"/>
    <w:rsid w:val="3025488D"/>
    <w:rsid w:val="3044084D"/>
    <w:rsid w:val="30644D23"/>
    <w:rsid w:val="30894E1C"/>
    <w:rsid w:val="30B05F05"/>
    <w:rsid w:val="30CD3408"/>
    <w:rsid w:val="30F57DBC"/>
    <w:rsid w:val="30FA3624"/>
    <w:rsid w:val="31002A27"/>
    <w:rsid w:val="310A4AEB"/>
    <w:rsid w:val="310D2023"/>
    <w:rsid w:val="314D7BF8"/>
    <w:rsid w:val="3163741B"/>
    <w:rsid w:val="31857392"/>
    <w:rsid w:val="318E1BB8"/>
    <w:rsid w:val="319475D5"/>
    <w:rsid w:val="319976C6"/>
    <w:rsid w:val="319A711F"/>
    <w:rsid w:val="31A15954"/>
    <w:rsid w:val="320643AF"/>
    <w:rsid w:val="32130E41"/>
    <w:rsid w:val="322841C1"/>
    <w:rsid w:val="32562ADC"/>
    <w:rsid w:val="32613717"/>
    <w:rsid w:val="326F46E0"/>
    <w:rsid w:val="32772425"/>
    <w:rsid w:val="327A3BC6"/>
    <w:rsid w:val="327D450D"/>
    <w:rsid w:val="327F745D"/>
    <w:rsid w:val="3284589B"/>
    <w:rsid w:val="328E671A"/>
    <w:rsid w:val="32990C1B"/>
    <w:rsid w:val="32CB013A"/>
    <w:rsid w:val="32D3412D"/>
    <w:rsid w:val="32E4458C"/>
    <w:rsid w:val="32E8120D"/>
    <w:rsid w:val="32F347CF"/>
    <w:rsid w:val="32F848CB"/>
    <w:rsid w:val="33007B2E"/>
    <w:rsid w:val="330306C4"/>
    <w:rsid w:val="330B1B18"/>
    <w:rsid w:val="33100861"/>
    <w:rsid w:val="33372EAB"/>
    <w:rsid w:val="3341378C"/>
    <w:rsid w:val="334C66DF"/>
    <w:rsid w:val="335C4122"/>
    <w:rsid w:val="33786631"/>
    <w:rsid w:val="33786E01"/>
    <w:rsid w:val="337A0A4C"/>
    <w:rsid w:val="33911204"/>
    <w:rsid w:val="33AF3D68"/>
    <w:rsid w:val="33AF6666"/>
    <w:rsid w:val="33BE6F4E"/>
    <w:rsid w:val="33CB572B"/>
    <w:rsid w:val="33CD0EA3"/>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725E7F"/>
    <w:rsid w:val="358A766C"/>
    <w:rsid w:val="358B2CE3"/>
    <w:rsid w:val="358C26FA"/>
    <w:rsid w:val="35B71AE4"/>
    <w:rsid w:val="35BE2E72"/>
    <w:rsid w:val="35C32BDC"/>
    <w:rsid w:val="35D5640E"/>
    <w:rsid w:val="364610BA"/>
    <w:rsid w:val="36724494"/>
    <w:rsid w:val="367D0F7F"/>
    <w:rsid w:val="36826C31"/>
    <w:rsid w:val="368F0CBF"/>
    <w:rsid w:val="36916FED"/>
    <w:rsid w:val="36A469C4"/>
    <w:rsid w:val="36A521D9"/>
    <w:rsid w:val="36AD301F"/>
    <w:rsid w:val="370F0532"/>
    <w:rsid w:val="372B09DB"/>
    <w:rsid w:val="37515898"/>
    <w:rsid w:val="37763F45"/>
    <w:rsid w:val="377A726D"/>
    <w:rsid w:val="3784095E"/>
    <w:rsid w:val="37895E9F"/>
    <w:rsid w:val="37E40B8A"/>
    <w:rsid w:val="37EA2644"/>
    <w:rsid w:val="37EB1F18"/>
    <w:rsid w:val="38044D88"/>
    <w:rsid w:val="3806031D"/>
    <w:rsid w:val="382C513A"/>
    <w:rsid w:val="382E49C9"/>
    <w:rsid w:val="38417D8A"/>
    <w:rsid w:val="3842422E"/>
    <w:rsid w:val="3845352F"/>
    <w:rsid w:val="38526F7A"/>
    <w:rsid w:val="387A2F34"/>
    <w:rsid w:val="387C555A"/>
    <w:rsid w:val="387E2D8D"/>
    <w:rsid w:val="3894435E"/>
    <w:rsid w:val="389C521D"/>
    <w:rsid w:val="38E52970"/>
    <w:rsid w:val="38EA21D0"/>
    <w:rsid w:val="38F372D7"/>
    <w:rsid w:val="38F65019"/>
    <w:rsid w:val="38FB43DD"/>
    <w:rsid w:val="39432362"/>
    <w:rsid w:val="39641F82"/>
    <w:rsid w:val="39684912"/>
    <w:rsid w:val="397441F3"/>
    <w:rsid w:val="398919E9"/>
    <w:rsid w:val="39902D77"/>
    <w:rsid w:val="39A16C97"/>
    <w:rsid w:val="39A24859"/>
    <w:rsid w:val="39A56B84"/>
    <w:rsid w:val="39A77BB2"/>
    <w:rsid w:val="39AD5743"/>
    <w:rsid w:val="39BE5B37"/>
    <w:rsid w:val="39CD1EE3"/>
    <w:rsid w:val="39CD78A2"/>
    <w:rsid w:val="39D1471A"/>
    <w:rsid w:val="39D32C64"/>
    <w:rsid w:val="39ED6FFB"/>
    <w:rsid w:val="3A5A0872"/>
    <w:rsid w:val="3A81200E"/>
    <w:rsid w:val="3A850402"/>
    <w:rsid w:val="3A9C399E"/>
    <w:rsid w:val="3AA52E29"/>
    <w:rsid w:val="3AA91B3C"/>
    <w:rsid w:val="3ABB7AA2"/>
    <w:rsid w:val="3AD1189A"/>
    <w:rsid w:val="3AD62A0C"/>
    <w:rsid w:val="3AFD68A7"/>
    <w:rsid w:val="3B0E03F8"/>
    <w:rsid w:val="3B255741"/>
    <w:rsid w:val="3B345984"/>
    <w:rsid w:val="3B36794F"/>
    <w:rsid w:val="3B367AA6"/>
    <w:rsid w:val="3B437161"/>
    <w:rsid w:val="3B44299D"/>
    <w:rsid w:val="3B506C62"/>
    <w:rsid w:val="3B514FD2"/>
    <w:rsid w:val="3B693880"/>
    <w:rsid w:val="3B854AB6"/>
    <w:rsid w:val="3B8E1539"/>
    <w:rsid w:val="3B9D177C"/>
    <w:rsid w:val="3BA046F2"/>
    <w:rsid w:val="3BA50630"/>
    <w:rsid w:val="3BD80550"/>
    <w:rsid w:val="3BE56E1B"/>
    <w:rsid w:val="3BED2DB3"/>
    <w:rsid w:val="3C0E5597"/>
    <w:rsid w:val="3C215F09"/>
    <w:rsid w:val="3C436B55"/>
    <w:rsid w:val="3C4E023B"/>
    <w:rsid w:val="3C595E61"/>
    <w:rsid w:val="3C622D83"/>
    <w:rsid w:val="3C7324DC"/>
    <w:rsid w:val="3CAA7145"/>
    <w:rsid w:val="3CB74ABF"/>
    <w:rsid w:val="3CBD0327"/>
    <w:rsid w:val="3CC0618E"/>
    <w:rsid w:val="3CC35212"/>
    <w:rsid w:val="3CC828E4"/>
    <w:rsid w:val="3CD14C56"/>
    <w:rsid w:val="3CD25455"/>
    <w:rsid w:val="3CD634B7"/>
    <w:rsid w:val="3CE3313A"/>
    <w:rsid w:val="3D2263DC"/>
    <w:rsid w:val="3D2C1009"/>
    <w:rsid w:val="3D502922"/>
    <w:rsid w:val="3D576270"/>
    <w:rsid w:val="3DE60DD6"/>
    <w:rsid w:val="3E004349"/>
    <w:rsid w:val="3E0F7B1D"/>
    <w:rsid w:val="3E234AB8"/>
    <w:rsid w:val="3E4009FD"/>
    <w:rsid w:val="3E444130"/>
    <w:rsid w:val="3E5C1BAD"/>
    <w:rsid w:val="3E9230EE"/>
    <w:rsid w:val="3E9F6F17"/>
    <w:rsid w:val="3EA37CD2"/>
    <w:rsid w:val="3ED74FA5"/>
    <w:rsid w:val="3EE06168"/>
    <w:rsid w:val="3EE85404"/>
    <w:rsid w:val="3F141725"/>
    <w:rsid w:val="3F1B1335"/>
    <w:rsid w:val="3F200257"/>
    <w:rsid w:val="3F286DBF"/>
    <w:rsid w:val="3F8D1475"/>
    <w:rsid w:val="3F975C22"/>
    <w:rsid w:val="3FB5178A"/>
    <w:rsid w:val="3FC64109"/>
    <w:rsid w:val="3FCC77A7"/>
    <w:rsid w:val="3FD65247"/>
    <w:rsid w:val="3FDB385A"/>
    <w:rsid w:val="3FDF6807"/>
    <w:rsid w:val="3FE23C01"/>
    <w:rsid w:val="3FE3145D"/>
    <w:rsid w:val="3FE71217"/>
    <w:rsid w:val="400E0CEC"/>
    <w:rsid w:val="4022565B"/>
    <w:rsid w:val="402266F3"/>
    <w:rsid w:val="403629A3"/>
    <w:rsid w:val="403B122D"/>
    <w:rsid w:val="404B007A"/>
    <w:rsid w:val="405A7C3B"/>
    <w:rsid w:val="405B7334"/>
    <w:rsid w:val="405C70C5"/>
    <w:rsid w:val="40687C2E"/>
    <w:rsid w:val="406B3BF6"/>
    <w:rsid w:val="40C31C84"/>
    <w:rsid w:val="40CD2BBC"/>
    <w:rsid w:val="40CE74E8"/>
    <w:rsid w:val="40D55514"/>
    <w:rsid w:val="40D7128C"/>
    <w:rsid w:val="40FE0F0E"/>
    <w:rsid w:val="41390199"/>
    <w:rsid w:val="414F2671"/>
    <w:rsid w:val="41561B7B"/>
    <w:rsid w:val="415D5C35"/>
    <w:rsid w:val="415F2382"/>
    <w:rsid w:val="41644CA3"/>
    <w:rsid w:val="417C604D"/>
    <w:rsid w:val="418238EE"/>
    <w:rsid w:val="419B0816"/>
    <w:rsid w:val="41DF75B5"/>
    <w:rsid w:val="421568CA"/>
    <w:rsid w:val="422229DB"/>
    <w:rsid w:val="42246753"/>
    <w:rsid w:val="422F2C0A"/>
    <w:rsid w:val="42674891"/>
    <w:rsid w:val="427C658F"/>
    <w:rsid w:val="428728C0"/>
    <w:rsid w:val="42997BDD"/>
    <w:rsid w:val="42AC4D28"/>
    <w:rsid w:val="42B60CBA"/>
    <w:rsid w:val="42BA4570"/>
    <w:rsid w:val="42C43A92"/>
    <w:rsid w:val="42DB62DB"/>
    <w:rsid w:val="42F40D87"/>
    <w:rsid w:val="43141FF9"/>
    <w:rsid w:val="43157031"/>
    <w:rsid w:val="431F6F1A"/>
    <w:rsid w:val="43204D6E"/>
    <w:rsid w:val="433E0C67"/>
    <w:rsid w:val="434171A0"/>
    <w:rsid w:val="434F476D"/>
    <w:rsid w:val="435351D6"/>
    <w:rsid w:val="43661D30"/>
    <w:rsid w:val="436C09A1"/>
    <w:rsid w:val="436E0D52"/>
    <w:rsid w:val="436F047F"/>
    <w:rsid w:val="436F39FE"/>
    <w:rsid w:val="436F7EA2"/>
    <w:rsid w:val="43863FBF"/>
    <w:rsid w:val="43BA63BC"/>
    <w:rsid w:val="43CD1842"/>
    <w:rsid w:val="43E56FFE"/>
    <w:rsid w:val="44071DF4"/>
    <w:rsid w:val="442347E8"/>
    <w:rsid w:val="445B2639"/>
    <w:rsid w:val="44894274"/>
    <w:rsid w:val="44C77869"/>
    <w:rsid w:val="44D51F86"/>
    <w:rsid w:val="44E70410"/>
    <w:rsid w:val="451213EC"/>
    <w:rsid w:val="452B604A"/>
    <w:rsid w:val="453C0257"/>
    <w:rsid w:val="455A06DD"/>
    <w:rsid w:val="458C5FF3"/>
    <w:rsid w:val="458F482B"/>
    <w:rsid w:val="45DA2E00"/>
    <w:rsid w:val="45EF1111"/>
    <w:rsid w:val="460C7409"/>
    <w:rsid w:val="464A2500"/>
    <w:rsid w:val="464C0026"/>
    <w:rsid w:val="464E3D9E"/>
    <w:rsid w:val="465D4CB9"/>
    <w:rsid w:val="46B86825"/>
    <w:rsid w:val="46EA07B2"/>
    <w:rsid w:val="46F506BE"/>
    <w:rsid w:val="46F82CC1"/>
    <w:rsid w:val="4703337B"/>
    <w:rsid w:val="47150D60"/>
    <w:rsid w:val="471E65B1"/>
    <w:rsid w:val="471F1784"/>
    <w:rsid w:val="47242D51"/>
    <w:rsid w:val="473311E6"/>
    <w:rsid w:val="47347438"/>
    <w:rsid w:val="474074AC"/>
    <w:rsid w:val="475A2341"/>
    <w:rsid w:val="4760647F"/>
    <w:rsid w:val="47842F50"/>
    <w:rsid w:val="47844EA6"/>
    <w:rsid w:val="47B71E17"/>
    <w:rsid w:val="47CA7D9C"/>
    <w:rsid w:val="47CC40D8"/>
    <w:rsid w:val="47E726FC"/>
    <w:rsid w:val="48082673"/>
    <w:rsid w:val="480E3260"/>
    <w:rsid w:val="48480CC1"/>
    <w:rsid w:val="48597B07"/>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66335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6D4A0F"/>
    <w:rsid w:val="4A791606"/>
    <w:rsid w:val="4AA541A9"/>
    <w:rsid w:val="4AC24D5B"/>
    <w:rsid w:val="4AD3077D"/>
    <w:rsid w:val="4B1F5D09"/>
    <w:rsid w:val="4B21248D"/>
    <w:rsid w:val="4B313C8F"/>
    <w:rsid w:val="4B6D633F"/>
    <w:rsid w:val="4B797CFE"/>
    <w:rsid w:val="4B96714B"/>
    <w:rsid w:val="4BA95F1B"/>
    <w:rsid w:val="4BB16CD5"/>
    <w:rsid w:val="4BB5666E"/>
    <w:rsid w:val="4BB723FD"/>
    <w:rsid w:val="4BEE2F77"/>
    <w:rsid w:val="4C0F1BEA"/>
    <w:rsid w:val="4C343A36"/>
    <w:rsid w:val="4C3C28EB"/>
    <w:rsid w:val="4C87625C"/>
    <w:rsid w:val="4CA56323"/>
    <w:rsid w:val="4CE4720A"/>
    <w:rsid w:val="4CF66F3E"/>
    <w:rsid w:val="4D0478AD"/>
    <w:rsid w:val="4D0A4797"/>
    <w:rsid w:val="4D187642"/>
    <w:rsid w:val="4D2553D4"/>
    <w:rsid w:val="4D2F41FE"/>
    <w:rsid w:val="4D341814"/>
    <w:rsid w:val="4D56422A"/>
    <w:rsid w:val="4D712FDA"/>
    <w:rsid w:val="4D746E8E"/>
    <w:rsid w:val="4D800456"/>
    <w:rsid w:val="4D862070"/>
    <w:rsid w:val="4D9D385D"/>
    <w:rsid w:val="4DC4703C"/>
    <w:rsid w:val="4DCB3509"/>
    <w:rsid w:val="4DCD7C9F"/>
    <w:rsid w:val="4DE17BEE"/>
    <w:rsid w:val="4E1E6324"/>
    <w:rsid w:val="4E4F4B57"/>
    <w:rsid w:val="4E532F1C"/>
    <w:rsid w:val="4E5C1A72"/>
    <w:rsid w:val="4E615284"/>
    <w:rsid w:val="4EA64556"/>
    <w:rsid w:val="4EA942EC"/>
    <w:rsid w:val="4EC310A1"/>
    <w:rsid w:val="4F043B94"/>
    <w:rsid w:val="4F1B205A"/>
    <w:rsid w:val="4F2B0754"/>
    <w:rsid w:val="4F2E5442"/>
    <w:rsid w:val="4F2F1144"/>
    <w:rsid w:val="4F30313F"/>
    <w:rsid w:val="4F394332"/>
    <w:rsid w:val="4F52580A"/>
    <w:rsid w:val="4F6150B0"/>
    <w:rsid w:val="4F691C49"/>
    <w:rsid w:val="4F6A776F"/>
    <w:rsid w:val="4F702FD7"/>
    <w:rsid w:val="4F707F08"/>
    <w:rsid w:val="4F9273F2"/>
    <w:rsid w:val="4F9E0DC1"/>
    <w:rsid w:val="4FAE58AE"/>
    <w:rsid w:val="4FD277EE"/>
    <w:rsid w:val="4FDA7D75"/>
    <w:rsid w:val="4FF57980"/>
    <w:rsid w:val="50137E07"/>
    <w:rsid w:val="501E6ED7"/>
    <w:rsid w:val="507C775A"/>
    <w:rsid w:val="508D5E0B"/>
    <w:rsid w:val="50B25281"/>
    <w:rsid w:val="50E579F5"/>
    <w:rsid w:val="50E87836"/>
    <w:rsid w:val="50F83282"/>
    <w:rsid w:val="50FB4B23"/>
    <w:rsid w:val="51173459"/>
    <w:rsid w:val="51265C7E"/>
    <w:rsid w:val="512E4EF8"/>
    <w:rsid w:val="514814EC"/>
    <w:rsid w:val="5153670D"/>
    <w:rsid w:val="515F1555"/>
    <w:rsid w:val="518F649D"/>
    <w:rsid w:val="5192197E"/>
    <w:rsid w:val="51A83B47"/>
    <w:rsid w:val="51AC22C1"/>
    <w:rsid w:val="51AE7DE7"/>
    <w:rsid w:val="51B17E6B"/>
    <w:rsid w:val="51CB2747"/>
    <w:rsid w:val="51DB032E"/>
    <w:rsid w:val="51EB4B97"/>
    <w:rsid w:val="5201260D"/>
    <w:rsid w:val="52072F1E"/>
    <w:rsid w:val="5217644D"/>
    <w:rsid w:val="52320275"/>
    <w:rsid w:val="523F4EE3"/>
    <w:rsid w:val="52451D01"/>
    <w:rsid w:val="524620FA"/>
    <w:rsid w:val="5266669A"/>
    <w:rsid w:val="5274360D"/>
    <w:rsid w:val="52756B57"/>
    <w:rsid w:val="52972F71"/>
    <w:rsid w:val="52BF7DD2"/>
    <w:rsid w:val="52DA5E34"/>
    <w:rsid w:val="530A3743"/>
    <w:rsid w:val="53346A12"/>
    <w:rsid w:val="53395DD6"/>
    <w:rsid w:val="5347038D"/>
    <w:rsid w:val="534A6CD4"/>
    <w:rsid w:val="534E7AD3"/>
    <w:rsid w:val="536843C9"/>
    <w:rsid w:val="538B4884"/>
    <w:rsid w:val="53A63921"/>
    <w:rsid w:val="53AC47FA"/>
    <w:rsid w:val="53B4545D"/>
    <w:rsid w:val="53CC5791"/>
    <w:rsid w:val="53D31EA5"/>
    <w:rsid w:val="53D95D45"/>
    <w:rsid w:val="53DA1367"/>
    <w:rsid w:val="53EB53BD"/>
    <w:rsid w:val="53F8359B"/>
    <w:rsid w:val="54505185"/>
    <w:rsid w:val="545671EC"/>
    <w:rsid w:val="54611097"/>
    <w:rsid w:val="5487370E"/>
    <w:rsid w:val="54996483"/>
    <w:rsid w:val="54CD4A28"/>
    <w:rsid w:val="54D15F1A"/>
    <w:rsid w:val="54D264E2"/>
    <w:rsid w:val="54D65699"/>
    <w:rsid w:val="54E01D6C"/>
    <w:rsid w:val="54E47B17"/>
    <w:rsid w:val="54E9481D"/>
    <w:rsid w:val="54F226E1"/>
    <w:rsid w:val="55094443"/>
    <w:rsid w:val="554127C0"/>
    <w:rsid w:val="55560EC1"/>
    <w:rsid w:val="5579695E"/>
    <w:rsid w:val="557D19A9"/>
    <w:rsid w:val="55B87486"/>
    <w:rsid w:val="55C470D8"/>
    <w:rsid w:val="55C91AAD"/>
    <w:rsid w:val="55CE6CAA"/>
    <w:rsid w:val="55DF5DA8"/>
    <w:rsid w:val="55F55C55"/>
    <w:rsid w:val="5635492A"/>
    <w:rsid w:val="56847368"/>
    <w:rsid w:val="56921A85"/>
    <w:rsid w:val="569976E5"/>
    <w:rsid w:val="56D60652"/>
    <w:rsid w:val="56E16569"/>
    <w:rsid w:val="56F25D16"/>
    <w:rsid w:val="56F72230"/>
    <w:rsid w:val="56F770C8"/>
    <w:rsid w:val="56F95FA8"/>
    <w:rsid w:val="570F0DAD"/>
    <w:rsid w:val="57136DC9"/>
    <w:rsid w:val="571C1C97"/>
    <w:rsid w:val="57342B3C"/>
    <w:rsid w:val="57394670"/>
    <w:rsid w:val="57443D1C"/>
    <w:rsid w:val="57460AC2"/>
    <w:rsid w:val="57632E92"/>
    <w:rsid w:val="5769056B"/>
    <w:rsid w:val="57715B3F"/>
    <w:rsid w:val="577949F3"/>
    <w:rsid w:val="579730CB"/>
    <w:rsid w:val="579B705F"/>
    <w:rsid w:val="57F246BE"/>
    <w:rsid w:val="57F648EB"/>
    <w:rsid w:val="580911DE"/>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4F3C5E"/>
    <w:rsid w:val="59617E35"/>
    <w:rsid w:val="596E25BB"/>
    <w:rsid w:val="59722042"/>
    <w:rsid w:val="59777658"/>
    <w:rsid w:val="59796F2C"/>
    <w:rsid w:val="599E0ACF"/>
    <w:rsid w:val="59B03888"/>
    <w:rsid w:val="59C503C4"/>
    <w:rsid w:val="59D95C1D"/>
    <w:rsid w:val="59EC5950"/>
    <w:rsid w:val="59F91818"/>
    <w:rsid w:val="5A172243"/>
    <w:rsid w:val="5A3317D1"/>
    <w:rsid w:val="5A395B76"/>
    <w:rsid w:val="5A432F55"/>
    <w:rsid w:val="5A5878B5"/>
    <w:rsid w:val="5AD63E09"/>
    <w:rsid w:val="5B123195"/>
    <w:rsid w:val="5B223606"/>
    <w:rsid w:val="5B266C40"/>
    <w:rsid w:val="5B4332B6"/>
    <w:rsid w:val="5B4B66A7"/>
    <w:rsid w:val="5B5E0F00"/>
    <w:rsid w:val="5B9E7C72"/>
    <w:rsid w:val="5BA87F9D"/>
    <w:rsid w:val="5BAF4E87"/>
    <w:rsid w:val="5BDE39BF"/>
    <w:rsid w:val="5BE65C1B"/>
    <w:rsid w:val="5BFD68E7"/>
    <w:rsid w:val="5C1271C4"/>
    <w:rsid w:val="5C675762"/>
    <w:rsid w:val="5C682BEC"/>
    <w:rsid w:val="5C904CB9"/>
    <w:rsid w:val="5C9A1694"/>
    <w:rsid w:val="5C9D1184"/>
    <w:rsid w:val="5CA7123C"/>
    <w:rsid w:val="5CAE15E3"/>
    <w:rsid w:val="5CC42BB4"/>
    <w:rsid w:val="5CC826A5"/>
    <w:rsid w:val="5CDC7EFE"/>
    <w:rsid w:val="5CF77950"/>
    <w:rsid w:val="5D066D29"/>
    <w:rsid w:val="5D101956"/>
    <w:rsid w:val="5D441D14"/>
    <w:rsid w:val="5D972077"/>
    <w:rsid w:val="5DAF467E"/>
    <w:rsid w:val="5DCD04E0"/>
    <w:rsid w:val="5DD03A54"/>
    <w:rsid w:val="5DD15BF4"/>
    <w:rsid w:val="5DD25BBB"/>
    <w:rsid w:val="5E1D1CEB"/>
    <w:rsid w:val="5E203E1A"/>
    <w:rsid w:val="5E23390B"/>
    <w:rsid w:val="5E311C0C"/>
    <w:rsid w:val="5E3437C0"/>
    <w:rsid w:val="5E666CD3"/>
    <w:rsid w:val="5E895C8E"/>
    <w:rsid w:val="5ED510A9"/>
    <w:rsid w:val="5F20216B"/>
    <w:rsid w:val="5F36439B"/>
    <w:rsid w:val="5F814D8D"/>
    <w:rsid w:val="5F8959EF"/>
    <w:rsid w:val="5F920D48"/>
    <w:rsid w:val="5FA40A7B"/>
    <w:rsid w:val="5FB07420"/>
    <w:rsid w:val="5FC04410"/>
    <w:rsid w:val="5FC652C4"/>
    <w:rsid w:val="5FC845C3"/>
    <w:rsid w:val="5FCB6F0A"/>
    <w:rsid w:val="5FE62E42"/>
    <w:rsid w:val="601C6864"/>
    <w:rsid w:val="601F4747"/>
    <w:rsid w:val="602F6597"/>
    <w:rsid w:val="6052321D"/>
    <w:rsid w:val="60696BC9"/>
    <w:rsid w:val="608508AD"/>
    <w:rsid w:val="608B150C"/>
    <w:rsid w:val="60A42170"/>
    <w:rsid w:val="60E5134B"/>
    <w:rsid w:val="60EA6574"/>
    <w:rsid w:val="61055AB4"/>
    <w:rsid w:val="611A0FF5"/>
    <w:rsid w:val="612B3202"/>
    <w:rsid w:val="616008F1"/>
    <w:rsid w:val="61847169"/>
    <w:rsid w:val="618625DD"/>
    <w:rsid w:val="61903065"/>
    <w:rsid w:val="61932B55"/>
    <w:rsid w:val="61A0313A"/>
    <w:rsid w:val="61B7149D"/>
    <w:rsid w:val="620852F1"/>
    <w:rsid w:val="621048C9"/>
    <w:rsid w:val="6210694A"/>
    <w:rsid w:val="621641CF"/>
    <w:rsid w:val="62210161"/>
    <w:rsid w:val="62861F1F"/>
    <w:rsid w:val="628D65B6"/>
    <w:rsid w:val="629139EC"/>
    <w:rsid w:val="62917095"/>
    <w:rsid w:val="62A16A87"/>
    <w:rsid w:val="62CF7FE7"/>
    <w:rsid w:val="62D903C1"/>
    <w:rsid w:val="62D94CCA"/>
    <w:rsid w:val="631D2A8C"/>
    <w:rsid w:val="6331548A"/>
    <w:rsid w:val="63462575"/>
    <w:rsid w:val="63493E13"/>
    <w:rsid w:val="635A1B7D"/>
    <w:rsid w:val="63666773"/>
    <w:rsid w:val="638B7F88"/>
    <w:rsid w:val="63936E3D"/>
    <w:rsid w:val="63A64DC2"/>
    <w:rsid w:val="63A90E76"/>
    <w:rsid w:val="63B55005"/>
    <w:rsid w:val="63BF5E84"/>
    <w:rsid w:val="63CB5CCC"/>
    <w:rsid w:val="63EB4ECB"/>
    <w:rsid w:val="63F975E8"/>
    <w:rsid w:val="63FA3360"/>
    <w:rsid w:val="640B731B"/>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451957"/>
    <w:rsid w:val="65655FE1"/>
    <w:rsid w:val="659770B8"/>
    <w:rsid w:val="65B46366"/>
    <w:rsid w:val="65BD63F3"/>
    <w:rsid w:val="65CB4FB4"/>
    <w:rsid w:val="65D025CA"/>
    <w:rsid w:val="65ED6CD8"/>
    <w:rsid w:val="65F570CF"/>
    <w:rsid w:val="66320B8F"/>
    <w:rsid w:val="663E7534"/>
    <w:rsid w:val="66447F2A"/>
    <w:rsid w:val="66594119"/>
    <w:rsid w:val="66661757"/>
    <w:rsid w:val="667C005C"/>
    <w:rsid w:val="66976C44"/>
    <w:rsid w:val="669B7B39"/>
    <w:rsid w:val="66AC7A81"/>
    <w:rsid w:val="66AE4D0B"/>
    <w:rsid w:val="66B84695"/>
    <w:rsid w:val="66CA300B"/>
    <w:rsid w:val="66D103A8"/>
    <w:rsid w:val="66D33D9A"/>
    <w:rsid w:val="66DE0D17"/>
    <w:rsid w:val="66EC21B2"/>
    <w:rsid w:val="66EF6A80"/>
    <w:rsid w:val="66F306C7"/>
    <w:rsid w:val="66F978FF"/>
    <w:rsid w:val="66FB71D3"/>
    <w:rsid w:val="67042B58"/>
    <w:rsid w:val="670D5158"/>
    <w:rsid w:val="67461D48"/>
    <w:rsid w:val="67472418"/>
    <w:rsid w:val="67486190"/>
    <w:rsid w:val="674A6CAF"/>
    <w:rsid w:val="676034DA"/>
    <w:rsid w:val="67694A84"/>
    <w:rsid w:val="67784F2E"/>
    <w:rsid w:val="678A67A9"/>
    <w:rsid w:val="678F1925"/>
    <w:rsid w:val="67942577"/>
    <w:rsid w:val="67A92539"/>
    <w:rsid w:val="67CA4EF1"/>
    <w:rsid w:val="67E20393"/>
    <w:rsid w:val="67F76A7E"/>
    <w:rsid w:val="67F86871"/>
    <w:rsid w:val="68190258"/>
    <w:rsid w:val="684352D5"/>
    <w:rsid w:val="684D1CB0"/>
    <w:rsid w:val="685B2981"/>
    <w:rsid w:val="686F7E78"/>
    <w:rsid w:val="687E630D"/>
    <w:rsid w:val="688659DE"/>
    <w:rsid w:val="688B0A2A"/>
    <w:rsid w:val="68A5389A"/>
    <w:rsid w:val="68AF3CA2"/>
    <w:rsid w:val="68BB130F"/>
    <w:rsid w:val="68CB0E27"/>
    <w:rsid w:val="68CC560D"/>
    <w:rsid w:val="68E97265"/>
    <w:rsid w:val="68EF0FB9"/>
    <w:rsid w:val="68F16ADF"/>
    <w:rsid w:val="691E189E"/>
    <w:rsid w:val="692635EB"/>
    <w:rsid w:val="69342E70"/>
    <w:rsid w:val="693B41FE"/>
    <w:rsid w:val="6951757E"/>
    <w:rsid w:val="69561384"/>
    <w:rsid w:val="69763488"/>
    <w:rsid w:val="69775165"/>
    <w:rsid w:val="69807E63"/>
    <w:rsid w:val="69B230A2"/>
    <w:rsid w:val="69E2224C"/>
    <w:rsid w:val="6A136F29"/>
    <w:rsid w:val="6A187723"/>
    <w:rsid w:val="6A1D1B56"/>
    <w:rsid w:val="6A1D2B18"/>
    <w:rsid w:val="6A533C58"/>
    <w:rsid w:val="6A595414"/>
    <w:rsid w:val="6A5A4A67"/>
    <w:rsid w:val="6A6E7FF3"/>
    <w:rsid w:val="6A700C09"/>
    <w:rsid w:val="6A8E3BBF"/>
    <w:rsid w:val="6AC57AA5"/>
    <w:rsid w:val="6B3B6738"/>
    <w:rsid w:val="6B685053"/>
    <w:rsid w:val="6B7F4739"/>
    <w:rsid w:val="6B8A4FC9"/>
    <w:rsid w:val="6B9A5FD4"/>
    <w:rsid w:val="6BA75B7B"/>
    <w:rsid w:val="6C042FCD"/>
    <w:rsid w:val="6C20148A"/>
    <w:rsid w:val="6C6B4DFB"/>
    <w:rsid w:val="6C9431CC"/>
    <w:rsid w:val="6CAB1AEE"/>
    <w:rsid w:val="6CAE2F39"/>
    <w:rsid w:val="6CAF10DA"/>
    <w:rsid w:val="6CB513FE"/>
    <w:rsid w:val="6CDA06B8"/>
    <w:rsid w:val="6D0715F8"/>
    <w:rsid w:val="6D0776FF"/>
    <w:rsid w:val="6D426B56"/>
    <w:rsid w:val="6D920165"/>
    <w:rsid w:val="6DBB5AC1"/>
    <w:rsid w:val="6DCF4F15"/>
    <w:rsid w:val="6E0468F3"/>
    <w:rsid w:val="6E0F7A08"/>
    <w:rsid w:val="6E3000AA"/>
    <w:rsid w:val="6E38263C"/>
    <w:rsid w:val="6E526272"/>
    <w:rsid w:val="6E573B2B"/>
    <w:rsid w:val="6EA2373C"/>
    <w:rsid w:val="6EDF387E"/>
    <w:rsid w:val="6F0B01CF"/>
    <w:rsid w:val="6F241291"/>
    <w:rsid w:val="6F3F60CB"/>
    <w:rsid w:val="6F636555"/>
    <w:rsid w:val="6F6F075E"/>
    <w:rsid w:val="6F7658CB"/>
    <w:rsid w:val="6F976FBE"/>
    <w:rsid w:val="6FA359EB"/>
    <w:rsid w:val="6FB42615"/>
    <w:rsid w:val="6FC36CFC"/>
    <w:rsid w:val="6FCA63E4"/>
    <w:rsid w:val="6FD26F3F"/>
    <w:rsid w:val="6FF218DD"/>
    <w:rsid w:val="6FF42BE0"/>
    <w:rsid w:val="6FFC41AF"/>
    <w:rsid w:val="704C4F43"/>
    <w:rsid w:val="706C2EEF"/>
    <w:rsid w:val="70761F1B"/>
    <w:rsid w:val="708C1ED2"/>
    <w:rsid w:val="709B0FB4"/>
    <w:rsid w:val="70CB230C"/>
    <w:rsid w:val="70CD6084"/>
    <w:rsid w:val="70E32593"/>
    <w:rsid w:val="70E801A2"/>
    <w:rsid w:val="7104581E"/>
    <w:rsid w:val="71132E62"/>
    <w:rsid w:val="711D41EA"/>
    <w:rsid w:val="71222297"/>
    <w:rsid w:val="714348B5"/>
    <w:rsid w:val="71554590"/>
    <w:rsid w:val="715D01AD"/>
    <w:rsid w:val="71907D70"/>
    <w:rsid w:val="719941B8"/>
    <w:rsid w:val="719E357C"/>
    <w:rsid w:val="71A87F57"/>
    <w:rsid w:val="71BD1788"/>
    <w:rsid w:val="71C50B09"/>
    <w:rsid w:val="71EF1426"/>
    <w:rsid w:val="720F7FD6"/>
    <w:rsid w:val="72335307"/>
    <w:rsid w:val="723979C9"/>
    <w:rsid w:val="727265AC"/>
    <w:rsid w:val="727B1B10"/>
    <w:rsid w:val="727D13E4"/>
    <w:rsid w:val="72830D8E"/>
    <w:rsid w:val="7294672D"/>
    <w:rsid w:val="72A526E9"/>
    <w:rsid w:val="72D71070"/>
    <w:rsid w:val="72DC64EA"/>
    <w:rsid w:val="72EC1039"/>
    <w:rsid w:val="72F03B17"/>
    <w:rsid w:val="72F0605A"/>
    <w:rsid w:val="72F13B80"/>
    <w:rsid w:val="73004C2C"/>
    <w:rsid w:val="7304330F"/>
    <w:rsid w:val="730733D7"/>
    <w:rsid w:val="732E5FCC"/>
    <w:rsid w:val="73337CF4"/>
    <w:rsid w:val="733817AF"/>
    <w:rsid w:val="7339578B"/>
    <w:rsid w:val="73412411"/>
    <w:rsid w:val="734463A5"/>
    <w:rsid w:val="73520AC2"/>
    <w:rsid w:val="7358775B"/>
    <w:rsid w:val="7367665C"/>
    <w:rsid w:val="73840550"/>
    <w:rsid w:val="739509AF"/>
    <w:rsid w:val="73B4382B"/>
    <w:rsid w:val="73C052CC"/>
    <w:rsid w:val="73ED2599"/>
    <w:rsid w:val="740D6797"/>
    <w:rsid w:val="74113F05"/>
    <w:rsid w:val="74163F16"/>
    <w:rsid w:val="741C69DA"/>
    <w:rsid w:val="742424F5"/>
    <w:rsid w:val="744103B3"/>
    <w:rsid w:val="7450221E"/>
    <w:rsid w:val="74566390"/>
    <w:rsid w:val="749F595E"/>
    <w:rsid w:val="74AA2238"/>
    <w:rsid w:val="74DF0134"/>
    <w:rsid w:val="75114065"/>
    <w:rsid w:val="751A5610"/>
    <w:rsid w:val="7539539D"/>
    <w:rsid w:val="75695C4F"/>
    <w:rsid w:val="759248B8"/>
    <w:rsid w:val="759C7DD3"/>
    <w:rsid w:val="75A153E9"/>
    <w:rsid w:val="75BC78C8"/>
    <w:rsid w:val="75C16C63"/>
    <w:rsid w:val="75CB6E7D"/>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7E0639"/>
    <w:rsid w:val="76B4739E"/>
    <w:rsid w:val="76C75323"/>
    <w:rsid w:val="76D1655C"/>
    <w:rsid w:val="76D25D41"/>
    <w:rsid w:val="76E666DE"/>
    <w:rsid w:val="76E72AA0"/>
    <w:rsid w:val="76FA1255"/>
    <w:rsid w:val="771A711A"/>
    <w:rsid w:val="771D4F43"/>
    <w:rsid w:val="772A600E"/>
    <w:rsid w:val="77336515"/>
    <w:rsid w:val="77362975"/>
    <w:rsid w:val="77577349"/>
    <w:rsid w:val="775A6197"/>
    <w:rsid w:val="77780980"/>
    <w:rsid w:val="77907125"/>
    <w:rsid w:val="77955421"/>
    <w:rsid w:val="779F27A2"/>
    <w:rsid w:val="77A411C1"/>
    <w:rsid w:val="77B238DE"/>
    <w:rsid w:val="77D82E88"/>
    <w:rsid w:val="77F71C38"/>
    <w:rsid w:val="78070D5F"/>
    <w:rsid w:val="78106856"/>
    <w:rsid w:val="781E4FE7"/>
    <w:rsid w:val="788025A7"/>
    <w:rsid w:val="7884096A"/>
    <w:rsid w:val="78850FF2"/>
    <w:rsid w:val="78B00B1E"/>
    <w:rsid w:val="78B611AB"/>
    <w:rsid w:val="78CA10FB"/>
    <w:rsid w:val="78E03E67"/>
    <w:rsid w:val="78F06D68"/>
    <w:rsid w:val="78F55DA6"/>
    <w:rsid w:val="79236E7C"/>
    <w:rsid w:val="792A1B99"/>
    <w:rsid w:val="794013BD"/>
    <w:rsid w:val="796B1B89"/>
    <w:rsid w:val="797B008A"/>
    <w:rsid w:val="797B2AB7"/>
    <w:rsid w:val="798C015E"/>
    <w:rsid w:val="79921C19"/>
    <w:rsid w:val="79A15CCA"/>
    <w:rsid w:val="79C618C2"/>
    <w:rsid w:val="79E46056"/>
    <w:rsid w:val="7A0C534E"/>
    <w:rsid w:val="7A222CE3"/>
    <w:rsid w:val="7A8C2B0C"/>
    <w:rsid w:val="7A8E7C8A"/>
    <w:rsid w:val="7A9F01F0"/>
    <w:rsid w:val="7B0152A5"/>
    <w:rsid w:val="7B0D0265"/>
    <w:rsid w:val="7B112B38"/>
    <w:rsid w:val="7B2A5E81"/>
    <w:rsid w:val="7B2C7E4B"/>
    <w:rsid w:val="7B2F16E9"/>
    <w:rsid w:val="7B7567C0"/>
    <w:rsid w:val="7B7B66DC"/>
    <w:rsid w:val="7B7D2454"/>
    <w:rsid w:val="7B8975E7"/>
    <w:rsid w:val="7B9072BC"/>
    <w:rsid w:val="7B944A08"/>
    <w:rsid w:val="7B9F57C7"/>
    <w:rsid w:val="7BBA7205"/>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E56503"/>
    <w:rsid w:val="7D1066E2"/>
    <w:rsid w:val="7D227CB6"/>
    <w:rsid w:val="7D300C5A"/>
    <w:rsid w:val="7D38357D"/>
    <w:rsid w:val="7D4C0330"/>
    <w:rsid w:val="7D811B7B"/>
    <w:rsid w:val="7D836171"/>
    <w:rsid w:val="7DBA0B43"/>
    <w:rsid w:val="7E3E4800"/>
    <w:rsid w:val="7E7F0292"/>
    <w:rsid w:val="7E835AFC"/>
    <w:rsid w:val="7E851714"/>
    <w:rsid w:val="7E966D9F"/>
    <w:rsid w:val="7EA45F4A"/>
    <w:rsid w:val="7EF163A6"/>
    <w:rsid w:val="7F0D7FB9"/>
    <w:rsid w:val="7F2B0D53"/>
    <w:rsid w:val="7F4E65E2"/>
    <w:rsid w:val="7F6A7194"/>
    <w:rsid w:val="7F7A792C"/>
    <w:rsid w:val="7F7F5D50"/>
    <w:rsid w:val="7F8A49C6"/>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5">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6">
    <w:name w:val="annotation text"/>
    <w:basedOn w:val="1"/>
    <w:link w:val="22"/>
    <w:qFormat/>
    <w:uiPriority w:val="0"/>
    <w:pPr>
      <w:jc w:val="left"/>
    </w:p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6"/>
    <w:next w:val="6"/>
    <w:link w:val="23"/>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page number"/>
    <w:basedOn w:val="15"/>
    <w:qFormat/>
    <w:uiPriority w:val="0"/>
  </w:style>
  <w:style w:type="character" w:styleId="18">
    <w:name w:val="FollowedHyperlink"/>
    <w:basedOn w:val="15"/>
    <w:qFormat/>
    <w:uiPriority w:val="0"/>
    <w:rPr>
      <w:color w:val="000000"/>
      <w:u w:val="single"/>
    </w:rPr>
  </w:style>
  <w:style w:type="character" w:styleId="19">
    <w:name w:val="Hyperlink"/>
    <w:basedOn w:val="15"/>
    <w:qFormat/>
    <w:uiPriority w:val="0"/>
    <w:rPr>
      <w:color w:val="000000"/>
      <w:u w:val="single"/>
    </w:rPr>
  </w:style>
  <w:style w:type="character" w:styleId="20">
    <w:name w:val="annotation reference"/>
    <w:basedOn w:val="15"/>
    <w:qFormat/>
    <w:uiPriority w:val="0"/>
    <w:rPr>
      <w:sz w:val="21"/>
      <w:szCs w:val="21"/>
    </w:rPr>
  </w:style>
  <w:style w:type="character" w:customStyle="1" w:styleId="21">
    <w:name w:val="批注框文本 Char"/>
    <w:basedOn w:val="15"/>
    <w:link w:val="7"/>
    <w:qFormat/>
    <w:uiPriority w:val="0"/>
    <w:rPr>
      <w:rFonts w:ascii="Times New Roman" w:hAnsi="Times New Roman"/>
      <w:kern w:val="2"/>
      <w:sz w:val="18"/>
      <w:szCs w:val="18"/>
    </w:rPr>
  </w:style>
  <w:style w:type="character" w:customStyle="1" w:styleId="22">
    <w:name w:val="批注文字 Char"/>
    <w:basedOn w:val="15"/>
    <w:link w:val="6"/>
    <w:qFormat/>
    <w:uiPriority w:val="0"/>
    <w:rPr>
      <w:rFonts w:ascii="Times New Roman" w:hAnsi="Times New Roman"/>
      <w:kern w:val="2"/>
      <w:sz w:val="21"/>
      <w:szCs w:val="22"/>
    </w:rPr>
  </w:style>
  <w:style w:type="character" w:customStyle="1" w:styleId="23">
    <w:name w:val="批注主题 Char"/>
    <w:basedOn w:val="22"/>
    <w:link w:val="12"/>
    <w:qFormat/>
    <w:uiPriority w:val="0"/>
  </w:style>
  <w:style w:type="character" w:customStyle="1" w:styleId="24">
    <w:name w:val="font51"/>
    <w:basedOn w:val="15"/>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5"/>
    <w:qFormat/>
    <w:uiPriority w:val="0"/>
    <w:rPr>
      <w:rFonts w:hint="eastAsia" w:ascii="仿宋" w:hAnsi="仿宋" w:eastAsia="仿宋" w:cs="仿宋"/>
      <w:color w:val="000000"/>
      <w:sz w:val="24"/>
      <w:szCs w:val="24"/>
      <w:u w:val="none"/>
    </w:rPr>
  </w:style>
  <w:style w:type="character" w:customStyle="1" w:styleId="27">
    <w:name w:val="font41"/>
    <w:basedOn w:val="15"/>
    <w:qFormat/>
    <w:uiPriority w:val="0"/>
    <w:rPr>
      <w:rFonts w:hint="eastAsia" w:ascii="仿宋" w:hAnsi="仿宋" w:eastAsia="仿宋" w:cs="仿宋"/>
      <w:b/>
      <w:bCs/>
      <w:color w:val="000000"/>
      <w:sz w:val="28"/>
      <w:szCs w:val="28"/>
      <w:u w:val="none"/>
    </w:rPr>
  </w:style>
  <w:style w:type="character" w:customStyle="1" w:styleId="28">
    <w:name w:val="font11"/>
    <w:basedOn w:val="15"/>
    <w:qFormat/>
    <w:uiPriority w:val="0"/>
    <w:rPr>
      <w:rFonts w:hint="eastAsia" w:ascii="仿宋" w:hAnsi="仿宋" w:eastAsia="仿宋" w:cs="仿宋"/>
      <w:color w:val="000000"/>
      <w:sz w:val="28"/>
      <w:szCs w:val="28"/>
      <w:u w:val="none"/>
    </w:rPr>
  </w:style>
  <w:style w:type="character" w:customStyle="1" w:styleId="29">
    <w:name w:val="font21"/>
    <w:basedOn w:val="15"/>
    <w:qFormat/>
    <w:uiPriority w:val="0"/>
    <w:rPr>
      <w:rFonts w:ascii="Arial" w:hAnsi="Arial" w:cs="Arial"/>
      <w:color w:val="000000"/>
      <w:sz w:val="28"/>
      <w:szCs w:val="28"/>
      <w:u w:val="none"/>
    </w:rPr>
  </w:style>
  <w:style w:type="paragraph" w:customStyle="1" w:styleId="30">
    <w:name w:val="列出段落1"/>
    <w:basedOn w:val="1"/>
    <w:unhideWhenUsed/>
    <w:qFormat/>
    <w:uiPriority w:val="99"/>
    <w:pPr>
      <w:ind w:firstLine="420" w:firstLineChars="200"/>
    </w:pPr>
  </w:style>
  <w:style w:type="character" w:customStyle="1" w:styleId="31">
    <w:name w:val="href"/>
    <w:basedOn w:val="15"/>
    <w:qFormat/>
    <w:uiPriority w:val="0"/>
    <w:rPr>
      <w:color w:val="0000FF"/>
      <w:u w:val="single"/>
    </w:rPr>
  </w:style>
  <w:style w:type="character" w:customStyle="1" w:styleId="32">
    <w:name w:val="first-child"/>
    <w:basedOn w:val="15"/>
    <w:qFormat/>
    <w:uiPriority w:val="0"/>
    <w:rPr>
      <w:vanish/>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18</Pages>
  <Words>13621</Words>
  <Characters>14495</Characters>
  <Lines>111</Lines>
  <Paragraphs>31</Paragraphs>
  <TotalTime>0</TotalTime>
  <ScaleCrop>false</ScaleCrop>
  <LinksUpToDate>false</LinksUpToDate>
  <CharactersWithSpaces>14842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2022-02-28T01:47:00Z</cp:lastPrinted>
  <dcterms:modified xsi:type="dcterms:W3CDTF">2023-02-22T03:57:47Z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36A86CF6914B48E79DFD37D277CBD36F</vt:lpwstr>
  </property>
</Properties>
</file>