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CFA0A">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1EDE7D3A">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5CE820A2">
      <w:pPr>
        <w:pageBreakBefore w:val="0"/>
        <w:wordWrap/>
        <w:topLinePunct w:val="0"/>
        <w:bidi w:val="0"/>
        <w:spacing w:line="360" w:lineRule="auto"/>
        <w:ind w:left="-199" w:leftChars="-95" w:firstLine="360" w:firstLineChars="150"/>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965200</wp:posOffset>
            </wp:positionH>
            <wp:positionV relativeFrom="paragraph">
              <wp:posOffset>30480</wp:posOffset>
            </wp:positionV>
            <wp:extent cx="4288790" cy="690245"/>
            <wp:effectExtent l="0" t="0" r="16510" b="1460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10"/>
                    <a:stretch>
                      <a:fillRect/>
                    </a:stretch>
                  </pic:blipFill>
                  <pic:spPr>
                    <a:xfrm>
                      <a:off x="0" y="0"/>
                      <a:ext cx="4288790" cy="690245"/>
                    </a:xfrm>
                    <a:prstGeom prst="rect">
                      <a:avLst/>
                    </a:prstGeom>
                    <a:noFill/>
                    <a:ln>
                      <a:noFill/>
                    </a:ln>
                  </pic:spPr>
                </pic:pic>
              </a:graphicData>
            </a:graphic>
          </wp:anchor>
        </w:drawing>
      </w:r>
    </w:p>
    <w:p w14:paraId="76C052A5">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0581EBB4">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12D6EA43">
      <w:pPr>
        <w:keepNext w:val="0"/>
        <w:keepLines w:val="0"/>
        <w:pageBreakBefore w:val="0"/>
        <w:widowControl w:val="0"/>
        <w:kinsoku/>
        <w:wordWrap/>
        <w:overflowPunct/>
        <w:topLinePunct w:val="0"/>
        <w:autoSpaceDE/>
        <w:autoSpaceDN/>
        <w:bidi w:val="0"/>
        <w:adjustRightInd/>
        <w:snapToGrid/>
        <w:spacing w:line="360" w:lineRule="auto"/>
        <w:ind w:left="-199" w:leftChars="-95" w:firstLine="783" w:firstLineChars="150"/>
        <w:jc w:val="center"/>
        <w:textAlignment w:val="auto"/>
        <w:rPr>
          <w:rFonts w:hint="eastAsia" w:ascii="仿宋" w:hAnsi="仿宋" w:eastAsia="仿宋" w:cs="仿宋"/>
          <w:b/>
          <w:color w:val="auto"/>
          <w:sz w:val="52"/>
          <w:szCs w:val="52"/>
          <w:highlight w:val="none"/>
          <w:u w:val="single"/>
          <w:shd w:val="clear" w:color="auto" w:fill="auto"/>
          <w:lang w:val="en-US" w:eastAsia="zh-CN"/>
        </w:rPr>
      </w:pPr>
    </w:p>
    <w:p w14:paraId="4BC039A6">
      <w:pPr>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仿宋" w:hAnsi="仿宋" w:eastAsia="仿宋" w:cs="仿宋"/>
          <w:b/>
          <w:color w:val="auto"/>
          <w:sz w:val="52"/>
          <w:szCs w:val="52"/>
          <w:highlight w:val="none"/>
          <w:u w:val="single"/>
          <w:shd w:val="clear" w:color="auto" w:fill="auto"/>
          <w:lang w:val="en-US" w:eastAsia="zh-CN"/>
        </w:rPr>
      </w:pPr>
    </w:p>
    <w:p w14:paraId="21F879AB">
      <w:pPr>
        <w:keepNext w:val="0"/>
        <w:keepLines w:val="0"/>
        <w:pageBreakBefore w:val="0"/>
        <w:widowControl w:val="0"/>
        <w:kinsoku/>
        <w:wordWrap/>
        <w:overflowPunct/>
        <w:topLinePunct w:val="0"/>
        <w:autoSpaceDE/>
        <w:autoSpaceDN/>
        <w:bidi w:val="0"/>
        <w:adjustRightInd/>
        <w:snapToGrid w:val="0"/>
        <w:spacing w:before="469" w:beforeLines="150" w:line="360" w:lineRule="auto"/>
        <w:jc w:val="center"/>
        <w:textAlignment w:val="auto"/>
        <w:outlineLvl w:val="0"/>
        <w:rPr>
          <w:rFonts w:hint="eastAsia" w:ascii="仿宋" w:hAnsi="仿宋" w:eastAsia="仿宋" w:cs="仿宋"/>
          <w:b/>
          <w:color w:val="auto"/>
          <w:sz w:val="48"/>
          <w:szCs w:val="48"/>
          <w:highlight w:val="none"/>
          <w:u w:val="none"/>
          <w:lang w:val="en-US" w:eastAsia="zh-CN"/>
        </w:rPr>
      </w:pPr>
      <w:bookmarkStart w:id="0" w:name="_Toc31196"/>
      <w:bookmarkStart w:id="1" w:name="_Toc4166"/>
      <w:bookmarkStart w:id="2" w:name="_Toc2687"/>
      <w:bookmarkStart w:id="3" w:name="_Toc17"/>
      <w:bookmarkStart w:id="4" w:name="_Toc25781"/>
      <w:bookmarkStart w:id="5" w:name="_Toc12665"/>
      <w:bookmarkStart w:id="6" w:name="_Toc17976"/>
      <w:bookmarkStart w:id="7" w:name="_Toc21151"/>
      <w:bookmarkStart w:id="8" w:name="_Toc11175"/>
      <w:bookmarkStart w:id="9" w:name="_Toc21152"/>
      <w:bookmarkStart w:id="10" w:name="_Toc7508"/>
      <w:r>
        <w:rPr>
          <w:rFonts w:hint="eastAsia" w:ascii="仿宋" w:hAnsi="仿宋" w:eastAsia="仿宋" w:cs="仿宋"/>
          <w:b w:val="0"/>
          <w:bCs/>
          <w:color w:val="auto"/>
          <w:sz w:val="48"/>
          <w:szCs w:val="48"/>
          <w:highlight w:val="none"/>
          <w:u w:val="none"/>
          <w:lang w:val="en-US" w:eastAsia="zh-CN"/>
        </w:rPr>
        <w:t>玉林（福绵）节能环保产业园南部工业供水厂建设项目（二期5万吨/天）生活区铁床</w:t>
      </w:r>
    </w:p>
    <w:p w14:paraId="6A524A24">
      <w:pPr>
        <w:keepNext w:val="0"/>
        <w:keepLines w:val="0"/>
        <w:pageBreakBefore w:val="0"/>
        <w:widowControl w:val="0"/>
        <w:kinsoku/>
        <w:wordWrap/>
        <w:overflowPunct/>
        <w:topLinePunct w:val="0"/>
        <w:autoSpaceDE/>
        <w:autoSpaceDN/>
        <w:bidi w:val="0"/>
        <w:adjustRightInd/>
        <w:snapToGrid w:val="0"/>
        <w:spacing w:before="469" w:beforeLines="150" w:line="360" w:lineRule="auto"/>
        <w:jc w:val="center"/>
        <w:textAlignment w:val="auto"/>
        <w:outlineLvl w:val="0"/>
        <w:rPr>
          <w:rFonts w:hint="eastAsia" w:ascii="仿宋" w:hAnsi="仿宋" w:eastAsia="仿宋" w:cs="仿宋"/>
          <w:b/>
          <w:color w:val="auto"/>
          <w:sz w:val="44"/>
          <w:szCs w:val="44"/>
          <w:highlight w:val="none"/>
          <w:shd w:val="clear" w:color="auto" w:fill="auto"/>
          <w:lang w:val="en-US" w:eastAsia="zh-CN"/>
        </w:rPr>
      </w:pPr>
      <w:r>
        <w:rPr>
          <w:rFonts w:hint="eastAsia" w:ascii="仿宋" w:hAnsi="仿宋" w:eastAsia="仿宋" w:cs="仿宋"/>
          <w:b/>
          <w:color w:val="auto"/>
          <w:sz w:val="44"/>
          <w:szCs w:val="44"/>
          <w:highlight w:val="none"/>
          <w:shd w:val="clear" w:color="auto" w:fill="auto"/>
          <w:lang w:val="en-US" w:eastAsia="zh-CN"/>
        </w:rPr>
        <w:t>购</w:t>
      </w:r>
      <w:bookmarkEnd w:id="0"/>
      <w:bookmarkEnd w:id="1"/>
      <w:bookmarkEnd w:id="2"/>
      <w:bookmarkEnd w:id="3"/>
      <w:bookmarkEnd w:id="4"/>
      <w:bookmarkEnd w:id="5"/>
      <w:bookmarkEnd w:id="6"/>
      <w:bookmarkEnd w:id="7"/>
      <w:bookmarkEnd w:id="8"/>
      <w:bookmarkEnd w:id="9"/>
      <w:bookmarkEnd w:id="10"/>
    </w:p>
    <w:p w14:paraId="6C9B031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44"/>
          <w:szCs w:val="44"/>
          <w:highlight w:val="none"/>
          <w:shd w:val="clear" w:color="auto" w:fill="auto"/>
          <w:lang w:val="en-US" w:eastAsia="zh-CN"/>
        </w:rPr>
      </w:pPr>
      <w:bookmarkStart w:id="11" w:name="_Toc19526"/>
      <w:bookmarkStart w:id="12" w:name="_Toc10524"/>
      <w:bookmarkStart w:id="13" w:name="_Toc5858"/>
      <w:bookmarkStart w:id="14" w:name="_Toc4379"/>
      <w:bookmarkStart w:id="15" w:name="_Toc7457"/>
      <w:bookmarkStart w:id="16" w:name="_Toc32305"/>
      <w:bookmarkStart w:id="17" w:name="_Toc21502"/>
      <w:bookmarkStart w:id="18" w:name="_Toc11121"/>
      <w:bookmarkStart w:id="19" w:name="_Toc5036"/>
      <w:bookmarkStart w:id="20" w:name="_Toc23932"/>
      <w:bookmarkStart w:id="21" w:name="_Toc26031"/>
      <w:r>
        <w:rPr>
          <w:rFonts w:hint="eastAsia" w:ascii="仿宋" w:hAnsi="仿宋" w:eastAsia="仿宋" w:cs="仿宋"/>
          <w:b/>
          <w:color w:val="auto"/>
          <w:sz w:val="44"/>
          <w:szCs w:val="44"/>
          <w:highlight w:val="none"/>
          <w:shd w:val="clear" w:color="auto" w:fill="auto"/>
          <w:lang w:val="en-US" w:eastAsia="zh-CN"/>
        </w:rPr>
        <w:t>销</w:t>
      </w:r>
      <w:bookmarkEnd w:id="11"/>
      <w:bookmarkEnd w:id="12"/>
      <w:bookmarkEnd w:id="13"/>
      <w:bookmarkEnd w:id="14"/>
      <w:bookmarkEnd w:id="15"/>
      <w:bookmarkEnd w:id="16"/>
      <w:bookmarkEnd w:id="17"/>
      <w:bookmarkEnd w:id="18"/>
      <w:bookmarkEnd w:id="19"/>
      <w:bookmarkEnd w:id="20"/>
      <w:bookmarkEnd w:id="21"/>
    </w:p>
    <w:p w14:paraId="3985919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44"/>
          <w:szCs w:val="44"/>
          <w:highlight w:val="none"/>
          <w:shd w:val="clear" w:color="auto" w:fill="auto"/>
          <w:lang w:val="en-US" w:eastAsia="zh-CN"/>
        </w:rPr>
      </w:pPr>
      <w:bookmarkStart w:id="22" w:name="_Toc31378"/>
      <w:bookmarkStart w:id="23" w:name="_Toc13495"/>
      <w:bookmarkStart w:id="24" w:name="_Toc7110"/>
      <w:bookmarkStart w:id="25" w:name="_Toc5530"/>
      <w:bookmarkStart w:id="26" w:name="_Toc5299"/>
      <w:bookmarkStart w:id="27" w:name="_Toc27505"/>
      <w:bookmarkStart w:id="28" w:name="_Toc2135"/>
      <w:bookmarkStart w:id="29" w:name="_Toc25801"/>
      <w:bookmarkStart w:id="30" w:name="_Toc14019"/>
      <w:bookmarkStart w:id="31" w:name="_Toc21640"/>
      <w:bookmarkStart w:id="32" w:name="_Toc25139"/>
      <w:r>
        <w:rPr>
          <w:rFonts w:hint="eastAsia" w:ascii="仿宋" w:hAnsi="仿宋" w:eastAsia="仿宋" w:cs="仿宋"/>
          <w:b/>
          <w:color w:val="auto"/>
          <w:sz w:val="44"/>
          <w:szCs w:val="44"/>
          <w:highlight w:val="none"/>
          <w:shd w:val="clear" w:color="auto" w:fill="auto"/>
          <w:lang w:val="en-US" w:eastAsia="zh-CN"/>
        </w:rPr>
        <w:t>合</w:t>
      </w:r>
      <w:bookmarkEnd w:id="22"/>
      <w:bookmarkEnd w:id="23"/>
      <w:bookmarkEnd w:id="24"/>
      <w:bookmarkEnd w:id="25"/>
      <w:bookmarkEnd w:id="26"/>
      <w:bookmarkEnd w:id="27"/>
      <w:bookmarkEnd w:id="28"/>
      <w:bookmarkEnd w:id="29"/>
      <w:bookmarkEnd w:id="30"/>
      <w:bookmarkEnd w:id="31"/>
      <w:bookmarkEnd w:id="32"/>
    </w:p>
    <w:p w14:paraId="4454FBC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color w:val="auto"/>
          <w:highlight w:val="none"/>
          <w:shd w:val="clear" w:color="auto" w:fill="auto"/>
          <w:lang w:val="en-US" w:eastAsia="zh-CN"/>
        </w:rPr>
      </w:pPr>
      <w:bookmarkStart w:id="33" w:name="_Toc24786"/>
      <w:bookmarkStart w:id="34" w:name="_Toc26787"/>
      <w:bookmarkStart w:id="35" w:name="_Toc15292"/>
      <w:bookmarkStart w:id="36" w:name="_Toc26535"/>
      <w:bookmarkStart w:id="37" w:name="_Toc18761"/>
      <w:bookmarkStart w:id="38" w:name="_Toc16558"/>
      <w:bookmarkStart w:id="39" w:name="_Toc9453"/>
      <w:bookmarkStart w:id="40" w:name="_Toc6193"/>
      <w:bookmarkStart w:id="41" w:name="_Toc24897"/>
      <w:bookmarkStart w:id="42" w:name="_Toc18146"/>
      <w:bookmarkStart w:id="43" w:name="_Toc4267"/>
      <w:r>
        <w:rPr>
          <w:rFonts w:hint="eastAsia" w:ascii="仿宋" w:hAnsi="仿宋" w:eastAsia="仿宋" w:cs="仿宋"/>
          <w:b/>
          <w:color w:val="auto"/>
          <w:sz w:val="44"/>
          <w:szCs w:val="44"/>
          <w:highlight w:val="none"/>
          <w:shd w:val="clear" w:color="auto" w:fill="auto"/>
          <w:lang w:val="en-US" w:eastAsia="zh-CN"/>
        </w:rPr>
        <w:t>同</w:t>
      </w:r>
      <w:bookmarkEnd w:id="33"/>
      <w:bookmarkEnd w:id="34"/>
      <w:bookmarkEnd w:id="35"/>
      <w:bookmarkEnd w:id="36"/>
      <w:bookmarkEnd w:id="37"/>
      <w:bookmarkEnd w:id="38"/>
      <w:bookmarkEnd w:id="39"/>
      <w:bookmarkEnd w:id="40"/>
      <w:bookmarkEnd w:id="41"/>
      <w:bookmarkEnd w:id="42"/>
      <w:bookmarkEnd w:id="43"/>
    </w:p>
    <w:p w14:paraId="4CDE13CE">
      <w:pPr>
        <w:keepNext w:val="0"/>
        <w:keepLines w:val="0"/>
        <w:pageBreakBefore w:val="0"/>
        <w:widowControl w:val="0"/>
        <w:kinsoku/>
        <w:wordWrap/>
        <w:overflowPunct/>
        <w:topLinePunct w:val="0"/>
        <w:autoSpaceDE/>
        <w:autoSpaceDN/>
        <w:bidi w:val="0"/>
        <w:adjustRightInd/>
        <w:snapToGrid w:val="0"/>
        <w:spacing w:line="800" w:lineRule="exact"/>
        <w:ind w:left="-199" w:leftChars="-95" w:firstLine="315" w:firstLineChars="150"/>
        <w:jc w:val="both"/>
        <w:textAlignment w:val="auto"/>
        <w:rPr>
          <w:rFonts w:hint="eastAsia" w:ascii="仿宋" w:hAnsi="仿宋" w:eastAsia="仿宋" w:cs="仿宋"/>
          <w:color w:val="auto"/>
          <w:highlight w:val="none"/>
          <w:shd w:val="clear" w:color="auto" w:fill="auto"/>
          <w:lang w:val="en-US" w:eastAsia="zh-CN"/>
        </w:rPr>
      </w:pPr>
    </w:p>
    <w:p w14:paraId="632D6E83">
      <w:pPr>
        <w:keepNext w:val="0"/>
        <w:keepLines w:val="0"/>
        <w:pageBreakBefore w:val="0"/>
        <w:kinsoku/>
        <w:wordWrap/>
        <w:overflowPunct/>
        <w:topLinePunct w:val="0"/>
        <w:autoSpaceDE/>
        <w:autoSpaceDN/>
        <w:bidi w:val="0"/>
        <w:snapToGrid w:val="0"/>
        <w:spacing w:line="500" w:lineRule="exact"/>
        <w:ind w:left="-199" w:leftChars="-95" w:firstLine="315" w:firstLineChars="150"/>
        <w:jc w:val="left"/>
        <w:textAlignment w:val="auto"/>
        <w:rPr>
          <w:rFonts w:hint="eastAsia" w:ascii="仿宋" w:hAnsi="仿宋" w:eastAsia="仿宋" w:cs="仿宋"/>
          <w:color w:val="auto"/>
          <w:highlight w:val="none"/>
          <w:shd w:val="clear" w:color="auto" w:fill="auto"/>
          <w:lang w:val="en-US" w:eastAsia="zh-CN"/>
        </w:rPr>
      </w:pPr>
    </w:p>
    <w:p w14:paraId="2A87CE52">
      <w:pPr>
        <w:keepNext w:val="0"/>
        <w:keepLines w:val="0"/>
        <w:pageBreakBefore w:val="0"/>
        <w:kinsoku/>
        <w:wordWrap/>
        <w:overflowPunct/>
        <w:topLinePunct w:val="0"/>
        <w:autoSpaceDE/>
        <w:autoSpaceDN/>
        <w:bidi w:val="0"/>
        <w:snapToGrid w:val="0"/>
        <w:spacing w:line="500" w:lineRule="exact"/>
        <w:ind w:left="-199" w:leftChars="-95" w:firstLine="315" w:firstLineChars="150"/>
        <w:jc w:val="left"/>
        <w:textAlignment w:val="auto"/>
        <w:rPr>
          <w:rFonts w:hint="eastAsia" w:ascii="仿宋" w:hAnsi="仿宋" w:eastAsia="仿宋" w:cs="仿宋"/>
          <w:color w:val="auto"/>
          <w:highlight w:val="none"/>
          <w:shd w:val="clear" w:color="auto" w:fill="auto"/>
          <w:lang w:val="en-US" w:eastAsia="zh-CN"/>
        </w:rPr>
      </w:pPr>
    </w:p>
    <w:p w14:paraId="0F0FCD37">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p>
    <w:p w14:paraId="24F301BA">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甲方（需方）：东莞市中泰建安工程有限公司</w:t>
      </w:r>
    </w:p>
    <w:p w14:paraId="56C77683">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 xml:space="preserve">乙方（供方）： </w:t>
      </w:r>
    </w:p>
    <w:p w14:paraId="76CEED15">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179F8188">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footerReference r:id="rId3" w:type="default"/>
          <w:pgSz w:w="11906" w:h="16838"/>
          <w:pgMar w:top="720" w:right="1134" w:bottom="720" w:left="1134"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p w14:paraId="1ED17BF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textAlignment w:val="auto"/>
        <w:rPr>
          <w:rFonts w:hint="eastAsia" w:ascii="仿宋" w:hAnsi="仿宋" w:eastAsia="仿宋" w:cs="仿宋"/>
          <w:b/>
          <w:bCs/>
          <w:color w:val="auto"/>
          <w:kern w:val="2"/>
          <w:sz w:val="28"/>
          <w:szCs w:val="28"/>
          <w:highlight w:val="none"/>
          <w:u w:val="none"/>
          <w:shd w:val="clear" w:color="auto" w:fill="auto"/>
          <w:lang w:val="en-US" w:eastAsia="zh-CN" w:bidi="ar-SA"/>
        </w:rPr>
      </w:pPr>
    </w:p>
    <w:sdt>
      <w:sdtPr>
        <w:rPr>
          <w:rFonts w:ascii="宋体" w:hAnsi="宋体" w:eastAsia="宋体" w:cs="Times New Roman"/>
          <w:b/>
          <w:bCs/>
          <w:color w:val="auto"/>
          <w:kern w:val="2"/>
          <w:sz w:val="32"/>
          <w:szCs w:val="40"/>
          <w:highlight w:val="none"/>
          <w:lang w:val="en-US" w:eastAsia="zh-CN" w:bidi="ar-SA"/>
        </w:rPr>
        <w:id w:val="147458885"/>
        <w15:color w:val="DBDBDB"/>
        <w:docPartObj>
          <w:docPartGallery w:val="Table of Contents"/>
          <w:docPartUnique/>
        </w:docPartObj>
      </w:sdtPr>
      <w:sdtEndPr>
        <w:rPr>
          <w:rFonts w:ascii="宋体" w:hAnsi="宋体" w:eastAsia="宋体" w:cs="Times New Roman"/>
          <w:b/>
          <w:bCs/>
          <w:color w:val="auto"/>
          <w:kern w:val="2"/>
          <w:sz w:val="32"/>
          <w:szCs w:val="40"/>
          <w:highlight w:val="none"/>
          <w:lang w:val="en-US" w:eastAsia="zh-CN" w:bidi="ar-SA"/>
        </w:rPr>
      </w:sdtEndPr>
      <w:sdtContent>
        <w:p w14:paraId="3C94B0E6">
          <w:pPr>
            <w:keepNext w:val="0"/>
            <w:keepLines w:val="0"/>
            <w:pageBreakBefore w:val="0"/>
            <w:kinsoku/>
            <w:wordWrap/>
            <w:overflowPunct/>
            <w:topLinePunct w:val="0"/>
            <w:autoSpaceDE/>
            <w:autoSpaceDN/>
            <w:bidi w:val="0"/>
            <w:snapToGrid w:val="0"/>
            <w:spacing w:before="0" w:beforeLines="0" w:after="0" w:afterLines="0" w:line="500" w:lineRule="exact"/>
            <w:ind w:left="0" w:leftChars="0" w:right="0" w:rightChars="0" w:firstLine="0" w:firstLineChars="0"/>
            <w:jc w:val="center"/>
            <w:textAlignment w:val="auto"/>
            <w:rPr>
              <w:b/>
              <w:bCs/>
              <w:color w:val="auto"/>
              <w:sz w:val="32"/>
              <w:szCs w:val="40"/>
              <w:highlight w:val="none"/>
            </w:rPr>
          </w:pPr>
          <w:bookmarkStart w:id="44" w:name="_Toc5958"/>
          <w:r>
            <w:rPr>
              <w:rFonts w:ascii="宋体" w:hAnsi="宋体" w:eastAsia="宋体"/>
              <w:b/>
              <w:bCs/>
              <w:color w:val="auto"/>
              <w:sz w:val="32"/>
              <w:szCs w:val="40"/>
              <w:highlight w:val="none"/>
            </w:rPr>
            <w:t>目录</w:t>
          </w:r>
        </w:p>
        <w:p w14:paraId="3697238B">
          <w:pPr>
            <w:pStyle w:val="8"/>
            <w:tabs>
              <w:tab w:val="right" w:leader="dot" w:pos="9298"/>
            </w:tabs>
            <w:rPr>
              <w:color w:val="auto"/>
            </w:rPr>
          </w:pPr>
          <w:r>
            <w:rPr>
              <w:color w:val="auto"/>
              <w:highlight w:val="none"/>
            </w:rPr>
            <w:fldChar w:fldCharType="begin"/>
          </w:r>
          <w:r>
            <w:rPr>
              <w:color w:val="auto"/>
              <w:highlight w:val="none"/>
            </w:rPr>
            <w:instrText xml:space="preserve">TOC \o "1-2" \h \u </w:instrText>
          </w:r>
          <w:r>
            <w:rPr>
              <w:color w:val="auto"/>
              <w:highlight w:val="none"/>
            </w:rPr>
            <w:fldChar w:fldCharType="separate"/>
          </w:r>
        </w:p>
        <w:p w14:paraId="4217BA11">
          <w:pPr>
            <w:pStyle w:val="8"/>
            <w:tabs>
              <w:tab w:val="right" w:leader="dot" w:pos="9298"/>
            </w:tabs>
            <w:rPr>
              <w:color w:val="auto"/>
            </w:rPr>
          </w:pPr>
          <w:r>
            <w:rPr>
              <w:b/>
              <w:bCs/>
              <w:color w:val="auto"/>
              <w:highlight w:val="none"/>
            </w:rPr>
            <w:fldChar w:fldCharType="begin"/>
          </w:r>
          <w:r>
            <w:rPr>
              <w:b/>
              <w:bCs/>
              <w:color w:val="auto"/>
              <w:highlight w:val="none"/>
            </w:rPr>
            <w:instrText xml:space="preserve"> HYPERLINK \l _Toc24813 </w:instrText>
          </w:r>
          <w:r>
            <w:rPr>
              <w:b/>
              <w:bCs/>
              <w:color w:val="auto"/>
              <w:highlight w:val="none"/>
            </w:rPr>
            <w:fldChar w:fldCharType="separate"/>
          </w:r>
          <w:r>
            <w:rPr>
              <w:rFonts w:hint="eastAsia" w:ascii="仿宋_GB2312" w:hAnsi="仿宋_GB2312" w:eastAsia="仿宋_GB2312" w:cs="仿宋_GB2312"/>
              <w:b/>
              <w:bCs/>
              <w:i w:val="0"/>
              <w:iCs w:val="0"/>
              <w:color w:val="auto"/>
              <w:kern w:val="0"/>
              <w:szCs w:val="32"/>
              <w:highlight w:val="none"/>
              <w:shd w:val="clear" w:fill="auto"/>
              <w:lang w:val="en-US" w:eastAsia="zh-CN" w:bidi="ar-SA"/>
            </w:rPr>
            <w:t xml:space="preserve">第一部分 </w:t>
          </w:r>
          <w:r>
            <w:rPr>
              <w:rFonts w:hint="eastAsia" w:ascii="仿宋_GB2312" w:hAnsi="仿宋_GB2312" w:eastAsia="仿宋_GB2312" w:cs="仿宋_GB2312"/>
              <w:b/>
              <w:bCs/>
              <w:i w:val="0"/>
              <w:iCs w:val="0"/>
              <w:color w:val="auto"/>
              <w:kern w:val="0"/>
              <w:szCs w:val="32"/>
              <w:highlight w:val="none"/>
              <w:shd w:val="clear" w:color="auto" w:fill="auto"/>
              <w:lang w:val="en-US" w:eastAsia="zh-CN"/>
            </w:rPr>
            <w:t>协议书</w:t>
          </w:r>
          <w:r>
            <w:rPr>
              <w:b/>
              <w:bCs/>
              <w:color w:val="auto"/>
            </w:rPr>
            <w:tab/>
          </w:r>
          <w:r>
            <w:rPr>
              <w:b/>
              <w:bCs/>
              <w:color w:val="auto"/>
            </w:rPr>
            <w:fldChar w:fldCharType="begin"/>
          </w:r>
          <w:r>
            <w:rPr>
              <w:b/>
              <w:bCs/>
              <w:color w:val="auto"/>
            </w:rPr>
            <w:instrText xml:space="preserve"> PAGEREF _Toc24813 \h </w:instrText>
          </w:r>
          <w:r>
            <w:rPr>
              <w:b/>
              <w:bCs/>
              <w:color w:val="auto"/>
            </w:rPr>
            <w:fldChar w:fldCharType="separate"/>
          </w:r>
          <w:r>
            <w:rPr>
              <w:b/>
              <w:bCs/>
              <w:color w:val="auto"/>
            </w:rPr>
            <w:t>1</w:t>
          </w:r>
          <w:r>
            <w:rPr>
              <w:b/>
              <w:bCs/>
              <w:color w:val="auto"/>
            </w:rPr>
            <w:fldChar w:fldCharType="end"/>
          </w:r>
          <w:r>
            <w:rPr>
              <w:b/>
              <w:bCs/>
              <w:color w:val="auto"/>
              <w:highlight w:val="none"/>
            </w:rPr>
            <w:fldChar w:fldCharType="end"/>
          </w:r>
        </w:p>
        <w:p w14:paraId="52D23153">
          <w:pPr>
            <w:pStyle w:val="9"/>
            <w:tabs>
              <w:tab w:val="right" w:leader="dot" w:pos="9298"/>
            </w:tabs>
            <w:ind w:left="0" w:leftChars="0"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_Toc16715 </w:instrText>
          </w:r>
          <w:r>
            <w:rPr>
              <w:rFonts w:hint="eastAsia" w:ascii="仿宋" w:hAnsi="仿宋" w:eastAsia="仿宋" w:cs="仿宋"/>
              <w:color w:val="auto"/>
              <w:sz w:val="28"/>
              <w:szCs w:val="28"/>
              <w:highlight w:val="none"/>
            </w:rPr>
            <w:fldChar w:fldCharType="separate"/>
          </w:r>
          <w:r>
            <w:rPr>
              <w:rFonts w:hint="eastAsia" w:ascii="仿宋" w:hAnsi="仿宋" w:eastAsia="仿宋" w:cs="仿宋"/>
              <w:bCs/>
              <w:color w:val="auto"/>
              <w:sz w:val="28"/>
              <w:szCs w:val="28"/>
              <w:lang w:val="en-US" w:eastAsia="zh-CN"/>
            </w:rPr>
            <w:t xml:space="preserve">第一章、 </w:t>
          </w:r>
          <w:r>
            <w:rPr>
              <w:rFonts w:hint="eastAsia" w:ascii="仿宋" w:hAnsi="仿宋" w:eastAsia="仿宋" w:cs="仿宋"/>
              <w:bCs/>
              <w:color w:val="auto"/>
              <w:sz w:val="28"/>
              <w:szCs w:val="28"/>
              <w:highlight w:val="none"/>
              <w:lang w:val="en-US" w:eastAsia="zh-CN"/>
            </w:rPr>
            <w:t>产品内容及合同价格</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_Toc16715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highlight w:val="none"/>
            </w:rPr>
            <w:fldChar w:fldCharType="end"/>
          </w:r>
        </w:p>
        <w:p w14:paraId="12FFB3DE">
          <w:pPr>
            <w:pStyle w:val="9"/>
            <w:tabs>
              <w:tab w:val="right" w:leader="dot" w:pos="9298"/>
            </w:tabs>
            <w:ind w:left="0" w:leftChars="0"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_Toc20306 </w:instrText>
          </w:r>
          <w:r>
            <w:rPr>
              <w:rFonts w:hint="eastAsia" w:ascii="仿宋" w:hAnsi="仿宋" w:eastAsia="仿宋" w:cs="仿宋"/>
              <w:color w:val="auto"/>
              <w:sz w:val="28"/>
              <w:szCs w:val="28"/>
              <w:highlight w:val="none"/>
            </w:rPr>
            <w:fldChar w:fldCharType="separate"/>
          </w:r>
          <w:r>
            <w:rPr>
              <w:rFonts w:hint="eastAsia" w:ascii="仿宋" w:hAnsi="仿宋" w:eastAsia="仿宋" w:cs="仿宋"/>
              <w:bCs/>
              <w:color w:val="auto"/>
              <w:sz w:val="28"/>
              <w:szCs w:val="28"/>
              <w:lang w:val="en-US" w:eastAsia="zh-CN"/>
            </w:rPr>
            <w:t xml:space="preserve">第二章、 </w:t>
          </w:r>
          <w:r>
            <w:rPr>
              <w:rFonts w:hint="eastAsia" w:ascii="仿宋" w:hAnsi="仿宋" w:eastAsia="仿宋" w:cs="仿宋"/>
              <w:bCs/>
              <w:color w:val="auto"/>
              <w:sz w:val="28"/>
              <w:szCs w:val="28"/>
              <w:highlight w:val="none"/>
              <w:lang w:val="en-US" w:eastAsia="zh-CN"/>
            </w:rPr>
            <w:t>付款方式</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_Toc20306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3</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highlight w:val="none"/>
            </w:rPr>
            <w:fldChar w:fldCharType="end"/>
          </w:r>
        </w:p>
        <w:p w14:paraId="56209161">
          <w:pPr>
            <w:pStyle w:val="9"/>
            <w:tabs>
              <w:tab w:val="right" w:leader="dot" w:pos="9298"/>
            </w:tabs>
            <w:ind w:left="0" w:leftChars="0"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_Toc11935 </w:instrText>
          </w:r>
          <w:r>
            <w:rPr>
              <w:rFonts w:hint="eastAsia" w:ascii="仿宋" w:hAnsi="仿宋" w:eastAsia="仿宋" w:cs="仿宋"/>
              <w:color w:val="auto"/>
              <w:sz w:val="28"/>
              <w:szCs w:val="28"/>
              <w:highlight w:val="none"/>
            </w:rPr>
            <w:fldChar w:fldCharType="separate"/>
          </w:r>
          <w:r>
            <w:rPr>
              <w:rFonts w:hint="eastAsia" w:ascii="仿宋" w:hAnsi="仿宋" w:eastAsia="仿宋" w:cs="仿宋"/>
              <w:bCs/>
              <w:color w:val="auto"/>
              <w:sz w:val="28"/>
              <w:szCs w:val="28"/>
              <w:lang w:val="en-US" w:eastAsia="zh-CN"/>
            </w:rPr>
            <w:t xml:space="preserve">第三章、 </w:t>
          </w:r>
          <w:r>
            <w:rPr>
              <w:rFonts w:hint="eastAsia" w:ascii="仿宋" w:hAnsi="仿宋" w:eastAsia="仿宋" w:cs="仿宋"/>
              <w:bCs/>
              <w:color w:val="auto"/>
              <w:sz w:val="28"/>
              <w:szCs w:val="28"/>
              <w:highlight w:val="none"/>
              <w:lang w:val="en-US" w:eastAsia="zh-CN"/>
            </w:rPr>
            <w:t>交货</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_Toc11935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4</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highlight w:val="none"/>
            </w:rPr>
            <w:fldChar w:fldCharType="end"/>
          </w:r>
        </w:p>
        <w:p w14:paraId="3F29E69B">
          <w:pPr>
            <w:pStyle w:val="9"/>
            <w:tabs>
              <w:tab w:val="right" w:leader="dot" w:pos="9298"/>
            </w:tabs>
            <w:ind w:left="0" w:leftChars="0" w:firstLine="0" w:firstLineChars="0"/>
            <w:rPr>
              <w:rFonts w:hint="eastAsia" w:ascii="仿宋" w:hAnsi="仿宋" w:eastAsia="仿宋" w:cs="仿宋"/>
              <w:color w:val="auto"/>
              <w:sz w:val="28"/>
              <w:szCs w:val="28"/>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_Toc26173 </w:instrText>
          </w:r>
          <w:r>
            <w:rPr>
              <w:rFonts w:hint="eastAsia" w:ascii="仿宋" w:hAnsi="仿宋" w:eastAsia="仿宋" w:cs="仿宋"/>
              <w:color w:val="auto"/>
              <w:sz w:val="28"/>
              <w:szCs w:val="28"/>
              <w:highlight w:val="none"/>
            </w:rPr>
            <w:fldChar w:fldCharType="separate"/>
          </w:r>
          <w:r>
            <w:rPr>
              <w:rFonts w:hint="eastAsia" w:ascii="仿宋" w:hAnsi="仿宋" w:eastAsia="仿宋" w:cs="仿宋"/>
              <w:bCs/>
              <w:color w:val="auto"/>
              <w:sz w:val="28"/>
              <w:szCs w:val="28"/>
              <w:lang w:val="en-US" w:eastAsia="zh-CN"/>
            </w:rPr>
            <w:t xml:space="preserve">第四章、 </w:t>
          </w:r>
          <w:r>
            <w:rPr>
              <w:rFonts w:hint="eastAsia" w:ascii="仿宋" w:hAnsi="仿宋" w:eastAsia="仿宋" w:cs="仿宋"/>
              <w:bCs/>
              <w:color w:val="auto"/>
              <w:sz w:val="28"/>
              <w:szCs w:val="28"/>
              <w:highlight w:val="none"/>
              <w:lang w:val="en-US" w:eastAsia="zh-CN"/>
            </w:rPr>
            <w:t>甲乙双方联系人</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_Toc26173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4</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highlight w:val="none"/>
            </w:rPr>
            <w:fldChar w:fldCharType="end"/>
          </w:r>
        </w:p>
        <w:p w14:paraId="5DAEE151">
          <w:pPr>
            <w:pStyle w:val="8"/>
            <w:tabs>
              <w:tab w:val="right" w:leader="dot" w:pos="9298"/>
            </w:tabs>
            <w:rPr>
              <w:color w:val="auto"/>
            </w:rPr>
          </w:pPr>
          <w:r>
            <w:rPr>
              <w:b/>
              <w:bCs/>
              <w:color w:val="auto"/>
              <w:highlight w:val="none"/>
            </w:rPr>
            <w:fldChar w:fldCharType="begin"/>
          </w:r>
          <w:r>
            <w:rPr>
              <w:b/>
              <w:bCs/>
              <w:color w:val="auto"/>
              <w:highlight w:val="none"/>
            </w:rPr>
            <w:instrText xml:space="preserve"> HYPERLINK \l _Toc16771 </w:instrText>
          </w:r>
          <w:r>
            <w:rPr>
              <w:b/>
              <w:bCs/>
              <w:color w:val="auto"/>
              <w:highlight w:val="none"/>
            </w:rPr>
            <w:fldChar w:fldCharType="separate"/>
          </w:r>
          <w:r>
            <w:rPr>
              <w:rFonts w:hint="eastAsia" w:ascii="仿宋_GB2312" w:hAnsi="仿宋_GB2312" w:eastAsia="仿宋_GB2312" w:cs="仿宋_GB2312"/>
              <w:b/>
              <w:bCs/>
              <w:i w:val="0"/>
              <w:iCs w:val="0"/>
              <w:color w:val="auto"/>
              <w:kern w:val="0"/>
              <w:szCs w:val="32"/>
              <w:shd w:val="clear" w:fill="auto"/>
              <w:lang w:val="en-US" w:eastAsia="zh-CN"/>
            </w:rPr>
            <w:t xml:space="preserve">第二部分 </w:t>
          </w:r>
          <w:r>
            <w:rPr>
              <w:rFonts w:hint="eastAsia" w:ascii="仿宋_GB2312" w:hAnsi="仿宋_GB2312" w:eastAsia="仿宋_GB2312" w:cs="仿宋_GB2312"/>
              <w:b/>
              <w:bCs/>
              <w:i w:val="0"/>
              <w:iCs w:val="0"/>
              <w:color w:val="auto"/>
              <w:kern w:val="0"/>
              <w:szCs w:val="32"/>
              <w:highlight w:val="none"/>
              <w:shd w:val="clear" w:color="auto" w:fill="auto"/>
              <w:lang w:val="en-US" w:eastAsia="zh-CN"/>
            </w:rPr>
            <w:t>合同专用条款</w:t>
          </w:r>
          <w:r>
            <w:rPr>
              <w:b/>
              <w:bCs/>
              <w:color w:val="auto"/>
            </w:rPr>
            <w:tab/>
          </w:r>
          <w:r>
            <w:rPr>
              <w:b/>
              <w:bCs/>
              <w:color w:val="auto"/>
            </w:rPr>
            <w:fldChar w:fldCharType="begin"/>
          </w:r>
          <w:r>
            <w:rPr>
              <w:b/>
              <w:bCs/>
              <w:color w:val="auto"/>
            </w:rPr>
            <w:instrText xml:space="preserve"> PAGEREF _Toc16771 \h </w:instrText>
          </w:r>
          <w:r>
            <w:rPr>
              <w:b/>
              <w:bCs/>
              <w:color w:val="auto"/>
            </w:rPr>
            <w:fldChar w:fldCharType="separate"/>
          </w:r>
          <w:r>
            <w:rPr>
              <w:b/>
              <w:bCs/>
              <w:color w:val="auto"/>
            </w:rPr>
            <w:t>6</w:t>
          </w:r>
          <w:r>
            <w:rPr>
              <w:b/>
              <w:bCs/>
              <w:color w:val="auto"/>
            </w:rPr>
            <w:fldChar w:fldCharType="end"/>
          </w:r>
          <w:r>
            <w:rPr>
              <w:b/>
              <w:bCs/>
              <w:color w:val="auto"/>
              <w:highlight w:val="none"/>
            </w:rPr>
            <w:fldChar w:fldCharType="end"/>
          </w:r>
        </w:p>
        <w:p w14:paraId="38FD9743">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_Toc25983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第一章、 产品质量及包装要求</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_Toc25983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6</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481F633D">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_Toc28133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第二章、 交货、验收及保修</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_Toc28133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6</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6CD0F7A5">
          <w:pPr>
            <w:pStyle w:val="8"/>
            <w:tabs>
              <w:tab w:val="right" w:leader="dot" w:pos="9298"/>
            </w:tabs>
            <w:rPr>
              <w:b/>
              <w:bCs/>
              <w:color w:val="auto"/>
              <w:highlight w:val="none"/>
            </w:rPr>
          </w:pPr>
          <w:r>
            <w:rPr>
              <w:b/>
              <w:bCs/>
              <w:color w:val="auto"/>
              <w:highlight w:val="none"/>
            </w:rPr>
            <w:fldChar w:fldCharType="begin"/>
          </w:r>
          <w:r>
            <w:rPr>
              <w:b/>
              <w:bCs/>
              <w:color w:val="auto"/>
              <w:highlight w:val="none"/>
            </w:rPr>
            <w:instrText xml:space="preserve"> HYPERLINK \l _Toc14034 </w:instrText>
          </w:r>
          <w:r>
            <w:rPr>
              <w:b/>
              <w:bCs/>
              <w:color w:val="auto"/>
              <w:highlight w:val="none"/>
            </w:rPr>
            <w:fldChar w:fldCharType="separate"/>
          </w:r>
          <w:r>
            <w:rPr>
              <w:rFonts w:hint="eastAsia"/>
              <w:b/>
              <w:bCs/>
              <w:color w:val="auto"/>
              <w:highlight w:val="none"/>
              <w:lang w:val="en-US" w:eastAsia="zh-CN"/>
            </w:rPr>
            <w:t>第三部分 合同通用条款</w:t>
          </w:r>
          <w:r>
            <w:rPr>
              <w:b/>
              <w:bCs/>
              <w:color w:val="auto"/>
              <w:highlight w:val="none"/>
            </w:rPr>
            <w:tab/>
          </w:r>
          <w:r>
            <w:rPr>
              <w:b/>
              <w:bCs/>
              <w:color w:val="auto"/>
              <w:highlight w:val="none"/>
            </w:rPr>
            <w:fldChar w:fldCharType="begin"/>
          </w:r>
          <w:r>
            <w:rPr>
              <w:b/>
              <w:bCs/>
              <w:color w:val="auto"/>
              <w:highlight w:val="none"/>
            </w:rPr>
            <w:instrText xml:space="preserve"> PAGEREF _Toc14034 \h </w:instrText>
          </w:r>
          <w:r>
            <w:rPr>
              <w:b/>
              <w:bCs/>
              <w:color w:val="auto"/>
              <w:highlight w:val="none"/>
            </w:rPr>
            <w:fldChar w:fldCharType="separate"/>
          </w:r>
          <w:r>
            <w:rPr>
              <w:b/>
              <w:bCs/>
              <w:color w:val="auto"/>
              <w:highlight w:val="none"/>
            </w:rPr>
            <w:t>7</w:t>
          </w:r>
          <w:r>
            <w:rPr>
              <w:b/>
              <w:bCs/>
              <w:color w:val="auto"/>
              <w:highlight w:val="none"/>
            </w:rPr>
            <w:fldChar w:fldCharType="end"/>
          </w:r>
          <w:r>
            <w:rPr>
              <w:b/>
              <w:bCs/>
              <w:color w:val="auto"/>
              <w:highlight w:val="none"/>
            </w:rPr>
            <w:fldChar w:fldCharType="end"/>
          </w:r>
        </w:p>
        <w:p w14:paraId="0590FE9D">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_Toc15533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第一章、 对账及发票要求</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_Toc15533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7</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599B4D52">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_Toc25828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第三章、保修</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_Toc25828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9</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7C1FDD7E">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_Toc27611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第四章、</w:t>
          </w:r>
          <w:r>
            <w:rPr>
              <w:rFonts w:hint="eastAsia" w:ascii="仿宋" w:hAnsi="仿宋" w:eastAsia="仿宋" w:cs="仿宋"/>
              <w:color w:val="auto"/>
              <w:sz w:val="28"/>
              <w:szCs w:val="28"/>
              <w:highlight w:val="none"/>
            </w:rPr>
            <w:t>违约责任</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_Toc27611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13</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2390393E">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_Toc4433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第五章、</w:t>
          </w:r>
          <w:r>
            <w:rPr>
              <w:rFonts w:hint="eastAsia" w:ascii="仿宋" w:hAnsi="仿宋" w:eastAsia="仿宋" w:cs="仿宋"/>
              <w:color w:val="auto"/>
              <w:sz w:val="28"/>
              <w:szCs w:val="28"/>
              <w:highlight w:val="none"/>
            </w:rPr>
            <w:t>廉洁条款</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_Toc4433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16</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7688CABB">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_Toc1615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第六章、甲乙双方联系人权限</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_Toc1615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17</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4A977B93">
          <w:pPr>
            <w:pStyle w:val="9"/>
            <w:tabs>
              <w:tab w:val="right" w:leader="dot" w:pos="9298"/>
            </w:tabs>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\l _Toc31201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lang w:val="en-US" w:eastAsia="zh-CN"/>
            </w:rPr>
            <w:t>第七章、其他</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PAGEREF _Toc31201 \h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18</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fldChar w:fldCharType="end"/>
          </w:r>
        </w:p>
        <w:p w14:paraId="195AF881">
          <w:pPr>
            <w:keepNext w:val="0"/>
            <w:keepLines w:val="0"/>
            <w:pageBreakBefore w:val="0"/>
            <w:kinsoku/>
            <w:wordWrap/>
            <w:overflowPunct/>
            <w:topLinePunct w:val="0"/>
            <w:autoSpaceDE/>
            <w:autoSpaceDN/>
            <w:bidi w:val="0"/>
            <w:snapToGrid w:val="0"/>
            <w:spacing w:line="500" w:lineRule="exact"/>
            <w:textAlignment w:val="auto"/>
            <w:rPr>
              <w:b/>
              <w:color w:val="auto"/>
              <w:highlight w:val="none"/>
            </w:rPr>
          </w:pPr>
          <w:r>
            <w:rPr>
              <w:color w:val="auto"/>
              <w:highlight w:val="none"/>
            </w:rPr>
            <w:fldChar w:fldCharType="end"/>
          </w:r>
        </w:p>
      </w:sdtContent>
    </w:sdt>
    <w:p w14:paraId="5CE2CED7">
      <w:pPr>
        <w:keepNext w:val="0"/>
        <w:keepLines w:val="0"/>
        <w:pageBreakBefore w:val="0"/>
        <w:kinsoku/>
        <w:wordWrap/>
        <w:overflowPunct/>
        <w:topLinePunct w:val="0"/>
        <w:autoSpaceDE/>
        <w:autoSpaceDN/>
        <w:bidi w:val="0"/>
        <w:snapToGrid w:val="0"/>
        <w:spacing w:line="500" w:lineRule="exact"/>
        <w:textAlignment w:val="auto"/>
        <w:rPr>
          <w:b/>
          <w:color w:val="auto"/>
          <w:highlight w:val="none"/>
        </w:rPr>
        <w:sectPr>
          <w:headerReference r:id="rId4" w:type="default"/>
          <w:footerReference r:id="rId5" w:type="default"/>
          <w:pgSz w:w="11906" w:h="16838"/>
          <w:pgMar w:top="1247" w:right="1304" w:bottom="1304" w:left="1304" w:header="737" w:footer="624"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579DF8AB">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after="157" w:afterLines="50" w:line="500" w:lineRule="exact"/>
        <w:ind w:right="-578" w:rightChars="-275"/>
        <w:jc w:val="center"/>
        <w:textAlignment w:val="auto"/>
        <w:outlineLvl w:val="0"/>
        <w:rPr>
          <w:rFonts w:hint="eastAsia" w:ascii="仿宋" w:hAnsi="仿宋" w:eastAsia="仿宋" w:cs="仿宋"/>
          <w:b w:val="0"/>
          <w:bCs w:val="0"/>
          <w:color w:val="auto"/>
          <w:kern w:val="2"/>
          <w:sz w:val="28"/>
          <w:szCs w:val="28"/>
          <w:highlight w:val="none"/>
          <w:u w:val="none"/>
          <w:shd w:val="clear" w:color="auto" w:fill="auto"/>
          <w:lang w:val="en-US" w:eastAsia="zh-CN" w:bidi="ar-SA"/>
        </w:rPr>
      </w:pPr>
      <w:bookmarkStart w:id="45" w:name="_Toc24813"/>
      <w:r>
        <w:rPr>
          <w:rFonts w:hint="eastAsia" w:ascii="仿宋_GB2312" w:hAnsi="仿宋_GB2312" w:eastAsia="仿宋_GB2312" w:cs="仿宋_GB2312"/>
          <w:b/>
          <w:bCs/>
          <w:i w:val="0"/>
          <w:iCs w:val="0"/>
          <w:color w:val="auto"/>
          <w:kern w:val="0"/>
          <w:sz w:val="32"/>
          <w:szCs w:val="32"/>
          <w:highlight w:val="none"/>
          <w:shd w:val="clear" w:fill="auto"/>
          <w:lang w:val="en-US" w:eastAsia="zh-CN" w:bidi="ar-SA"/>
        </w:rPr>
        <w:t xml:space="preserve">第一部分 </w:t>
      </w:r>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协议书</w:t>
      </w:r>
      <w:bookmarkEnd w:id="44"/>
      <w:bookmarkEnd w:id="45"/>
    </w:p>
    <w:p w14:paraId="7E176C5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kern w:val="2"/>
          <w:sz w:val="28"/>
          <w:szCs w:val="28"/>
          <w:highlight w:val="none"/>
          <w:u w:val="none"/>
          <w:shd w:val="clear" w:color="auto" w:fill="auto"/>
          <w:lang w:val="en-US" w:eastAsia="zh-CN" w:bidi="ar-SA"/>
        </w:rPr>
      </w:pPr>
      <w:r>
        <w:rPr>
          <w:rFonts w:hint="eastAsia" w:ascii="仿宋" w:hAnsi="仿宋" w:eastAsia="仿宋" w:cs="仿宋"/>
          <w:b w:val="0"/>
          <w:bCs w:val="0"/>
          <w:color w:val="auto"/>
          <w:kern w:val="2"/>
          <w:sz w:val="28"/>
          <w:szCs w:val="28"/>
          <w:highlight w:val="none"/>
          <w:u w:val="none"/>
          <w:shd w:val="clear" w:color="auto" w:fill="auto"/>
          <w:lang w:val="en-US" w:eastAsia="zh-CN" w:bidi="ar-SA"/>
        </w:rPr>
        <w:t>根据《中华人民共和国民法典》《中华人民共和国产品质量法》及其他有关法律法规，乙方确认并承诺满足项目所在地住建主管部门资质和要求的前提下，甲乙双方在平等、自愿、公平和诚实信用的基础上，就拟用于</w:t>
      </w:r>
      <w:r>
        <w:rPr>
          <w:rFonts w:hint="eastAsia" w:ascii="仿宋" w:hAnsi="仿宋" w:eastAsia="仿宋" w:cs="仿宋"/>
          <w:b w:val="0"/>
          <w:bCs w:val="0"/>
          <w:color w:val="auto"/>
          <w:kern w:val="2"/>
          <w:sz w:val="28"/>
          <w:szCs w:val="28"/>
          <w:highlight w:val="none"/>
          <w:u w:val="none"/>
          <w:lang w:val="en-US" w:eastAsia="zh-CN" w:bidi="ar-SA"/>
        </w:rPr>
        <w:t>“</w:t>
      </w:r>
      <w:r>
        <w:rPr>
          <w:rFonts w:hint="eastAsia" w:ascii="仿宋" w:hAnsi="仿宋" w:eastAsia="仿宋" w:cs="仿宋"/>
          <w:color w:val="auto"/>
          <w:sz w:val="28"/>
          <w:szCs w:val="28"/>
          <w:highlight w:val="none"/>
          <w:u w:val="single"/>
          <w:lang w:val="en-US" w:eastAsia="zh-CN"/>
        </w:rPr>
        <w:t>玉林（福绵）节能环保产业园南部工业供水厂建设项目（二期5万吨/天）</w:t>
      </w:r>
      <w:r>
        <w:rPr>
          <w:rFonts w:hint="eastAsia" w:ascii="仿宋" w:hAnsi="仿宋" w:eastAsia="仿宋" w:cs="仿宋"/>
          <w:b w:val="0"/>
          <w:bCs w:val="0"/>
          <w:color w:val="auto"/>
          <w:kern w:val="2"/>
          <w:sz w:val="28"/>
          <w:szCs w:val="28"/>
          <w:highlight w:val="none"/>
          <w:u w:val="none"/>
          <w:lang w:val="en-US" w:eastAsia="zh-CN" w:bidi="ar-SA"/>
        </w:rPr>
        <w:t>”（以下简称“本项目”）</w:t>
      </w:r>
      <w:r>
        <w:rPr>
          <w:rFonts w:hint="eastAsia" w:ascii="仿宋" w:hAnsi="仿宋" w:eastAsia="仿宋" w:cs="仿宋"/>
          <w:b w:val="0"/>
          <w:bCs w:val="0"/>
          <w:color w:val="auto"/>
          <w:kern w:val="2"/>
          <w:sz w:val="28"/>
          <w:szCs w:val="28"/>
          <w:highlight w:val="none"/>
          <w:u w:val="single"/>
          <w:lang w:val="en-US" w:eastAsia="zh-CN" w:bidi="ar-SA"/>
        </w:rPr>
        <w:t>生活区的双层铁床</w:t>
      </w:r>
      <w:r>
        <w:rPr>
          <w:rFonts w:hint="eastAsia" w:ascii="仿宋" w:hAnsi="仿宋" w:eastAsia="仿宋" w:cs="仿宋"/>
          <w:b w:val="0"/>
          <w:bCs w:val="0"/>
          <w:color w:val="auto"/>
          <w:kern w:val="2"/>
          <w:sz w:val="28"/>
          <w:szCs w:val="28"/>
          <w:highlight w:val="none"/>
          <w:u w:val="none"/>
          <w:lang w:val="en-US" w:eastAsia="zh-CN" w:bidi="ar-SA"/>
        </w:rPr>
        <w:t>（含床板，以下简称“产品”）</w:t>
      </w:r>
      <w:r>
        <w:rPr>
          <w:rFonts w:hint="eastAsia" w:ascii="仿宋" w:hAnsi="仿宋" w:eastAsia="仿宋" w:cs="仿宋"/>
          <w:b w:val="0"/>
          <w:bCs w:val="0"/>
          <w:color w:val="auto"/>
          <w:kern w:val="2"/>
          <w:sz w:val="28"/>
          <w:szCs w:val="28"/>
          <w:highlight w:val="none"/>
          <w:u w:val="none"/>
          <w:shd w:val="clear" w:color="auto" w:fill="auto"/>
          <w:lang w:val="en-US" w:eastAsia="zh-CN" w:bidi="ar-SA"/>
        </w:rPr>
        <w:t xml:space="preserve"> 购销事宜协商一致，特签订本合同。</w:t>
      </w:r>
      <w:r>
        <w:rPr>
          <w:rFonts w:hint="eastAsia" w:ascii="仿宋" w:hAnsi="仿宋" w:eastAsia="仿宋" w:cs="仿宋"/>
          <w:b w:val="0"/>
          <w:bCs w:val="0"/>
          <w:color w:val="auto"/>
          <w:kern w:val="2"/>
          <w:sz w:val="28"/>
          <w:szCs w:val="28"/>
          <w:highlight w:val="none"/>
          <w:u w:val="none"/>
          <w:lang w:val="en-US" w:eastAsia="zh-CN" w:bidi="ar-SA"/>
        </w:rPr>
        <w:t>（本合同范围内，对以</w:t>
      </w:r>
      <w:r>
        <w:rPr>
          <w:rFonts w:hint="eastAsia" w:ascii="仿宋" w:hAnsi="仿宋" w:eastAsia="仿宋" w:cs="仿宋"/>
          <w:b w:val="0"/>
          <w:bCs w:val="0"/>
          <w:color w:val="auto"/>
          <w:kern w:val="2"/>
          <w:sz w:val="28"/>
          <w:szCs w:val="28"/>
          <w:highlight w:val="none"/>
          <w:u w:val="none"/>
          <w:lang w:val="en-US" w:eastAsia="zh-CN" w:bidi="ar-SA"/>
        </w:rPr>
        <w:sym w:font="Wingdings" w:char="00A8"/>
      </w:r>
      <w:r>
        <w:rPr>
          <w:rFonts w:hint="eastAsia" w:ascii="仿宋" w:hAnsi="仿宋" w:eastAsia="仿宋" w:cs="仿宋"/>
          <w:b w:val="0"/>
          <w:bCs w:val="0"/>
          <w:color w:val="auto"/>
          <w:kern w:val="2"/>
          <w:sz w:val="28"/>
          <w:szCs w:val="28"/>
          <w:highlight w:val="none"/>
          <w:u w:val="none"/>
          <w:lang w:val="en-US" w:eastAsia="zh-CN" w:bidi="ar-SA"/>
        </w:rPr>
        <w:t>或</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开头的内容，以</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开头的内容为准。）</w:t>
      </w:r>
      <w:r>
        <w:rPr>
          <w:rFonts w:hint="eastAsia" w:ascii="仿宋" w:hAnsi="仿宋" w:eastAsia="仿宋" w:cs="仿宋"/>
          <w:b w:val="0"/>
          <w:bCs w:val="0"/>
          <w:color w:val="auto"/>
          <w:kern w:val="2"/>
          <w:sz w:val="28"/>
          <w:szCs w:val="28"/>
          <w:highlight w:val="none"/>
          <w:u w:val="none"/>
          <w:lang w:val="en-US" w:eastAsia="zh-CN" w:bidi="ar-SA"/>
        </w:rPr>
        <w:tab/>
      </w:r>
    </w:p>
    <w:p w14:paraId="17AEDCF6">
      <w:pPr>
        <w:keepNext w:val="0"/>
        <w:keepLines w:val="0"/>
        <w:pageBreakBefore w:val="0"/>
        <w:widowControl w:val="0"/>
        <w:numPr>
          <w:ilvl w:val="0"/>
          <w:numId w:val="1"/>
        </w:numPr>
        <w:kinsoku/>
        <w:wordWrap/>
        <w:overflowPunct/>
        <w:topLinePunct w:val="0"/>
        <w:autoSpaceDE/>
        <w:autoSpaceDN/>
        <w:bidi w:val="0"/>
        <w:adjustRightInd/>
        <w:snapToGrid/>
        <w:spacing w:line="530" w:lineRule="exact"/>
        <w:textAlignment w:val="auto"/>
        <w:outlineLvl w:val="1"/>
        <w:rPr>
          <w:rFonts w:hint="eastAsia" w:ascii="仿宋" w:hAnsi="仿宋" w:eastAsia="仿宋" w:cs="仿宋"/>
          <w:b/>
          <w:bCs/>
          <w:color w:val="auto"/>
          <w:sz w:val="28"/>
          <w:highlight w:val="none"/>
          <w:lang w:val="en-US" w:eastAsia="zh-CN"/>
        </w:rPr>
      </w:pPr>
      <w:bookmarkStart w:id="46" w:name="_Toc17291"/>
      <w:bookmarkStart w:id="47" w:name="_Toc17474"/>
      <w:bookmarkStart w:id="48" w:name="_Toc16715"/>
      <w:r>
        <w:rPr>
          <w:rFonts w:hint="eastAsia" w:ascii="仿宋" w:hAnsi="仿宋" w:eastAsia="仿宋" w:cs="仿宋"/>
          <w:b/>
          <w:bCs/>
          <w:color w:val="auto"/>
          <w:sz w:val="28"/>
          <w:highlight w:val="none"/>
          <w:lang w:val="en-US" w:eastAsia="zh-CN"/>
        </w:rPr>
        <w:t>产品内容</w:t>
      </w:r>
      <w:bookmarkEnd w:id="46"/>
      <w:r>
        <w:rPr>
          <w:rFonts w:hint="eastAsia" w:ascii="仿宋" w:hAnsi="仿宋" w:eastAsia="仿宋" w:cs="仿宋"/>
          <w:b/>
          <w:bCs/>
          <w:color w:val="auto"/>
          <w:sz w:val="28"/>
          <w:highlight w:val="none"/>
          <w:lang w:val="en-US" w:eastAsia="zh-CN"/>
        </w:rPr>
        <w:t>及合同价</w:t>
      </w:r>
      <w:bookmarkEnd w:id="47"/>
      <w:r>
        <w:rPr>
          <w:rFonts w:hint="eastAsia" w:ascii="仿宋" w:hAnsi="仿宋" w:eastAsia="仿宋" w:cs="仿宋"/>
          <w:b/>
          <w:bCs/>
          <w:color w:val="auto"/>
          <w:sz w:val="28"/>
          <w:highlight w:val="none"/>
          <w:lang w:val="en-US" w:eastAsia="zh-CN"/>
        </w:rPr>
        <w:t>格</w:t>
      </w:r>
      <w:bookmarkEnd w:id="48"/>
    </w:p>
    <w:tbl>
      <w:tblPr>
        <w:tblStyle w:val="13"/>
        <w:tblW w:w="5156" w:type="pct"/>
        <w:tblInd w:w="-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5"/>
        <w:gridCol w:w="801"/>
        <w:gridCol w:w="1130"/>
        <w:gridCol w:w="3395"/>
        <w:gridCol w:w="429"/>
        <w:gridCol w:w="784"/>
        <w:gridCol w:w="1095"/>
        <w:gridCol w:w="1084"/>
        <w:gridCol w:w="619"/>
      </w:tblGrid>
      <w:tr w14:paraId="72583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242" w:type="pct"/>
            <w:vAlign w:val="center"/>
          </w:tcPr>
          <w:p w14:paraId="1D8BC4A1">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序号</w:t>
            </w:r>
          </w:p>
        </w:tc>
        <w:tc>
          <w:tcPr>
            <w:tcW w:w="408" w:type="pct"/>
            <w:vAlign w:val="center"/>
          </w:tcPr>
          <w:p w14:paraId="12AE7808">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产品名称</w:t>
            </w:r>
          </w:p>
        </w:tc>
        <w:tc>
          <w:tcPr>
            <w:tcW w:w="575" w:type="pct"/>
            <w:vAlign w:val="center"/>
          </w:tcPr>
          <w:p w14:paraId="6626B13E">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eastAsia="zh-CN"/>
              </w:rPr>
              <w:t>品牌、</w:t>
            </w:r>
            <w:r>
              <w:rPr>
                <w:rFonts w:hint="eastAsia" w:ascii="仿宋" w:hAnsi="仿宋" w:eastAsia="仿宋" w:cs="仿宋"/>
                <w:color w:val="auto"/>
                <w:sz w:val="24"/>
                <w:szCs w:val="24"/>
                <w:highlight w:val="none"/>
                <w:vertAlign w:val="baseline"/>
                <w:lang w:val="en-US" w:eastAsia="zh-CN"/>
              </w:rPr>
              <w:t>制造商、产地</w:t>
            </w:r>
          </w:p>
        </w:tc>
        <w:tc>
          <w:tcPr>
            <w:tcW w:w="1730" w:type="pct"/>
            <w:vAlign w:val="center"/>
          </w:tcPr>
          <w:p w14:paraId="2F222A3B">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eastAsia="zh-CN"/>
              </w:rPr>
              <w:t>型号、规格、</w:t>
            </w:r>
            <w:r>
              <w:rPr>
                <w:rFonts w:hint="eastAsia" w:ascii="仿宋" w:hAnsi="仿宋" w:eastAsia="仿宋" w:cs="仿宋"/>
                <w:color w:val="auto"/>
                <w:sz w:val="24"/>
                <w:szCs w:val="24"/>
                <w:highlight w:val="none"/>
                <w:vertAlign w:val="baseline"/>
                <w:lang w:val="en-US" w:eastAsia="zh-CN"/>
              </w:rPr>
              <w:t>尺寸、材质、颜色、质量等级等技术</w:t>
            </w:r>
            <w:r>
              <w:rPr>
                <w:rFonts w:hint="eastAsia" w:ascii="仿宋" w:hAnsi="仿宋" w:eastAsia="仿宋" w:cs="仿宋"/>
                <w:color w:val="auto"/>
                <w:sz w:val="24"/>
                <w:szCs w:val="24"/>
                <w:highlight w:val="none"/>
                <w:vertAlign w:val="baseline"/>
                <w:lang w:eastAsia="zh-CN"/>
              </w:rPr>
              <w:t>参数（</w:t>
            </w:r>
            <w:r>
              <w:rPr>
                <w:rFonts w:hint="eastAsia" w:ascii="仿宋" w:hAnsi="仿宋" w:eastAsia="仿宋" w:cs="仿宋"/>
                <w:color w:val="auto"/>
                <w:sz w:val="24"/>
                <w:szCs w:val="24"/>
                <w:highlight w:val="none"/>
                <w:vertAlign w:val="baseline"/>
                <w:lang w:val="en-US" w:eastAsia="zh-CN"/>
              </w:rPr>
              <w:t>如有图纸，详见附件</w:t>
            </w:r>
            <w:r>
              <w:rPr>
                <w:rFonts w:hint="eastAsia" w:ascii="仿宋" w:hAnsi="仿宋" w:eastAsia="仿宋" w:cs="仿宋"/>
                <w:color w:val="auto"/>
                <w:sz w:val="24"/>
                <w:szCs w:val="24"/>
                <w:highlight w:val="none"/>
                <w:vertAlign w:val="baseline"/>
                <w:lang w:eastAsia="zh-CN"/>
              </w:rPr>
              <w:t>）</w:t>
            </w:r>
          </w:p>
        </w:tc>
        <w:tc>
          <w:tcPr>
            <w:tcW w:w="218" w:type="pct"/>
            <w:vAlign w:val="center"/>
          </w:tcPr>
          <w:p w14:paraId="7CCA0498">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单位</w:t>
            </w:r>
          </w:p>
        </w:tc>
        <w:tc>
          <w:tcPr>
            <w:tcW w:w="399" w:type="pct"/>
            <w:vAlign w:val="center"/>
          </w:tcPr>
          <w:p w14:paraId="04969980">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暂定数量</w:t>
            </w:r>
          </w:p>
        </w:tc>
        <w:tc>
          <w:tcPr>
            <w:tcW w:w="557" w:type="pct"/>
            <w:vAlign w:val="center"/>
          </w:tcPr>
          <w:p w14:paraId="4A6B775D">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eastAsia="zh-CN"/>
              </w:rPr>
              <w:t>合同单价（元</w:t>
            </w:r>
            <w:r>
              <w:rPr>
                <w:rFonts w:hint="eastAsia" w:ascii="仿宋" w:hAnsi="仿宋" w:eastAsia="仿宋" w:cs="仿宋"/>
                <w:color w:val="auto"/>
                <w:sz w:val="24"/>
                <w:szCs w:val="24"/>
                <w:highlight w:val="none"/>
                <w:vertAlign w:val="baseline"/>
                <w:lang w:val="en-US" w:eastAsia="zh-CN"/>
              </w:rPr>
              <w:t>）</w:t>
            </w:r>
          </w:p>
        </w:tc>
        <w:tc>
          <w:tcPr>
            <w:tcW w:w="552" w:type="pct"/>
            <w:vAlign w:val="center"/>
          </w:tcPr>
          <w:p w14:paraId="6E2BAB4A">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暂定</w:t>
            </w:r>
            <w:r>
              <w:rPr>
                <w:rFonts w:hint="eastAsia" w:ascii="仿宋" w:hAnsi="仿宋" w:eastAsia="仿宋" w:cs="仿宋"/>
                <w:color w:val="auto"/>
                <w:sz w:val="24"/>
                <w:szCs w:val="24"/>
                <w:highlight w:val="none"/>
                <w:vertAlign w:val="baseline"/>
                <w:lang w:val="en-US" w:eastAsia="zh-CN"/>
              </w:rPr>
              <w:t>合</w:t>
            </w:r>
            <w:r>
              <w:rPr>
                <w:rFonts w:hint="eastAsia" w:ascii="仿宋" w:hAnsi="仿宋" w:eastAsia="仿宋" w:cs="仿宋"/>
                <w:color w:val="auto"/>
                <w:sz w:val="24"/>
                <w:szCs w:val="24"/>
                <w:highlight w:val="none"/>
                <w:vertAlign w:val="baseline"/>
                <w:lang w:eastAsia="zh-CN"/>
              </w:rPr>
              <w:t>价（元）</w:t>
            </w:r>
          </w:p>
        </w:tc>
        <w:tc>
          <w:tcPr>
            <w:tcW w:w="315" w:type="pct"/>
            <w:vAlign w:val="center"/>
          </w:tcPr>
          <w:p w14:paraId="36634720">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备注</w:t>
            </w:r>
          </w:p>
        </w:tc>
      </w:tr>
      <w:tr w14:paraId="77CB4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42" w:type="pct"/>
            <w:vAlign w:val="center"/>
          </w:tcPr>
          <w:p w14:paraId="1B895D18">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vertAlign w:val="baseline"/>
                <w:lang w:val="en-US" w:eastAsia="zh-CN"/>
              </w:rPr>
            </w:pPr>
            <w:r>
              <w:rPr>
                <w:rFonts w:hint="eastAsia" w:ascii="仿宋" w:hAnsi="仿宋" w:eastAsia="仿宋" w:cs="仿宋"/>
                <w:color w:val="auto"/>
                <w:sz w:val="28"/>
                <w:szCs w:val="28"/>
                <w:highlight w:val="none"/>
                <w:vertAlign w:val="baseline"/>
                <w:lang w:val="en-US" w:eastAsia="zh-CN"/>
              </w:rPr>
              <w:t>1</w:t>
            </w:r>
          </w:p>
        </w:tc>
        <w:tc>
          <w:tcPr>
            <w:tcW w:w="408" w:type="pct"/>
            <w:vAlign w:val="center"/>
          </w:tcPr>
          <w:p w14:paraId="484F3382">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双层铁床（含床板）</w:t>
            </w:r>
          </w:p>
        </w:tc>
        <w:tc>
          <w:tcPr>
            <w:tcW w:w="575" w:type="pct"/>
            <w:vAlign w:val="center"/>
          </w:tcPr>
          <w:p w14:paraId="758AECE1">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vertAlign w:val="baseline"/>
                <w:lang w:val="en-US" w:eastAsia="zh-CN"/>
              </w:rPr>
            </w:pPr>
          </w:p>
        </w:tc>
        <w:tc>
          <w:tcPr>
            <w:tcW w:w="1730" w:type="pct"/>
            <w:vAlign w:val="center"/>
          </w:tcPr>
          <w:p w14:paraId="43F7710A">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1、上下单人铺铁床，每张床含2张杉木板床板,床板厚度12mm。</w:t>
            </w:r>
          </w:p>
          <w:p w14:paraId="2C7CA2E6">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2、尺寸：2米×0.9米×1.8米（长*宽*高）</w:t>
            </w:r>
          </w:p>
          <w:p w14:paraId="480BE39F">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床头立柱：采用 40mm*40m*1.2mm方管；</w:t>
            </w:r>
          </w:p>
          <w:p w14:paraId="47BFC0F8">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床头拉换：采用 25mm*25mm*1.2mm方管；</w:t>
            </w:r>
          </w:p>
          <w:p w14:paraId="0292FA05">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床头小立柱:采用20mm*20mm*0.8mm方管；</w:t>
            </w:r>
          </w:p>
          <w:p w14:paraId="67235EAA">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床挺：采用40mm*40mm*3.0mm角钢；</w:t>
            </w:r>
          </w:p>
          <w:p w14:paraId="1DF51C68">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床拉换:采用25mm*25mm*1.2mm方管;共6根均匀分布；</w:t>
            </w:r>
          </w:p>
          <w:p w14:paraId="65A9142A">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护栏：采用φ19*0.8mm圆管；</w:t>
            </w:r>
          </w:p>
          <w:p w14:paraId="2A8E6A49">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仿宋" w:hAnsi="仿宋" w:eastAsia="仿宋" w:cs="仿宋"/>
                <w:color w:val="auto"/>
                <w:sz w:val="24"/>
                <w:szCs w:val="24"/>
                <w:highlight w:val="none"/>
                <w:vertAlign w:val="baseline"/>
                <w:lang w:val="en-US" w:eastAsia="zh-CN"/>
              </w:rPr>
            </w:pPr>
            <w:r>
              <w:rPr>
                <w:rFonts w:hint="eastAsia" w:ascii="仿宋" w:hAnsi="仿宋" w:eastAsia="仿宋" w:cs="仿宋"/>
                <w:color w:val="auto"/>
                <w:sz w:val="24"/>
                <w:szCs w:val="24"/>
                <w:highlight w:val="none"/>
                <w:vertAlign w:val="baseline"/>
                <w:lang w:val="en-US" w:eastAsia="zh-CN"/>
              </w:rPr>
              <w:t>爬梯：采用25mm*25mm*0.8mm方管焊接；楼梯踏板采用1.2mm厚优质冷轧钢板经冲压而成，踏板下面有一条25*25的优质方管与楼梯支架焊接。</w:t>
            </w:r>
          </w:p>
        </w:tc>
        <w:tc>
          <w:tcPr>
            <w:tcW w:w="218" w:type="pct"/>
            <w:vAlign w:val="center"/>
          </w:tcPr>
          <w:p w14:paraId="10D4CC14">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4"/>
                <w:szCs w:val="24"/>
                <w:highlight w:val="none"/>
                <w:vertAlign w:val="baseline"/>
                <w:lang w:eastAsia="zh-CN"/>
              </w:rPr>
            </w:pPr>
            <w:r>
              <w:rPr>
                <w:rFonts w:hint="eastAsia" w:ascii="仿宋" w:hAnsi="仿宋" w:eastAsia="仿宋" w:cs="仿宋"/>
                <w:color w:val="auto"/>
                <w:sz w:val="24"/>
                <w:szCs w:val="24"/>
                <w:highlight w:val="none"/>
                <w:vertAlign w:val="baseline"/>
                <w:lang w:eastAsia="zh-CN"/>
              </w:rPr>
              <w:t>张</w:t>
            </w:r>
          </w:p>
        </w:tc>
        <w:tc>
          <w:tcPr>
            <w:tcW w:w="399" w:type="pct"/>
            <w:vAlign w:val="center"/>
          </w:tcPr>
          <w:p w14:paraId="13DB6DF3">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vertAlign w:val="baseline"/>
                <w:lang w:val="en-US" w:eastAsia="zh-CN"/>
              </w:rPr>
            </w:pPr>
            <w:r>
              <w:rPr>
                <w:rFonts w:hint="eastAsia" w:ascii="仿宋" w:hAnsi="仿宋" w:eastAsia="仿宋" w:cs="仿宋"/>
                <w:color w:val="auto"/>
                <w:sz w:val="28"/>
                <w:szCs w:val="28"/>
                <w:highlight w:val="none"/>
                <w:vertAlign w:val="baseline"/>
                <w:lang w:val="en-US" w:eastAsia="zh-CN"/>
              </w:rPr>
              <w:t>315</w:t>
            </w:r>
          </w:p>
        </w:tc>
        <w:tc>
          <w:tcPr>
            <w:tcW w:w="557" w:type="pct"/>
            <w:vAlign w:val="center"/>
          </w:tcPr>
          <w:p w14:paraId="31BD7573">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vertAlign w:val="baseline"/>
                <w:lang w:val="en-US" w:eastAsia="zh-CN"/>
              </w:rPr>
            </w:pPr>
          </w:p>
        </w:tc>
        <w:tc>
          <w:tcPr>
            <w:tcW w:w="552" w:type="pct"/>
            <w:vAlign w:val="center"/>
          </w:tcPr>
          <w:p w14:paraId="0408AAF9">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vertAlign w:val="baseline"/>
                <w:lang w:val="en-US" w:eastAsia="zh-CN"/>
              </w:rPr>
            </w:pPr>
          </w:p>
        </w:tc>
        <w:tc>
          <w:tcPr>
            <w:tcW w:w="315" w:type="pct"/>
            <w:vAlign w:val="center"/>
          </w:tcPr>
          <w:p w14:paraId="1F50E340">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auto"/>
                <w:sz w:val="28"/>
                <w:szCs w:val="28"/>
                <w:highlight w:val="none"/>
                <w:vertAlign w:val="baseline"/>
                <w:lang w:val="en-US" w:eastAsia="zh-CN"/>
              </w:rPr>
            </w:pPr>
          </w:p>
        </w:tc>
      </w:tr>
      <w:tr w14:paraId="21D29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2956" w:type="pct"/>
            <w:gridSpan w:val="4"/>
            <w:vAlign w:val="center"/>
          </w:tcPr>
          <w:p w14:paraId="0F9BFF0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lang w:val="en-US" w:eastAsia="zh-CN"/>
              </w:rPr>
              <w:t>合同暂定总价</w:t>
            </w:r>
          </w:p>
        </w:tc>
        <w:tc>
          <w:tcPr>
            <w:tcW w:w="2043" w:type="pct"/>
            <w:gridSpan w:val="5"/>
            <w:vAlign w:val="center"/>
          </w:tcPr>
          <w:p w14:paraId="0B3763B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u w:val="single"/>
                <w:vertAlign w:val="baseline"/>
                <w:lang w:val="en-US" w:eastAsia="zh-CN"/>
              </w:rPr>
              <w:t xml:space="preserve">          </w:t>
            </w:r>
            <w:r>
              <w:rPr>
                <w:rFonts w:hint="eastAsia" w:ascii="仿宋" w:hAnsi="仿宋" w:eastAsia="仿宋" w:cs="仿宋"/>
                <w:b/>
                <w:bCs/>
                <w:color w:val="auto"/>
                <w:sz w:val="28"/>
                <w:szCs w:val="28"/>
                <w:highlight w:val="none"/>
                <w:vertAlign w:val="baseline"/>
                <w:lang w:val="en-US" w:eastAsia="zh-CN"/>
              </w:rPr>
              <w:t xml:space="preserve">元 </w:t>
            </w:r>
          </w:p>
        </w:tc>
      </w:tr>
    </w:tbl>
    <w:p w14:paraId="662E6C56">
      <w:pPr>
        <w:keepNext w:val="0"/>
        <w:keepLines w:val="0"/>
        <w:pageBreakBefore w:val="0"/>
        <w:widowControl w:val="0"/>
        <w:numPr>
          <w:ilvl w:val="1"/>
          <w:numId w:val="2"/>
        </w:numPr>
        <w:shd w:val="clea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u w:val="none"/>
          <w:vertAlign w:val="baseline"/>
          <w:lang w:eastAsia="zh-CN"/>
        </w:rPr>
      </w:pPr>
      <w:r>
        <w:rPr>
          <w:rFonts w:hint="eastAsia" w:ascii="仿宋" w:hAnsi="仿宋" w:eastAsia="仿宋" w:cs="仿宋"/>
          <w:color w:val="auto"/>
          <w:sz w:val="28"/>
          <w:szCs w:val="28"/>
          <w:highlight w:val="none"/>
          <w:vertAlign w:val="baseline"/>
          <w:lang w:val="en-US" w:eastAsia="zh-CN"/>
        </w:rPr>
        <w:t>本合同为固定单价合同（合同单价详见附件《报价清单》），</w:t>
      </w:r>
      <w:r>
        <w:rPr>
          <w:rFonts w:hint="eastAsia" w:ascii="仿宋" w:hAnsi="仿宋" w:eastAsia="仿宋" w:cs="仿宋"/>
          <w:color w:val="auto"/>
          <w:kern w:val="2"/>
          <w:sz w:val="28"/>
          <w:szCs w:val="28"/>
          <w:highlight w:val="none"/>
          <w:u w:val="none"/>
          <w:lang w:val="en-US" w:eastAsia="zh-CN" w:bidi="ar-SA"/>
        </w:rPr>
        <w:t>根据产品按暂定数量计算，</w:t>
      </w:r>
      <w:r>
        <w:rPr>
          <w:rFonts w:hint="eastAsia" w:ascii="仿宋" w:hAnsi="仿宋" w:eastAsia="仿宋" w:cs="仿宋"/>
          <w:color w:val="auto"/>
          <w:sz w:val="28"/>
          <w:szCs w:val="28"/>
          <w:highlight w:val="none"/>
          <w:vertAlign w:val="baseline"/>
        </w:rPr>
        <w:t>合同暂定总价</w:t>
      </w:r>
      <w:r>
        <w:rPr>
          <w:rFonts w:hint="eastAsia" w:ascii="仿宋" w:hAnsi="仿宋" w:eastAsia="仿宋" w:cs="仿宋"/>
          <w:color w:val="auto"/>
          <w:sz w:val="28"/>
          <w:szCs w:val="28"/>
          <w:highlight w:val="none"/>
          <w:u w:val="single"/>
          <w:vertAlign w:val="baseline"/>
          <w:lang w:val="en-US" w:eastAsia="zh-CN"/>
        </w:rPr>
        <w:t xml:space="preserve"> </w:t>
      </w:r>
      <w:r>
        <w:rPr>
          <w:rFonts w:hint="eastAsia" w:ascii="仿宋" w:hAnsi="仿宋" w:eastAsia="仿宋" w:cs="仿宋"/>
          <w:color w:val="auto"/>
          <w:sz w:val="28"/>
          <w:szCs w:val="28"/>
          <w:highlight w:val="none"/>
          <w:u w:val="single"/>
          <w:vertAlign w:val="baseline"/>
          <w:lang w:val="en-US" w:eastAsia="zh-CN"/>
        </w:rPr>
        <w:t xml:space="preserve">  </w:t>
      </w:r>
      <w:r>
        <w:rPr>
          <w:rFonts w:hint="eastAsia" w:ascii="仿宋" w:hAnsi="仿宋" w:eastAsia="仿宋" w:cs="仿宋"/>
          <w:color w:val="auto"/>
          <w:sz w:val="28"/>
          <w:szCs w:val="28"/>
          <w:highlight w:val="none"/>
          <w:u w:val="single"/>
          <w:vertAlign w:val="baseline"/>
          <w:lang w:val="en-US" w:eastAsia="zh-CN"/>
        </w:rPr>
        <w:t xml:space="preserve"> </w:t>
      </w:r>
      <w:r>
        <w:rPr>
          <w:rFonts w:hint="eastAsia" w:ascii="仿宋" w:hAnsi="仿宋" w:eastAsia="仿宋" w:cs="仿宋"/>
          <w:color w:val="auto"/>
          <w:sz w:val="28"/>
          <w:szCs w:val="28"/>
          <w:highlight w:val="none"/>
          <w:u w:val="none"/>
          <w:vertAlign w:val="baseline"/>
          <w:lang w:val="en-US" w:eastAsia="zh-CN"/>
        </w:rPr>
        <w:t>元，暂定总价</w:t>
      </w:r>
      <w:r>
        <w:rPr>
          <w:rFonts w:hint="eastAsia" w:ascii="仿宋" w:hAnsi="仿宋" w:eastAsia="仿宋" w:cs="仿宋"/>
          <w:color w:val="auto"/>
          <w:sz w:val="28"/>
          <w:szCs w:val="28"/>
          <w:highlight w:val="none"/>
          <w:vertAlign w:val="baseline"/>
        </w:rPr>
        <w:t>仅供参考，不作结算用途。</w:t>
      </w:r>
      <w:r>
        <w:rPr>
          <w:rFonts w:hint="eastAsia" w:ascii="仿宋" w:hAnsi="仿宋" w:eastAsia="仿宋" w:cs="仿宋"/>
          <w:color w:val="auto"/>
          <w:kern w:val="2"/>
          <w:sz w:val="28"/>
          <w:szCs w:val="28"/>
          <w:highlight w:val="none"/>
          <w:u w:val="none"/>
          <w:lang w:val="en-US" w:eastAsia="zh-CN" w:bidi="ar-SA"/>
        </w:rPr>
        <w:t xml:space="preserve"> </w:t>
      </w:r>
      <w:r>
        <w:rPr>
          <w:rFonts w:hint="eastAsia" w:ascii="仿宋" w:hAnsi="仿宋" w:eastAsia="仿宋" w:cs="仿宋"/>
          <w:color w:val="auto"/>
          <w:sz w:val="28"/>
          <w:szCs w:val="28"/>
          <w:highlight w:val="none"/>
          <w:vertAlign w:val="baseline"/>
        </w:rPr>
        <w:t>合同单价含</w:t>
      </w:r>
      <w:r>
        <w:rPr>
          <w:rFonts w:hint="eastAsia" w:ascii="仿宋" w:hAnsi="仿宋" w:eastAsia="仿宋" w:cs="仿宋"/>
          <w:color w:val="auto"/>
          <w:sz w:val="28"/>
          <w:szCs w:val="28"/>
          <w:highlight w:val="none"/>
          <w:vertAlign w:val="baseline"/>
          <w:lang w:eastAsia="zh-CN"/>
        </w:rPr>
        <w:t>产品费、</w:t>
      </w:r>
      <w:r>
        <w:rPr>
          <w:rFonts w:hint="eastAsia" w:ascii="仿宋" w:hAnsi="仿宋" w:eastAsia="仿宋" w:cs="仿宋"/>
          <w:color w:val="auto"/>
          <w:sz w:val="28"/>
          <w:szCs w:val="28"/>
          <w:highlight w:val="none"/>
          <w:vertAlign w:val="baseline"/>
        </w:rPr>
        <w:t>材料费、人工费（指</w:t>
      </w:r>
      <w:r>
        <w:rPr>
          <w:rFonts w:hint="eastAsia" w:ascii="仿宋" w:hAnsi="仿宋" w:eastAsia="仿宋" w:cs="仿宋"/>
          <w:color w:val="auto"/>
          <w:sz w:val="28"/>
          <w:szCs w:val="28"/>
          <w:highlight w:val="none"/>
          <w:vertAlign w:val="baseline"/>
          <w:lang w:val="en-US" w:eastAsia="zh-CN"/>
        </w:rPr>
        <w:t>产品移交给甲方所需</w:t>
      </w:r>
      <w:r>
        <w:rPr>
          <w:rFonts w:hint="eastAsia" w:ascii="仿宋" w:hAnsi="仿宋" w:eastAsia="仿宋" w:cs="仿宋"/>
          <w:color w:val="auto"/>
          <w:sz w:val="28"/>
          <w:szCs w:val="28"/>
          <w:highlight w:val="none"/>
          <w:vertAlign w:val="baseline"/>
        </w:rPr>
        <w:t>的所有人工费）、包装费、运输费、</w:t>
      </w:r>
      <w:r>
        <w:rPr>
          <w:rFonts w:hint="eastAsia" w:ascii="仿宋" w:hAnsi="仿宋" w:eastAsia="仿宋" w:cs="仿宋"/>
          <w:color w:val="auto"/>
          <w:sz w:val="28"/>
          <w:szCs w:val="28"/>
          <w:highlight w:val="none"/>
          <w:shd w:val="clear"/>
          <w:vertAlign w:val="baseline"/>
          <w:lang w:eastAsia="zh-CN"/>
        </w:rPr>
        <w:t>装卸费（</w:t>
      </w:r>
      <w:r>
        <w:rPr>
          <w:rFonts w:hint="eastAsia" w:ascii="仿宋" w:hAnsi="仿宋" w:eastAsia="仿宋" w:cs="仿宋"/>
          <w:color w:val="auto"/>
          <w:sz w:val="28"/>
          <w:szCs w:val="28"/>
          <w:highlight w:val="none"/>
          <w:shd w:val="clear"/>
          <w:vertAlign w:val="baseline"/>
          <w:lang w:val="en-US" w:eastAsia="zh-CN"/>
        </w:rPr>
        <w:t>产品由乙方负责装车，卸车由：</w:t>
      </w:r>
      <w:r>
        <w:rPr>
          <w:rFonts w:hint="eastAsia" w:ascii="仿宋" w:hAnsi="仿宋" w:eastAsia="仿宋" w:cs="仿宋"/>
          <w:color w:val="auto"/>
          <w:sz w:val="28"/>
          <w:szCs w:val="28"/>
          <w:highlight w:val="none"/>
          <w:shd w:val="clear"/>
          <w:vertAlign w:val="baseline"/>
          <w:lang w:val="en-US" w:eastAsia="zh-CN"/>
        </w:rPr>
        <w:sym w:font="Wingdings 2" w:char="0052"/>
      </w:r>
      <w:r>
        <w:rPr>
          <w:rFonts w:hint="eastAsia" w:ascii="仿宋" w:hAnsi="仿宋" w:eastAsia="仿宋" w:cs="仿宋"/>
          <w:color w:val="auto"/>
          <w:sz w:val="28"/>
          <w:szCs w:val="28"/>
          <w:highlight w:val="none"/>
          <w:shd w:val="clear"/>
          <w:vertAlign w:val="baseline"/>
          <w:lang w:val="en-US" w:eastAsia="zh-CN"/>
        </w:rPr>
        <w:t>乙方负责/</w:t>
      </w:r>
      <w:r>
        <w:rPr>
          <w:rFonts w:hint="eastAsia" w:ascii="仿宋" w:hAnsi="仿宋" w:eastAsia="仿宋" w:cs="仿宋"/>
          <w:color w:val="auto"/>
          <w:sz w:val="28"/>
          <w:szCs w:val="28"/>
          <w:highlight w:val="none"/>
          <w:shd w:val="clear"/>
          <w:vertAlign w:val="baseline"/>
          <w:lang w:val="en-US" w:eastAsia="zh-CN"/>
        </w:rPr>
        <w:sym w:font="Wingdings 2" w:char="00A3"/>
      </w:r>
      <w:r>
        <w:rPr>
          <w:rFonts w:hint="eastAsia" w:ascii="仿宋" w:hAnsi="仿宋" w:eastAsia="仿宋" w:cs="仿宋"/>
          <w:color w:val="auto"/>
          <w:sz w:val="28"/>
          <w:szCs w:val="28"/>
          <w:highlight w:val="none"/>
          <w:shd w:val="clear"/>
          <w:vertAlign w:val="baseline"/>
          <w:lang w:val="en-US" w:eastAsia="zh-CN"/>
        </w:rPr>
        <w:t>甲方负责</w:t>
      </w:r>
      <w:r>
        <w:rPr>
          <w:rFonts w:hint="eastAsia" w:ascii="仿宋" w:hAnsi="仿宋" w:eastAsia="仿宋" w:cs="仿宋"/>
          <w:color w:val="auto"/>
          <w:sz w:val="28"/>
          <w:szCs w:val="28"/>
          <w:highlight w:val="none"/>
          <w:shd w:val="clear"/>
          <w:vertAlign w:val="baseline"/>
          <w:lang w:eastAsia="zh-CN"/>
        </w:rPr>
        <w:t>）、安装费（</w:t>
      </w:r>
      <w:r>
        <w:rPr>
          <w:rFonts w:hint="eastAsia" w:ascii="仿宋" w:hAnsi="仿宋" w:eastAsia="仿宋" w:cs="仿宋"/>
          <w:color w:val="auto"/>
          <w:sz w:val="28"/>
          <w:szCs w:val="28"/>
          <w:highlight w:val="none"/>
          <w:shd w:val="clear"/>
          <w:vertAlign w:val="baseline"/>
          <w:lang w:val="en-US" w:eastAsia="zh-CN"/>
        </w:rPr>
        <w:t>产品安装由：</w:t>
      </w:r>
      <w:r>
        <w:rPr>
          <w:rFonts w:hint="eastAsia" w:ascii="仿宋" w:hAnsi="仿宋" w:eastAsia="仿宋" w:cs="仿宋"/>
          <w:color w:val="auto"/>
          <w:sz w:val="28"/>
          <w:szCs w:val="28"/>
          <w:highlight w:val="none"/>
          <w:shd w:val="clear"/>
          <w:vertAlign w:val="baseline"/>
          <w:lang w:val="en-US" w:eastAsia="zh-CN"/>
        </w:rPr>
        <w:sym w:font="Wingdings 2" w:char="0052"/>
      </w:r>
      <w:r>
        <w:rPr>
          <w:rFonts w:hint="eastAsia" w:ascii="仿宋" w:hAnsi="仿宋" w:eastAsia="仿宋" w:cs="仿宋"/>
          <w:color w:val="auto"/>
          <w:sz w:val="28"/>
          <w:szCs w:val="28"/>
          <w:highlight w:val="none"/>
          <w:shd w:val="clear"/>
          <w:vertAlign w:val="baseline"/>
          <w:lang w:val="en-US" w:eastAsia="zh-CN"/>
        </w:rPr>
        <w:t>乙方负责/</w:t>
      </w:r>
      <w:r>
        <w:rPr>
          <w:rFonts w:hint="eastAsia" w:ascii="仿宋" w:hAnsi="仿宋" w:eastAsia="仿宋" w:cs="仿宋"/>
          <w:color w:val="auto"/>
          <w:sz w:val="28"/>
          <w:szCs w:val="28"/>
          <w:highlight w:val="none"/>
          <w:shd w:val="clear"/>
          <w:vertAlign w:val="baseline"/>
          <w:lang w:val="en-US" w:eastAsia="zh-CN"/>
        </w:rPr>
        <w:sym w:font="Wingdings 2" w:char="00A3"/>
      </w:r>
      <w:r>
        <w:rPr>
          <w:rFonts w:hint="eastAsia" w:ascii="仿宋" w:hAnsi="仿宋" w:eastAsia="仿宋" w:cs="仿宋"/>
          <w:color w:val="auto"/>
          <w:sz w:val="28"/>
          <w:szCs w:val="28"/>
          <w:highlight w:val="none"/>
          <w:shd w:val="clear"/>
          <w:vertAlign w:val="baseline"/>
          <w:lang w:val="en-US" w:eastAsia="zh-CN"/>
        </w:rPr>
        <w:t>甲方负责</w:t>
      </w:r>
      <w:r>
        <w:rPr>
          <w:rFonts w:hint="eastAsia" w:ascii="仿宋" w:hAnsi="仿宋" w:eastAsia="仿宋" w:cs="仿宋"/>
          <w:color w:val="auto"/>
          <w:sz w:val="28"/>
          <w:szCs w:val="28"/>
          <w:highlight w:val="none"/>
          <w:shd w:val="clear"/>
          <w:vertAlign w:val="baseline"/>
          <w:lang w:eastAsia="zh-CN"/>
        </w:rPr>
        <w:t>）、</w:t>
      </w:r>
      <w:r>
        <w:rPr>
          <w:rFonts w:hint="eastAsia" w:ascii="仿宋" w:hAnsi="仿宋" w:eastAsia="仿宋" w:cs="仿宋"/>
          <w:color w:val="auto"/>
          <w:sz w:val="28"/>
          <w:szCs w:val="28"/>
          <w:highlight w:val="none"/>
          <w:shd w:val="clear"/>
          <w:vertAlign w:val="baseline"/>
          <w:lang w:val="en-US" w:eastAsia="zh-CN"/>
        </w:rPr>
        <w:t>调试费</w:t>
      </w:r>
      <w:r>
        <w:rPr>
          <w:rFonts w:hint="eastAsia" w:ascii="仿宋" w:hAnsi="仿宋" w:eastAsia="仿宋" w:cs="仿宋"/>
          <w:color w:val="auto"/>
          <w:sz w:val="28"/>
          <w:szCs w:val="28"/>
          <w:highlight w:val="none"/>
          <w:shd w:val="clear"/>
          <w:vertAlign w:val="baseline"/>
          <w:lang w:eastAsia="zh-CN"/>
        </w:rPr>
        <w:t>（</w:t>
      </w:r>
      <w:r>
        <w:rPr>
          <w:rFonts w:hint="eastAsia" w:ascii="仿宋" w:hAnsi="仿宋" w:eastAsia="仿宋" w:cs="仿宋"/>
          <w:color w:val="auto"/>
          <w:sz w:val="28"/>
          <w:szCs w:val="28"/>
          <w:highlight w:val="none"/>
          <w:shd w:val="clear"/>
          <w:vertAlign w:val="baseline"/>
          <w:lang w:val="en-US" w:eastAsia="zh-CN"/>
        </w:rPr>
        <w:t>产品调试由：</w:t>
      </w:r>
      <w:r>
        <w:rPr>
          <w:rFonts w:hint="eastAsia" w:ascii="仿宋" w:hAnsi="仿宋" w:eastAsia="仿宋" w:cs="仿宋"/>
          <w:color w:val="auto"/>
          <w:sz w:val="28"/>
          <w:szCs w:val="28"/>
          <w:highlight w:val="none"/>
          <w:shd w:val="clear"/>
          <w:vertAlign w:val="baseline"/>
          <w:lang w:val="en-US" w:eastAsia="zh-CN"/>
        </w:rPr>
        <w:sym w:font="Wingdings 2" w:char="0052"/>
      </w:r>
      <w:r>
        <w:rPr>
          <w:rFonts w:hint="eastAsia" w:ascii="仿宋" w:hAnsi="仿宋" w:eastAsia="仿宋" w:cs="仿宋"/>
          <w:color w:val="auto"/>
          <w:sz w:val="28"/>
          <w:szCs w:val="28"/>
          <w:highlight w:val="none"/>
          <w:shd w:val="clear"/>
          <w:vertAlign w:val="baseline"/>
          <w:lang w:val="en-US" w:eastAsia="zh-CN"/>
        </w:rPr>
        <w:t>乙方负责/</w:t>
      </w:r>
      <w:r>
        <w:rPr>
          <w:rFonts w:hint="eastAsia" w:ascii="仿宋" w:hAnsi="仿宋" w:eastAsia="仿宋" w:cs="仿宋"/>
          <w:color w:val="auto"/>
          <w:sz w:val="28"/>
          <w:szCs w:val="28"/>
          <w:highlight w:val="none"/>
          <w:shd w:val="clear"/>
          <w:vertAlign w:val="baseline"/>
          <w:lang w:val="en-US" w:eastAsia="zh-CN"/>
        </w:rPr>
        <w:sym w:font="Wingdings 2" w:char="00A3"/>
      </w:r>
      <w:r>
        <w:rPr>
          <w:rFonts w:hint="eastAsia" w:ascii="仿宋" w:hAnsi="仿宋" w:eastAsia="仿宋" w:cs="仿宋"/>
          <w:color w:val="auto"/>
          <w:sz w:val="28"/>
          <w:szCs w:val="28"/>
          <w:highlight w:val="none"/>
          <w:shd w:val="clear"/>
          <w:vertAlign w:val="baseline"/>
          <w:lang w:val="en-US" w:eastAsia="zh-CN"/>
        </w:rPr>
        <w:t>甲方负责</w:t>
      </w:r>
      <w:r>
        <w:rPr>
          <w:rFonts w:hint="eastAsia" w:ascii="仿宋" w:hAnsi="仿宋" w:eastAsia="仿宋" w:cs="仿宋"/>
          <w:color w:val="auto"/>
          <w:sz w:val="28"/>
          <w:szCs w:val="28"/>
          <w:highlight w:val="none"/>
          <w:shd w:val="clear"/>
          <w:vertAlign w:val="baseline"/>
          <w:lang w:eastAsia="zh-CN"/>
        </w:rPr>
        <w:t>）</w:t>
      </w:r>
      <w:r>
        <w:rPr>
          <w:rFonts w:hint="eastAsia" w:ascii="仿宋" w:hAnsi="仿宋" w:eastAsia="仿宋" w:cs="仿宋"/>
          <w:color w:val="auto"/>
          <w:sz w:val="28"/>
          <w:szCs w:val="28"/>
          <w:highlight w:val="none"/>
          <w:vertAlign w:val="baseline"/>
          <w:lang w:val="en-US" w:eastAsia="zh-CN"/>
        </w:rPr>
        <w:t>、</w:t>
      </w:r>
      <w:r>
        <w:rPr>
          <w:rFonts w:hint="eastAsia" w:ascii="仿宋" w:hAnsi="仿宋" w:eastAsia="仿宋" w:cs="仿宋"/>
          <w:b w:val="0"/>
          <w:bCs w:val="0"/>
          <w:color w:val="auto"/>
          <w:sz w:val="28"/>
          <w:szCs w:val="28"/>
          <w:highlight w:val="none"/>
          <w:u w:val="none"/>
          <w:vertAlign w:val="baseline"/>
          <w:lang w:val="en-US" w:eastAsia="zh-CN"/>
        </w:rPr>
        <w:t>免费提供</w:t>
      </w:r>
      <w:r>
        <w:rPr>
          <w:rFonts w:hint="eastAsia" w:ascii="仿宋" w:hAnsi="仿宋" w:eastAsia="仿宋" w:cs="仿宋"/>
          <w:color w:val="auto"/>
          <w:sz w:val="28"/>
          <w:szCs w:val="28"/>
          <w:highlight w:val="none"/>
          <w:u w:val="none"/>
          <w:vertAlign w:val="baseline"/>
          <w:lang w:val="en-US" w:eastAsia="zh-CN"/>
        </w:rPr>
        <w:t>检验检测所需产品（</w:t>
      </w:r>
      <w:r>
        <w:rPr>
          <w:rFonts w:hint="eastAsia" w:ascii="仿宋" w:hAnsi="仿宋" w:eastAsia="仿宋" w:cs="仿宋"/>
          <w:color w:val="auto"/>
          <w:sz w:val="28"/>
          <w:szCs w:val="28"/>
          <w:highlight w:val="none"/>
          <w:u w:val="none"/>
          <w:vertAlign w:val="baseline"/>
          <w:lang w:val="en-US" w:eastAsia="zh-CN"/>
        </w:rPr>
        <w:t>如有，</w:t>
      </w:r>
      <w:r>
        <w:rPr>
          <w:rFonts w:hint="eastAsia" w:ascii="仿宋" w:hAnsi="仿宋" w:eastAsia="仿宋" w:cs="仿宋"/>
          <w:color w:val="auto"/>
          <w:sz w:val="28"/>
          <w:szCs w:val="28"/>
          <w:highlight w:val="none"/>
          <w:u w:val="none"/>
          <w:vertAlign w:val="baseline"/>
          <w:lang w:val="en-US" w:eastAsia="zh-CN"/>
        </w:rPr>
        <w:t>数量按当地送检取样要求）及检验检测费（</w:t>
      </w:r>
      <w:r>
        <w:rPr>
          <w:rFonts w:hint="eastAsia" w:ascii="仿宋" w:hAnsi="仿宋" w:eastAsia="仿宋" w:cs="仿宋"/>
          <w:color w:val="auto"/>
          <w:sz w:val="28"/>
          <w:szCs w:val="28"/>
          <w:highlight w:val="none"/>
          <w:u w:val="none"/>
          <w:vertAlign w:val="baseline"/>
          <w:lang w:val="en-US" w:eastAsia="zh-CN"/>
        </w:rPr>
        <w:t>如有，</w:t>
      </w:r>
      <w:r>
        <w:rPr>
          <w:rFonts w:hint="eastAsia" w:ascii="仿宋" w:hAnsi="仿宋" w:eastAsia="仿宋" w:cs="仿宋"/>
          <w:color w:val="auto"/>
          <w:sz w:val="28"/>
          <w:szCs w:val="28"/>
          <w:highlight w:val="none"/>
          <w:u w:val="none"/>
          <w:vertAlign w:val="baseline"/>
          <w:lang w:val="en-US" w:eastAsia="zh-CN"/>
        </w:rPr>
        <w:t>产品移交甲方前的所有检验检测费用，检验检测须符合产品使用地点政府主管部门要求）、</w:t>
      </w:r>
      <w:r>
        <w:rPr>
          <w:rFonts w:hint="eastAsia" w:ascii="仿宋" w:hAnsi="仿宋" w:eastAsia="仿宋" w:cs="仿宋"/>
          <w:color w:val="auto"/>
          <w:sz w:val="28"/>
          <w:szCs w:val="28"/>
          <w:highlight w:val="none"/>
          <w:u w:val="none"/>
          <w:vertAlign w:val="baseline"/>
        </w:rPr>
        <w:t>保险费、利</w:t>
      </w:r>
      <w:r>
        <w:rPr>
          <w:rFonts w:hint="eastAsia" w:ascii="仿宋" w:hAnsi="仿宋" w:eastAsia="仿宋" w:cs="仿宋"/>
          <w:color w:val="auto"/>
          <w:sz w:val="28"/>
          <w:szCs w:val="28"/>
          <w:highlight w:val="none"/>
          <w:vertAlign w:val="baseline"/>
        </w:rPr>
        <w:t>润、管理费、税金（</w:t>
      </w:r>
      <w:r>
        <w:rPr>
          <w:rFonts w:hint="eastAsia" w:ascii="仿宋" w:hAnsi="仿宋" w:eastAsia="仿宋" w:cs="仿宋"/>
          <w:color w:val="auto"/>
          <w:sz w:val="28"/>
          <w:szCs w:val="28"/>
          <w:highlight w:val="none"/>
          <w:vertAlign w:val="baseline"/>
          <w:lang w:val="en-US" w:eastAsia="zh-CN"/>
        </w:rPr>
        <w:t>乙方</w:t>
      </w:r>
      <w:r>
        <w:rPr>
          <w:rFonts w:hint="eastAsia" w:ascii="仿宋" w:hAnsi="仿宋" w:eastAsia="仿宋" w:cs="仿宋"/>
          <w:color w:val="auto"/>
          <w:sz w:val="28"/>
          <w:szCs w:val="28"/>
          <w:highlight w:val="none"/>
          <w:vertAlign w:val="baseline"/>
        </w:rPr>
        <w:t>开具</w:t>
      </w:r>
      <w:r>
        <w:rPr>
          <w:rFonts w:hint="eastAsia" w:ascii="仿宋" w:hAnsi="仿宋" w:eastAsia="仿宋" w:cs="仿宋"/>
          <w:color w:val="auto"/>
          <w:sz w:val="28"/>
          <w:szCs w:val="28"/>
          <w:highlight w:val="none"/>
          <w:shd w:val="clear"/>
          <w:vertAlign w:val="baseline"/>
        </w:rPr>
        <w:t>税率</w:t>
      </w:r>
      <w:r>
        <w:rPr>
          <w:rFonts w:hint="eastAsia" w:ascii="仿宋" w:hAnsi="仿宋" w:eastAsia="仿宋" w:cs="仿宋"/>
          <w:color w:val="auto"/>
          <w:sz w:val="28"/>
          <w:szCs w:val="28"/>
          <w:highlight w:val="none"/>
          <w:u w:val="single"/>
          <w:shd w:val="clear"/>
          <w:vertAlign w:val="baseline"/>
          <w:lang w:val="en-US" w:eastAsia="zh-CN"/>
        </w:rPr>
        <w:t xml:space="preserve">   </w:t>
      </w:r>
      <w:r>
        <w:rPr>
          <w:rFonts w:hint="eastAsia" w:ascii="仿宋" w:hAnsi="仿宋" w:eastAsia="仿宋" w:cs="仿宋"/>
          <w:color w:val="auto"/>
          <w:sz w:val="28"/>
          <w:szCs w:val="28"/>
          <w:highlight w:val="none"/>
          <w:shd w:val="clear"/>
          <w:vertAlign w:val="baseline"/>
        </w:rPr>
        <w:t>%</w:t>
      </w:r>
      <w:r>
        <w:rPr>
          <w:rFonts w:hint="eastAsia" w:ascii="仿宋" w:hAnsi="仿宋" w:eastAsia="仿宋" w:cs="仿宋"/>
          <w:color w:val="auto"/>
          <w:sz w:val="28"/>
          <w:szCs w:val="28"/>
          <w:highlight w:val="none"/>
          <w:vertAlign w:val="baseline"/>
        </w:rPr>
        <w:t>的增值税</w:t>
      </w:r>
      <w:r>
        <w:rPr>
          <w:rFonts w:hint="eastAsia" w:ascii="仿宋" w:hAnsi="仿宋" w:eastAsia="仿宋" w:cs="仿宋"/>
          <w:color w:val="auto"/>
          <w:sz w:val="28"/>
          <w:szCs w:val="28"/>
          <w:highlight w:val="none"/>
          <w:shd w:val="clear"/>
          <w:vertAlign w:val="baseline"/>
        </w:rPr>
        <w:sym w:font="Wingdings 2" w:char="0052"/>
      </w:r>
      <w:r>
        <w:rPr>
          <w:rFonts w:hint="eastAsia" w:ascii="仿宋" w:hAnsi="仿宋" w:eastAsia="仿宋" w:cs="仿宋"/>
          <w:color w:val="auto"/>
          <w:sz w:val="28"/>
          <w:szCs w:val="28"/>
          <w:highlight w:val="none"/>
          <w:shd w:val="clear"/>
          <w:vertAlign w:val="baseline"/>
        </w:rPr>
        <w:t>专用</w:t>
      </w:r>
      <w:r>
        <w:rPr>
          <w:rFonts w:hint="eastAsia" w:ascii="仿宋" w:hAnsi="仿宋" w:eastAsia="仿宋" w:cs="仿宋"/>
          <w:color w:val="auto"/>
          <w:sz w:val="28"/>
          <w:szCs w:val="28"/>
          <w:highlight w:val="none"/>
          <w:shd w:val="clear"/>
          <w:vertAlign w:val="baseline"/>
          <w:lang w:val="en-US" w:eastAsia="zh-CN"/>
        </w:rPr>
        <w:t>发票</w:t>
      </w:r>
      <w:r>
        <w:rPr>
          <w:rFonts w:hint="eastAsia" w:ascii="仿宋" w:hAnsi="仿宋" w:eastAsia="仿宋" w:cs="仿宋"/>
          <w:color w:val="auto"/>
          <w:sz w:val="28"/>
          <w:szCs w:val="28"/>
          <w:highlight w:val="none"/>
          <w:vertAlign w:val="baseline"/>
          <w:lang w:val="en-US" w:eastAsia="zh-CN"/>
        </w:rPr>
        <w:t>/</w:t>
      </w:r>
      <w:r>
        <w:rPr>
          <w:rFonts w:hint="eastAsia" w:ascii="仿宋" w:hAnsi="仿宋" w:eastAsia="仿宋" w:cs="仿宋"/>
          <w:color w:val="auto"/>
          <w:sz w:val="28"/>
          <w:szCs w:val="28"/>
          <w:highlight w:val="none"/>
          <w:vertAlign w:val="baseline"/>
          <w:lang w:val="en-US" w:eastAsia="zh-CN"/>
        </w:rPr>
        <w:sym w:font="Wingdings 2" w:char="00A3"/>
      </w:r>
      <w:r>
        <w:rPr>
          <w:rFonts w:hint="eastAsia" w:ascii="仿宋" w:hAnsi="仿宋" w:eastAsia="仿宋" w:cs="仿宋"/>
          <w:color w:val="auto"/>
          <w:sz w:val="28"/>
          <w:szCs w:val="28"/>
          <w:highlight w:val="none"/>
          <w:vertAlign w:val="baseline"/>
          <w:lang w:val="en-US" w:eastAsia="zh-CN"/>
        </w:rPr>
        <w:t>普通</w:t>
      </w:r>
      <w:r>
        <w:rPr>
          <w:rFonts w:hint="eastAsia" w:ascii="仿宋" w:hAnsi="仿宋" w:eastAsia="仿宋" w:cs="仿宋"/>
          <w:color w:val="auto"/>
          <w:sz w:val="28"/>
          <w:szCs w:val="28"/>
          <w:highlight w:val="none"/>
          <w:vertAlign w:val="baseline"/>
        </w:rPr>
        <w:t>发票</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rPr>
        <w:t>税率按国家政策执行，</w:t>
      </w:r>
      <w:r>
        <w:rPr>
          <w:rFonts w:hint="eastAsia" w:ascii="仿宋" w:hAnsi="仿宋" w:eastAsia="仿宋" w:cs="仿宋"/>
          <w:color w:val="auto"/>
          <w:sz w:val="28"/>
          <w:szCs w:val="28"/>
          <w:highlight w:val="none"/>
          <w:vertAlign w:val="baseline"/>
          <w:lang w:eastAsia="zh-CN"/>
        </w:rPr>
        <w:t>如</w:t>
      </w:r>
      <w:r>
        <w:rPr>
          <w:rFonts w:hint="eastAsia" w:ascii="仿宋" w:hAnsi="仿宋" w:eastAsia="仿宋" w:cs="仿宋"/>
          <w:color w:val="auto"/>
          <w:sz w:val="28"/>
          <w:szCs w:val="28"/>
          <w:highlight w:val="none"/>
          <w:vertAlign w:val="baseline"/>
          <w:lang w:val="en-US" w:eastAsia="zh-CN"/>
        </w:rPr>
        <w:t>税率</w:t>
      </w:r>
      <w:r>
        <w:rPr>
          <w:rFonts w:hint="eastAsia" w:ascii="仿宋" w:hAnsi="仿宋" w:eastAsia="仿宋" w:cs="仿宋"/>
          <w:color w:val="auto"/>
          <w:sz w:val="28"/>
          <w:szCs w:val="28"/>
          <w:highlight w:val="none"/>
          <w:vertAlign w:val="baseline"/>
          <w:lang w:eastAsia="zh-CN"/>
        </w:rPr>
        <w:t>调整，</w:t>
      </w:r>
      <w:r>
        <w:rPr>
          <w:rFonts w:hint="eastAsia" w:ascii="仿宋" w:hAnsi="仿宋" w:eastAsia="仿宋" w:cs="仿宋"/>
          <w:color w:val="auto"/>
          <w:sz w:val="28"/>
          <w:szCs w:val="28"/>
          <w:highlight w:val="none"/>
          <w:vertAlign w:val="baseline"/>
          <w:lang w:val="en-US" w:eastAsia="zh-CN"/>
        </w:rPr>
        <w:t>合同</w:t>
      </w:r>
      <w:r>
        <w:rPr>
          <w:rFonts w:hint="eastAsia" w:ascii="仿宋" w:hAnsi="仿宋" w:eastAsia="仿宋" w:cs="仿宋"/>
          <w:color w:val="auto"/>
          <w:sz w:val="28"/>
          <w:szCs w:val="28"/>
          <w:highlight w:val="none"/>
          <w:vertAlign w:val="baseline"/>
        </w:rPr>
        <w:t>单价随之调整）等，含乙方承担合同义务、责任、风险的费用</w:t>
      </w:r>
      <w:r>
        <w:rPr>
          <w:rFonts w:hint="eastAsia" w:ascii="仿宋" w:hAnsi="仿宋" w:eastAsia="仿宋" w:cs="仿宋"/>
          <w:color w:val="auto"/>
          <w:sz w:val="28"/>
          <w:szCs w:val="28"/>
          <w:highlight w:val="none"/>
          <w:vertAlign w:val="baseline"/>
          <w:lang w:eastAsia="zh-CN"/>
        </w:rPr>
        <w:t>，</w:t>
      </w:r>
      <w:r>
        <w:rPr>
          <w:rFonts w:hint="eastAsia" w:ascii="仿宋" w:hAnsi="仿宋" w:eastAsia="仿宋" w:cs="仿宋"/>
          <w:color w:val="auto"/>
          <w:sz w:val="28"/>
          <w:szCs w:val="28"/>
          <w:highlight w:val="none"/>
          <w:vertAlign w:val="baseline"/>
        </w:rPr>
        <w:t>除合同另有约</w:t>
      </w:r>
      <w:r>
        <w:rPr>
          <w:rFonts w:hint="eastAsia" w:ascii="仿宋" w:hAnsi="仿宋" w:eastAsia="仿宋" w:cs="仿宋"/>
          <w:color w:val="auto"/>
          <w:sz w:val="28"/>
          <w:szCs w:val="28"/>
          <w:highlight w:val="none"/>
          <w:u w:val="none"/>
          <w:vertAlign w:val="baseline"/>
        </w:rPr>
        <w:t>定外</w:t>
      </w:r>
      <w:r>
        <w:rPr>
          <w:rFonts w:hint="eastAsia" w:ascii="仿宋" w:hAnsi="仿宋" w:eastAsia="仿宋" w:cs="仿宋"/>
          <w:color w:val="auto"/>
          <w:sz w:val="28"/>
          <w:szCs w:val="28"/>
          <w:highlight w:val="none"/>
          <w:u w:val="none"/>
          <w:vertAlign w:val="baseline"/>
          <w:lang w:eastAsia="zh-CN"/>
        </w:rPr>
        <w:t>，单价</w:t>
      </w:r>
      <w:r>
        <w:rPr>
          <w:rFonts w:hint="eastAsia" w:ascii="仿宋" w:hAnsi="仿宋" w:eastAsia="仿宋" w:cs="仿宋"/>
          <w:color w:val="auto"/>
          <w:sz w:val="28"/>
          <w:szCs w:val="28"/>
          <w:highlight w:val="none"/>
          <w:u w:val="none"/>
          <w:vertAlign w:val="baseline"/>
        </w:rPr>
        <w:t>不</w:t>
      </w:r>
      <w:r>
        <w:rPr>
          <w:rFonts w:hint="eastAsia" w:ascii="仿宋" w:hAnsi="仿宋" w:eastAsia="仿宋" w:cs="仿宋"/>
          <w:color w:val="auto"/>
          <w:sz w:val="28"/>
          <w:szCs w:val="28"/>
          <w:highlight w:val="none"/>
          <w:u w:val="none"/>
          <w:vertAlign w:val="baseline"/>
          <w:lang w:eastAsia="zh-CN"/>
        </w:rPr>
        <w:t>作</w:t>
      </w:r>
      <w:r>
        <w:rPr>
          <w:rFonts w:hint="eastAsia" w:ascii="仿宋" w:hAnsi="仿宋" w:eastAsia="仿宋" w:cs="仿宋"/>
          <w:color w:val="auto"/>
          <w:sz w:val="28"/>
          <w:szCs w:val="28"/>
          <w:highlight w:val="none"/>
          <w:u w:val="none"/>
          <w:vertAlign w:val="baseline"/>
        </w:rPr>
        <w:t>任何调整</w:t>
      </w:r>
      <w:r>
        <w:rPr>
          <w:rFonts w:hint="eastAsia" w:ascii="仿宋" w:hAnsi="仿宋" w:eastAsia="仿宋" w:cs="仿宋"/>
          <w:color w:val="auto"/>
          <w:sz w:val="28"/>
          <w:szCs w:val="28"/>
          <w:highlight w:val="none"/>
          <w:u w:val="none"/>
          <w:vertAlign w:val="baseline"/>
          <w:lang w:eastAsia="zh-CN"/>
        </w:rPr>
        <w:t>。</w:t>
      </w:r>
    </w:p>
    <w:p w14:paraId="7E0A9D14">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highlight w:val="none"/>
          <w:vertAlign w:val="baseline"/>
        </w:rPr>
      </w:pPr>
      <w:r>
        <w:rPr>
          <w:rFonts w:hint="eastAsia" w:ascii="仿宋" w:hAnsi="仿宋" w:eastAsia="仿宋" w:cs="仿宋"/>
          <w:color w:val="auto"/>
          <w:kern w:val="2"/>
          <w:sz w:val="28"/>
          <w:szCs w:val="28"/>
          <w:highlight w:val="none"/>
          <w:u w:val="none"/>
          <w:lang w:val="en-US" w:eastAsia="zh-CN" w:bidi="ar-SA"/>
        </w:rPr>
        <w:t xml:space="preserve">1.2 </w:t>
      </w:r>
      <w:r>
        <w:rPr>
          <w:rFonts w:hint="eastAsia" w:ascii="仿宋" w:hAnsi="仿宋" w:eastAsia="仿宋" w:cs="仿宋"/>
          <w:color w:val="auto"/>
          <w:sz w:val="28"/>
          <w:szCs w:val="28"/>
          <w:highlight w:val="none"/>
          <w:vertAlign w:val="baseline"/>
          <w:lang w:eastAsia="zh-CN"/>
        </w:rPr>
        <w:t>乙方的送货数量、品牌、规格由甲方决定，乙方无条件配合，</w:t>
      </w:r>
      <w:r>
        <w:rPr>
          <w:rFonts w:hint="eastAsia" w:ascii="仿宋" w:hAnsi="仿宋" w:eastAsia="仿宋" w:cs="仿宋"/>
          <w:color w:val="auto"/>
          <w:sz w:val="28"/>
          <w:szCs w:val="28"/>
          <w:highlight w:val="none"/>
          <w:u w:val="none"/>
          <w:vertAlign w:val="baseline"/>
          <w:lang w:val="en-US" w:eastAsia="zh-CN"/>
        </w:rPr>
        <w:t>所需费用已含在合同单价内无需另计，</w:t>
      </w:r>
      <w:r>
        <w:rPr>
          <w:rFonts w:hint="eastAsia" w:ascii="仿宋" w:hAnsi="仿宋" w:eastAsia="仿宋" w:cs="仿宋"/>
          <w:color w:val="auto"/>
          <w:sz w:val="28"/>
          <w:szCs w:val="28"/>
          <w:highlight w:val="none"/>
          <w:vertAlign w:val="baseline"/>
          <w:lang w:eastAsia="zh-CN"/>
        </w:rPr>
        <w:t>否则甲方有权单方取消该批订单或解除本合同且不违约。乙方每次送货时须在送货单上注明该批产品的品牌、规格、数量，否则甲方有权自行决定该批产品的结算价格。产品购销数量按甲方实际接收并验收合格的产品数量结算。乙方必须按甲方要求现场办理签收单确认收货入库数量的签字手续，乙方逾期办理的视同乙方违约，按违约条款处理。</w:t>
      </w:r>
    </w:p>
    <w:p w14:paraId="060B204F">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highlight w:val="none"/>
          <w:u w:val="single"/>
          <w:vertAlign w:val="baseline"/>
          <w:lang w:val="en-US" w:eastAsia="zh-CN"/>
        </w:rPr>
      </w:pPr>
      <w:r>
        <w:rPr>
          <w:rFonts w:hint="eastAsia" w:ascii="仿宋" w:hAnsi="仿宋" w:eastAsia="仿宋" w:cs="仿宋"/>
          <w:color w:val="auto"/>
          <w:kern w:val="2"/>
          <w:sz w:val="28"/>
          <w:szCs w:val="28"/>
          <w:highlight w:val="none"/>
          <w:u w:val="none"/>
          <w:lang w:val="en-US" w:eastAsia="zh-CN" w:bidi="ar-SA"/>
        </w:rPr>
        <w:t>1.3</w:t>
      </w:r>
      <w:r>
        <w:rPr>
          <w:rFonts w:hint="eastAsia" w:ascii="仿宋" w:hAnsi="仿宋" w:eastAsia="仿宋" w:cs="仿宋"/>
          <w:color w:val="auto"/>
          <w:sz w:val="28"/>
          <w:szCs w:val="28"/>
          <w:highlight w:val="none"/>
          <w:vertAlign w:val="baseline"/>
          <w:lang w:val="en-US" w:eastAsia="zh-CN"/>
        </w:rPr>
        <w:t>合同单价有效期为：</w:t>
      </w:r>
      <w:r>
        <w:rPr>
          <w:rFonts w:hint="eastAsia" w:ascii="仿宋" w:hAnsi="仿宋" w:eastAsia="仿宋" w:cs="仿宋"/>
          <w:b w:val="0"/>
          <w:bCs w:val="0"/>
          <w:color w:val="auto"/>
          <w:sz w:val="28"/>
          <w:szCs w:val="28"/>
          <w:highlight w:val="none"/>
          <w:u w:val="single"/>
          <w:vertAlign w:val="baseline"/>
          <w:lang w:val="en-US" w:eastAsia="zh-CN"/>
        </w:rPr>
        <w:t>本合同生效之日起至本项目所需产品全部供应完毕为止。</w:t>
      </w:r>
    </w:p>
    <w:p w14:paraId="3F6EBE2E">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highlight w:val="none"/>
          <w:u w:val="none"/>
          <w:vertAlign w:val="baseline"/>
          <w:lang w:val="en-US" w:eastAsia="zh-CN"/>
        </w:rPr>
      </w:pPr>
      <w:r>
        <w:rPr>
          <w:rFonts w:hint="eastAsia" w:ascii="仿宋" w:hAnsi="仿宋" w:eastAsia="仿宋" w:cs="仿宋"/>
          <w:color w:val="auto"/>
          <w:sz w:val="28"/>
          <w:szCs w:val="28"/>
          <w:highlight w:val="none"/>
          <w:u w:val="none"/>
          <w:vertAlign w:val="baseline"/>
          <w:lang w:val="en-US" w:eastAsia="zh-CN"/>
        </w:rPr>
        <w:t>1.4其他要求：</w:t>
      </w:r>
      <w:r>
        <w:rPr>
          <w:rFonts w:hint="eastAsia" w:ascii="仿宋" w:hAnsi="仿宋" w:eastAsia="仿宋" w:cs="仿宋"/>
          <w:color w:val="auto"/>
          <w:sz w:val="28"/>
          <w:szCs w:val="28"/>
          <w:highlight w:val="none"/>
          <w:u w:val="single"/>
          <w:vertAlign w:val="baseline"/>
          <w:lang w:val="en-US" w:eastAsia="zh-CN"/>
        </w:rPr>
        <w:t xml:space="preserve"> </w:t>
      </w:r>
      <w:r>
        <w:rPr>
          <w:rFonts w:hint="eastAsia" w:ascii="仿宋" w:hAnsi="仿宋" w:eastAsia="仿宋" w:cs="仿宋"/>
          <w:color w:val="auto"/>
          <w:sz w:val="28"/>
          <w:szCs w:val="28"/>
          <w:highlight w:val="none"/>
          <w:u w:val="single"/>
          <w:vertAlign w:val="baseline"/>
          <w:lang w:val="en-US" w:eastAsia="zh-CN"/>
        </w:rPr>
        <w:t>产品要求七成新，铁床骨架不得有扭曲弯折等，全面除锈、刷漆，骨架焊接部位如有开裂、松动则重新焊接，焊缝须饱满;床板不得有开裂、缺角、霉变等;床头与床框连接采用螺丝连接或挂钩连接，连接坚牢固，床体稳定无异响。乙方保证上下铺能睡人且须满足安装及安全使用标准，因产品质量问题导致的人身伤亡或财物损失由乙方承担全部责任。</w:t>
      </w:r>
      <w:r>
        <w:rPr>
          <w:rFonts w:hint="eastAsia" w:ascii="仿宋" w:hAnsi="仿宋" w:eastAsia="仿宋" w:cs="仿宋"/>
          <w:color w:val="auto"/>
          <w:sz w:val="28"/>
          <w:szCs w:val="28"/>
          <w:highlight w:val="none"/>
          <w:u w:val="single"/>
          <w:vertAlign w:val="baseline"/>
          <w:lang w:val="en-US" w:eastAsia="zh-CN"/>
        </w:rPr>
        <w:t>产品样式详见附件《铁床样式图》</w:t>
      </w:r>
      <w:r>
        <w:rPr>
          <w:rFonts w:hint="eastAsia" w:ascii="仿宋" w:hAnsi="仿宋" w:eastAsia="仿宋" w:cs="仿宋"/>
          <w:color w:val="auto"/>
          <w:sz w:val="28"/>
          <w:szCs w:val="28"/>
          <w:highlight w:val="none"/>
          <w:u w:val="none"/>
          <w:vertAlign w:val="baseline"/>
          <w:lang w:val="en-US" w:eastAsia="zh-CN"/>
        </w:rPr>
        <w:t>。</w:t>
      </w:r>
    </w:p>
    <w:p w14:paraId="03796D5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highlight w:val="none"/>
          <w:u w:val="none"/>
          <w:shd w:val="clear" w:color="auto" w:fill="auto"/>
          <w:vertAlign w:val="baseline"/>
          <w:lang w:val="en-US" w:eastAsia="zh-CN"/>
        </w:rPr>
      </w:pPr>
      <w:bookmarkStart w:id="49" w:name="_Toc13709"/>
      <w:r>
        <w:rPr>
          <w:rFonts w:hint="eastAsia" w:ascii="仿宋" w:hAnsi="仿宋" w:eastAsia="仿宋" w:cs="仿宋"/>
          <w:color w:val="auto"/>
          <w:sz w:val="28"/>
          <w:szCs w:val="28"/>
          <w:highlight w:val="none"/>
          <w:u w:val="none"/>
          <w:shd w:val="clear" w:color="auto" w:fill="auto"/>
          <w:vertAlign w:val="baseline"/>
          <w:lang w:val="en-US" w:eastAsia="zh-CN"/>
        </w:rPr>
        <w:t>1.5本合同甲方所有价款已包含多种保险，乙方不得另计保险而向甲方索取费用。</w:t>
      </w:r>
    </w:p>
    <w:p w14:paraId="2CF7791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sz w:val="28"/>
          <w:szCs w:val="28"/>
          <w:highlight w:val="none"/>
          <w:u w:val="none"/>
          <w:shd w:val="clear" w:color="auto" w:fill="auto"/>
          <w:vertAlign w:val="baseline"/>
          <w:lang w:val="en-US" w:eastAsia="zh-CN"/>
        </w:rPr>
      </w:pPr>
      <w:r>
        <w:rPr>
          <w:rFonts w:hint="eastAsia" w:ascii="仿宋" w:hAnsi="仿宋" w:eastAsia="仿宋" w:cs="仿宋"/>
          <w:color w:val="auto"/>
          <w:sz w:val="28"/>
          <w:szCs w:val="28"/>
          <w:highlight w:val="none"/>
          <w:u w:val="none"/>
          <w:shd w:val="clear" w:color="auto" w:fill="auto"/>
          <w:vertAlign w:val="baseline"/>
          <w:lang w:val="en-US" w:eastAsia="zh-CN"/>
        </w:rPr>
        <w:t>1.6甲方或使用单位在产品使用过程中遇到的问题，乙方须随时提供电话答疑。凡与产品相关联的问题都属于答疑范围，所需费用已包含在合同单价中，不另计费。</w:t>
      </w:r>
    </w:p>
    <w:p w14:paraId="023958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color w:val="auto"/>
          <w:sz w:val="28"/>
          <w:szCs w:val="28"/>
          <w:highlight w:val="none"/>
          <w:u w:val="none"/>
          <w:shd w:val="clear" w:color="auto" w:fill="auto"/>
          <w:vertAlign w:val="baseli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1.7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因此产生的损失、后果由乙方承担，甲方不承担任何损失和费用，甲方的损失由乙方全额赔偿，同时甲方有权单方解除合同且不付款。</w:t>
      </w:r>
    </w:p>
    <w:p w14:paraId="0C307FE3">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outlineLvl w:val="1"/>
        <w:rPr>
          <w:rFonts w:hint="eastAsia" w:ascii="仿宋" w:hAnsi="仿宋" w:eastAsia="仿宋" w:cs="仿宋"/>
          <w:b/>
          <w:bCs/>
          <w:color w:val="auto"/>
          <w:sz w:val="28"/>
          <w:highlight w:val="none"/>
          <w:lang w:val="en-US" w:eastAsia="zh-CN"/>
        </w:rPr>
      </w:pPr>
      <w:bookmarkStart w:id="50" w:name="_Toc3912"/>
      <w:bookmarkStart w:id="51" w:name="_Toc19171"/>
      <w:bookmarkStart w:id="52" w:name="_Toc20306"/>
      <w:bookmarkStart w:id="53" w:name="_Toc26857"/>
      <w:r>
        <w:rPr>
          <w:rFonts w:hint="eastAsia" w:ascii="仿宋" w:hAnsi="仿宋" w:eastAsia="仿宋" w:cs="仿宋"/>
          <w:b/>
          <w:bCs/>
          <w:color w:val="auto"/>
          <w:sz w:val="28"/>
          <w:highlight w:val="none"/>
          <w:lang w:val="en-US" w:eastAsia="zh-CN"/>
        </w:rPr>
        <w:t>付款方式</w:t>
      </w:r>
      <w:bookmarkEnd w:id="50"/>
      <w:bookmarkEnd w:id="51"/>
      <w:bookmarkEnd w:id="52"/>
      <w:bookmarkEnd w:id="53"/>
    </w:p>
    <w:p w14:paraId="3038599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54" w:name="_Toc24559"/>
      <w:bookmarkStart w:id="55" w:name="_Toc5520"/>
      <w:bookmarkStart w:id="56" w:name="_Toc25652"/>
      <w:bookmarkStart w:id="57" w:name="_Toc10191"/>
      <w:bookmarkStart w:id="58" w:name="_Toc135"/>
      <w:bookmarkStart w:id="59" w:name="_Toc17058"/>
      <w:bookmarkStart w:id="60" w:name="_Toc20418"/>
      <w:bookmarkStart w:id="61" w:name="_Toc756"/>
      <w:bookmarkStart w:id="62" w:name="_Toc26371"/>
      <w:bookmarkStart w:id="63" w:name="_Toc8407"/>
      <w:bookmarkStart w:id="64" w:name="_Toc17152"/>
      <w:r>
        <w:rPr>
          <w:rFonts w:hint="eastAsia" w:ascii="仿宋" w:hAnsi="仿宋" w:eastAsia="仿宋" w:cs="仿宋"/>
          <w:b w:val="0"/>
          <w:bCs w:val="0"/>
          <w:color w:val="auto"/>
          <w:kern w:val="2"/>
          <w:sz w:val="28"/>
          <w:szCs w:val="28"/>
          <w:highlight w:val="none"/>
          <w:u w:val="none"/>
          <w:lang w:val="en-US" w:eastAsia="zh-CN" w:bidi="ar-SA"/>
        </w:rPr>
        <w:sym w:font="Wingdings" w:char="00A8"/>
      </w:r>
      <w:r>
        <w:rPr>
          <w:rFonts w:hint="eastAsia" w:ascii="仿宋" w:hAnsi="仿宋" w:eastAsia="仿宋" w:cs="仿宋"/>
          <w:color w:val="auto"/>
          <w:sz w:val="28"/>
          <w:highlight w:val="none"/>
          <w:u w:val="none"/>
          <w:lang w:val="en-US" w:eastAsia="zh-CN"/>
        </w:rPr>
        <w:t>付款一：</w:t>
      </w:r>
      <w:bookmarkEnd w:id="54"/>
      <w:bookmarkEnd w:id="55"/>
      <w:bookmarkEnd w:id="56"/>
      <w:bookmarkEnd w:id="57"/>
      <w:bookmarkEnd w:id="58"/>
      <w:bookmarkEnd w:id="59"/>
      <w:bookmarkEnd w:id="60"/>
      <w:bookmarkEnd w:id="61"/>
      <w:bookmarkEnd w:id="62"/>
      <w:bookmarkEnd w:id="63"/>
      <w:bookmarkEnd w:id="64"/>
    </w:p>
    <w:p w14:paraId="7A2336F2">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65" w:name="_Toc24828"/>
      <w:bookmarkStart w:id="66" w:name="_Toc25667"/>
      <w:bookmarkStart w:id="67" w:name="_Toc32478"/>
      <w:bookmarkStart w:id="68" w:name="_Toc26849"/>
      <w:bookmarkStart w:id="69" w:name="_Toc16258"/>
      <w:bookmarkStart w:id="70" w:name="_Toc10448"/>
      <w:bookmarkStart w:id="71" w:name="_Toc17257"/>
      <w:bookmarkStart w:id="72" w:name="_Toc30745"/>
      <w:bookmarkStart w:id="73" w:name="_Toc12593"/>
      <w:bookmarkStart w:id="74" w:name="_Toc31672"/>
      <w:bookmarkStart w:id="75" w:name="_Toc22783"/>
      <w:bookmarkStart w:id="76" w:name="_Toc22655"/>
      <w:r>
        <w:rPr>
          <w:rFonts w:hint="eastAsia" w:ascii="仿宋" w:hAnsi="仿宋" w:eastAsia="仿宋" w:cs="仿宋"/>
          <w:color w:val="auto"/>
          <w:sz w:val="28"/>
          <w:highlight w:val="none"/>
          <w:u w:val="none"/>
          <w:lang w:val="en-US" w:eastAsia="zh-CN"/>
        </w:rPr>
        <w:t>2.1当批次产品到齐甲方指定交货地点经甲方形式验收合格并移交甲方，</w:t>
      </w:r>
      <w:r>
        <w:rPr>
          <w:rFonts w:hint="eastAsia" w:ascii="仿宋" w:hAnsi="仿宋" w:eastAsia="仿宋" w:cs="仿宋"/>
          <w:color w:val="auto"/>
          <w:sz w:val="28"/>
          <w:highlight w:val="none"/>
          <w:u w:val="none"/>
          <w:shd w:val="clear" w:color="auto" w:fill="auto"/>
          <w:lang w:val="en-US" w:eastAsia="zh-CN"/>
        </w:rPr>
        <w:t>乙方</w:t>
      </w:r>
      <w:r>
        <w:rPr>
          <w:rFonts w:hint="eastAsia" w:ascii="仿宋" w:hAnsi="仿宋" w:eastAsia="仿宋" w:cs="仿宋"/>
          <w:color w:val="auto"/>
          <w:sz w:val="28"/>
          <w:highlight w:val="none"/>
          <w:u w:val="none"/>
          <w:lang w:val="en-US" w:eastAsia="zh-CN"/>
        </w:rPr>
        <w:t>须将送货单、签收单、对账单等甲方要求的相关对账资料原件交齐给甲方仓管员。甲方收齐金额等于结算款全额的发票等相关资料后付至合同结算总价的</w:t>
      </w:r>
      <w:r>
        <w:rPr>
          <w:rFonts w:hint="eastAsia" w:ascii="仿宋" w:hAnsi="仿宋" w:eastAsia="仿宋" w:cs="仿宋"/>
          <w:color w:val="auto"/>
          <w:sz w:val="28"/>
          <w:highlight w:val="none"/>
          <w:u w:val="single"/>
          <w:lang w:val="en-US" w:eastAsia="zh-CN"/>
        </w:rPr>
        <w:t xml:space="preserve"> /  </w:t>
      </w:r>
      <w:r>
        <w:rPr>
          <w:rFonts w:hint="eastAsia" w:ascii="仿宋" w:hAnsi="仿宋" w:eastAsia="仿宋" w:cs="仿宋"/>
          <w:color w:val="auto"/>
          <w:sz w:val="28"/>
          <w:highlight w:val="none"/>
          <w:u w:val="none"/>
          <w:lang w:val="en-US" w:eastAsia="zh-CN"/>
        </w:rPr>
        <w:t>%。</w:t>
      </w:r>
      <w:bookmarkEnd w:id="65"/>
    </w:p>
    <w:p w14:paraId="413B7BC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77" w:name="_Toc4492"/>
      <w:r>
        <w:rPr>
          <w:rFonts w:hint="eastAsia" w:ascii="仿宋" w:hAnsi="仿宋" w:eastAsia="仿宋" w:cs="仿宋"/>
          <w:color w:val="auto"/>
          <w:sz w:val="28"/>
          <w:highlight w:val="none"/>
          <w:u w:val="none"/>
          <w:lang w:val="en-US" w:eastAsia="zh-CN"/>
        </w:rPr>
        <w:t>2.2合同结算总价的</w:t>
      </w:r>
      <w:r>
        <w:rPr>
          <w:rFonts w:hint="eastAsia" w:ascii="仿宋" w:hAnsi="仿宋" w:eastAsia="仿宋" w:cs="仿宋"/>
          <w:color w:val="auto"/>
          <w:sz w:val="28"/>
          <w:highlight w:val="none"/>
          <w:u w:val="single"/>
          <w:lang w:val="en-US" w:eastAsia="zh-CN"/>
        </w:rPr>
        <w:t xml:space="preserve"> / </w:t>
      </w:r>
      <w:r>
        <w:rPr>
          <w:rFonts w:hint="eastAsia" w:ascii="仿宋" w:hAnsi="仿宋" w:eastAsia="仿宋" w:cs="仿宋"/>
          <w:color w:val="auto"/>
          <w:sz w:val="28"/>
          <w:highlight w:val="none"/>
          <w:u w:val="none"/>
          <w:lang w:val="en-US" w:eastAsia="zh-CN"/>
        </w:rPr>
        <w:t>%作为产品保修金，保修期满且乙方取得“保修合格证明”后，双方无息结清保修金。</w:t>
      </w:r>
      <w:bookmarkEnd w:id="77"/>
    </w:p>
    <w:p w14:paraId="787BD1A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1"/>
        <w:rPr>
          <w:rFonts w:hint="eastAsia" w:ascii="仿宋" w:hAnsi="仿宋" w:eastAsia="仿宋" w:cs="仿宋"/>
          <w:color w:val="auto"/>
          <w:sz w:val="28"/>
          <w:highlight w:val="none"/>
          <w:u w:val="none"/>
          <w:lang w:val="en-US" w:eastAsia="zh-CN"/>
        </w:rPr>
      </w:pP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color w:val="auto"/>
          <w:sz w:val="28"/>
          <w:highlight w:val="none"/>
          <w:u w:val="none"/>
          <w:lang w:val="en-US" w:eastAsia="zh-CN"/>
        </w:rPr>
        <w:t>付款二：</w:t>
      </w:r>
      <w:bookmarkEnd w:id="66"/>
      <w:bookmarkEnd w:id="67"/>
      <w:bookmarkEnd w:id="68"/>
      <w:bookmarkEnd w:id="69"/>
      <w:bookmarkEnd w:id="70"/>
      <w:bookmarkEnd w:id="71"/>
      <w:bookmarkEnd w:id="72"/>
      <w:bookmarkEnd w:id="73"/>
      <w:bookmarkEnd w:id="74"/>
      <w:bookmarkEnd w:id="75"/>
      <w:bookmarkEnd w:id="76"/>
    </w:p>
    <w:p w14:paraId="189EF20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78" w:name="_Toc5731"/>
      <w:r>
        <w:rPr>
          <w:rFonts w:hint="eastAsia" w:ascii="仿宋" w:hAnsi="仿宋" w:eastAsia="仿宋" w:cs="仿宋"/>
          <w:color w:val="auto"/>
          <w:sz w:val="28"/>
          <w:highlight w:val="none"/>
          <w:u w:val="none"/>
          <w:lang w:val="en-US" w:eastAsia="zh-CN"/>
        </w:rPr>
        <w:t>2.1本合同生效后，每月货款下月支付，具体为:乙方按合同约定完成上月产品供货及安装、交齐上月货款对账资料且与甲方完成对账后，甲方支付上月货款的</w:t>
      </w:r>
      <w:r>
        <w:rPr>
          <w:rFonts w:hint="eastAsia" w:ascii="仿宋" w:hAnsi="仿宋" w:eastAsia="仿宋" w:cs="仿宋"/>
          <w:color w:val="auto"/>
          <w:sz w:val="28"/>
          <w:highlight w:val="none"/>
          <w:u w:val="single"/>
          <w:lang w:val="en-US" w:eastAsia="zh-CN"/>
        </w:rPr>
        <w:t xml:space="preserve"> 97 </w:t>
      </w:r>
      <w:r>
        <w:rPr>
          <w:rFonts w:hint="eastAsia" w:ascii="仿宋" w:hAnsi="仿宋" w:eastAsia="仿宋" w:cs="仿宋"/>
          <w:color w:val="auto"/>
          <w:sz w:val="28"/>
          <w:highlight w:val="none"/>
          <w:u w:val="none"/>
          <w:lang w:val="en-US" w:eastAsia="zh-CN"/>
        </w:rPr>
        <w:t>%，上月货款的</w:t>
      </w:r>
      <w:r>
        <w:rPr>
          <w:rFonts w:hint="eastAsia" w:ascii="仿宋" w:hAnsi="仿宋" w:eastAsia="仿宋" w:cs="仿宋"/>
          <w:color w:val="auto"/>
          <w:sz w:val="28"/>
          <w:highlight w:val="none"/>
          <w:u w:val="single"/>
          <w:lang w:val="en-US" w:eastAsia="zh-CN"/>
        </w:rPr>
        <w:t xml:space="preserve"> 3 </w:t>
      </w:r>
      <w:r>
        <w:rPr>
          <w:rFonts w:hint="eastAsia" w:ascii="仿宋" w:hAnsi="仿宋" w:eastAsia="仿宋" w:cs="仿宋"/>
          <w:color w:val="auto"/>
          <w:sz w:val="28"/>
          <w:highlight w:val="none"/>
          <w:u w:val="none"/>
          <w:lang w:val="en-US" w:eastAsia="zh-CN"/>
        </w:rPr>
        <w:t>%作为产品保修金，保修期满且乙方取得“保修合格证明”后，双方无息结清保修金。乙方逾期交齐对账资料或完成对账的，付款日期顺延至货款完成对账月份的下月底前。</w:t>
      </w:r>
      <w:bookmarkEnd w:id="78"/>
    </w:p>
    <w:p w14:paraId="0B8312F4">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79" w:name="_Toc20580"/>
      <w:r>
        <w:rPr>
          <w:rFonts w:hint="eastAsia" w:ascii="仿宋" w:hAnsi="仿宋" w:eastAsia="仿宋" w:cs="仿宋"/>
          <w:color w:val="auto"/>
          <w:sz w:val="28"/>
          <w:highlight w:val="none"/>
          <w:u w:val="none"/>
          <w:lang w:val="en-US" w:eastAsia="zh-CN"/>
        </w:rPr>
        <w:t>2.</w:t>
      </w:r>
      <w:bookmarkEnd w:id="79"/>
      <w:r>
        <w:rPr>
          <w:rFonts w:hint="eastAsia" w:ascii="仿宋" w:hAnsi="仿宋" w:eastAsia="仿宋" w:cs="仿宋"/>
          <w:color w:val="auto"/>
          <w:sz w:val="28"/>
          <w:highlight w:val="none"/>
          <w:u w:val="none"/>
          <w:lang w:val="en-US" w:eastAsia="zh-CN"/>
        </w:rPr>
        <w:t>2对账日期为每月25日至28日核对上月25日至本月24日的送货数据，31日（如同月无31日，以30日为准）前开具发票。乙方在每月25日前一次性交齐上月25日至本月24日供货产品的对账资料至甲方项目部，并在同月28日前（遇节假日则顺延）完成对账，同月31日（如同月无31日，以同月30日为准）前开具发票。如乙方逾期交齐对账资料，则对账日期顺延至次月的25日至28日，次月乙方对账还须提供“延迟付款声明函”（格式详见附件）给甲方。以此类推。例：乙方在5月25日前交齐4月25日至5月24日货款的对账资料给甲方项目部并在5月28日完成对账，且在5月31日前甲方收到开票金额与对账金额一致的发票后，则甲方在6月30日前支付4月25日至5月24日货款的97%。若乙方5月26日（或更迟）交齐4月25日至5月24日货款的对账资料给甲方，则4月25日至5月24日货款的对账时间顺延至6月25日至28日，付款时间顺延至7月31日前。以此类推。</w:t>
      </w:r>
      <w:bookmarkStart w:id="80" w:name="_Toc928"/>
    </w:p>
    <w:bookmarkEnd w:id="80"/>
    <w:p w14:paraId="0A293FF7">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outlineLvl w:val="1"/>
        <w:rPr>
          <w:rFonts w:hint="default" w:ascii="仿宋" w:hAnsi="仿宋" w:eastAsia="仿宋" w:cs="仿宋"/>
          <w:b/>
          <w:bCs/>
          <w:color w:val="auto"/>
          <w:sz w:val="28"/>
          <w:highlight w:val="none"/>
          <w:lang w:val="en-US" w:eastAsia="zh-CN"/>
        </w:rPr>
      </w:pPr>
      <w:bookmarkStart w:id="81" w:name="_Toc22715"/>
      <w:bookmarkStart w:id="82" w:name="_Toc11935"/>
      <w:r>
        <w:rPr>
          <w:rFonts w:hint="eastAsia" w:ascii="仿宋" w:hAnsi="仿宋" w:eastAsia="仿宋" w:cs="仿宋"/>
          <w:b/>
          <w:bCs/>
          <w:color w:val="auto"/>
          <w:sz w:val="28"/>
          <w:highlight w:val="none"/>
          <w:lang w:val="en-US" w:eastAsia="zh-CN"/>
        </w:rPr>
        <w:t>交货</w:t>
      </w:r>
      <w:bookmarkEnd w:id="81"/>
      <w:bookmarkEnd w:id="82"/>
    </w:p>
    <w:p w14:paraId="07C213D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color w:val="auto"/>
          <w:sz w:val="28"/>
          <w:highlight w:val="none"/>
          <w:u w:val="singl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3.1交货（安装）地点：</w:t>
      </w:r>
      <w:r>
        <w:rPr>
          <w:rFonts w:hint="eastAsia" w:ascii="仿宋" w:hAnsi="仿宋" w:eastAsia="仿宋" w:cs="仿宋"/>
          <w:color w:val="auto"/>
          <w:sz w:val="28"/>
          <w:highlight w:val="none"/>
          <w:u w:val="single"/>
          <w:shd w:val="clear" w:color="auto" w:fill="auto"/>
          <w:lang w:val="en-US" w:eastAsia="zh-CN"/>
        </w:rPr>
        <w:t xml:space="preserve"> 广西玉林市福绵区</w:t>
      </w:r>
      <w:r>
        <w:rPr>
          <w:rFonts w:hint="eastAsia" w:ascii="仿宋" w:hAnsi="仿宋" w:eastAsia="仿宋" w:cs="仿宋"/>
          <w:color w:val="auto"/>
          <w:sz w:val="28"/>
          <w:highlight w:val="none"/>
          <w:u w:val="single"/>
          <w:lang w:val="en-US" w:eastAsia="zh-CN"/>
        </w:rPr>
        <w:t>玉林（福绵）节能环保产业园</w:t>
      </w:r>
      <w:r>
        <w:rPr>
          <w:rFonts w:hint="eastAsia" w:ascii="仿宋" w:hAnsi="仿宋" w:eastAsia="仿宋" w:cs="仿宋"/>
          <w:b w:val="0"/>
          <w:bCs w:val="0"/>
          <w:color w:val="auto"/>
          <w:sz w:val="28"/>
          <w:highlight w:val="none"/>
          <w:u w:val="single"/>
          <w:lang w:val="en-US" w:eastAsia="zh-CN"/>
        </w:rPr>
        <w:t>甲方指定</w:t>
      </w:r>
      <w:r>
        <w:rPr>
          <w:rFonts w:hint="eastAsia" w:ascii="仿宋" w:hAnsi="仿宋" w:eastAsia="仿宋" w:cs="仿宋"/>
          <w:b w:val="0"/>
          <w:bCs w:val="0"/>
          <w:color w:val="auto"/>
          <w:sz w:val="28"/>
          <w:highlight w:val="none"/>
          <w:u w:val="single"/>
        </w:rPr>
        <w:t>地点</w:t>
      </w:r>
      <w:r>
        <w:rPr>
          <w:rFonts w:hint="eastAsia" w:ascii="仿宋" w:hAnsi="仿宋" w:eastAsia="仿宋" w:cs="仿宋"/>
          <w:color w:val="auto"/>
          <w:sz w:val="28"/>
          <w:highlight w:val="none"/>
          <w:u w:val="single"/>
          <w:shd w:val="clear" w:color="auto" w:fill="auto"/>
          <w:lang w:val="en-US" w:eastAsia="zh-CN"/>
        </w:rPr>
        <w:t>。</w:t>
      </w:r>
    </w:p>
    <w:p w14:paraId="3DF1659D">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sz w:val="28"/>
          <w:highlight w:val="none"/>
          <w:u w:val="singl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3.2交货期限：乙方自甲方发出订单之日起</w:t>
      </w:r>
      <w:r>
        <w:rPr>
          <w:rFonts w:hint="eastAsia" w:ascii="仿宋" w:hAnsi="仿宋" w:eastAsia="仿宋" w:cs="仿宋"/>
          <w:color w:val="auto"/>
          <w:sz w:val="28"/>
          <w:highlight w:val="none"/>
          <w:u w:val="single"/>
          <w:shd w:val="clear" w:color="auto" w:fill="auto"/>
          <w:lang w:val="en-US" w:eastAsia="zh-CN"/>
        </w:rPr>
        <w:t>（按定标文件实际情况填写）</w:t>
      </w:r>
      <w:r>
        <w:rPr>
          <w:rFonts w:hint="eastAsia" w:ascii="仿宋" w:hAnsi="仿宋" w:eastAsia="仿宋" w:cs="仿宋"/>
          <w:color w:val="auto"/>
          <w:sz w:val="28"/>
          <w:highlight w:val="none"/>
          <w:u w:val="none"/>
          <w:shd w:val="clear" w:color="auto" w:fill="auto"/>
          <w:lang w:val="en-US" w:eastAsia="zh-CN"/>
        </w:rPr>
        <w:t>个日历天内把产品送齐至交货地点完成安装并移交甲方正常使用</w:t>
      </w:r>
      <w:r>
        <w:rPr>
          <w:rFonts w:hint="eastAsia" w:ascii="仿宋" w:hAnsi="仿宋" w:eastAsia="仿宋" w:cs="仿宋"/>
          <w:b w:val="0"/>
          <w:bCs w:val="0"/>
          <w:color w:val="auto"/>
          <w:sz w:val="28"/>
          <w:highlight w:val="none"/>
          <w:u w:val="single"/>
          <w:shd w:val="clear" w:color="auto" w:fill="auto"/>
          <w:lang w:val="en-US" w:eastAsia="zh-CN"/>
        </w:rPr>
        <w:t>。</w:t>
      </w:r>
    </w:p>
    <w:p w14:paraId="6AC5353C">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outlineLvl w:val="1"/>
        <w:rPr>
          <w:rFonts w:hint="eastAsia" w:ascii="仿宋" w:hAnsi="仿宋" w:eastAsia="仿宋" w:cs="仿宋"/>
          <w:b/>
          <w:bCs/>
          <w:color w:val="auto"/>
          <w:sz w:val="28"/>
          <w:highlight w:val="none"/>
          <w:lang w:val="en-US" w:eastAsia="zh-CN"/>
        </w:rPr>
      </w:pPr>
      <w:bookmarkStart w:id="83" w:name="_Toc2163"/>
      <w:bookmarkStart w:id="84" w:name="_Toc30654"/>
      <w:bookmarkStart w:id="85" w:name="_Toc23842"/>
      <w:bookmarkStart w:id="86" w:name="_Toc24489"/>
      <w:bookmarkStart w:id="87" w:name="_Toc15060"/>
      <w:bookmarkStart w:id="88" w:name="_Toc26173"/>
      <w:r>
        <w:rPr>
          <w:rFonts w:hint="eastAsia" w:ascii="仿宋" w:hAnsi="仿宋" w:eastAsia="仿宋" w:cs="仿宋"/>
          <w:b/>
          <w:bCs/>
          <w:color w:val="auto"/>
          <w:sz w:val="28"/>
          <w:highlight w:val="none"/>
          <w:lang w:val="en-US" w:eastAsia="zh-CN"/>
        </w:rPr>
        <w:t>甲乙双方联系人</w:t>
      </w:r>
      <w:bookmarkEnd w:id="83"/>
      <w:bookmarkEnd w:id="84"/>
      <w:bookmarkEnd w:id="85"/>
      <w:bookmarkEnd w:id="86"/>
      <w:bookmarkEnd w:id="87"/>
      <w:bookmarkEnd w:id="88"/>
    </w:p>
    <w:p w14:paraId="3ABA531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color w:val="auto"/>
          <w:sz w:val="28"/>
          <w:szCs w:val="28"/>
          <w:highlight w:val="none"/>
          <w:vertAlign w:val="baseline"/>
          <w:lang w:val="en-US" w:eastAsia="zh-CN"/>
        </w:rPr>
        <w:t>4.1</w:t>
      </w:r>
      <w:r>
        <w:rPr>
          <w:rFonts w:hint="eastAsia" w:ascii="仿宋" w:hAnsi="仿宋" w:eastAsia="仿宋" w:cs="仿宋"/>
          <w:b w:val="0"/>
          <w:bCs w:val="0"/>
          <w:color w:val="auto"/>
          <w:sz w:val="28"/>
          <w:highlight w:val="none"/>
          <w:lang w:val="en-US" w:eastAsia="zh-CN"/>
        </w:rPr>
        <w:t>甲方指定</w:t>
      </w:r>
      <w:r>
        <w:rPr>
          <w:rFonts w:hint="eastAsia" w:ascii="仿宋" w:hAnsi="仿宋" w:eastAsia="仿宋" w:cs="仿宋"/>
          <w:b w:val="0"/>
          <w:bCs w:val="0"/>
          <w:color w:val="auto"/>
          <w:sz w:val="28"/>
          <w:highlight w:val="none"/>
          <w:u w:val="single"/>
          <w:lang w:val="en-US" w:eastAsia="zh-CN"/>
        </w:rPr>
        <w:t>莫龙（手机号码：13751400863）</w:t>
      </w:r>
      <w:r>
        <w:rPr>
          <w:rFonts w:hint="eastAsia" w:ascii="仿宋" w:hAnsi="仿宋" w:eastAsia="仿宋" w:cs="仿宋"/>
          <w:b w:val="0"/>
          <w:bCs w:val="0"/>
          <w:color w:val="auto"/>
          <w:sz w:val="28"/>
          <w:highlight w:val="none"/>
          <w:lang w:val="en-US" w:eastAsia="zh-CN"/>
        </w:rPr>
        <w:t>为本合同甲方执行联系人；指定</w:t>
      </w:r>
      <w:r>
        <w:rPr>
          <w:rFonts w:hint="eastAsia" w:ascii="仿宋" w:hAnsi="仿宋" w:eastAsia="仿宋" w:cs="仿宋"/>
          <w:b w:val="0"/>
          <w:bCs w:val="0"/>
          <w:color w:val="auto"/>
          <w:sz w:val="28"/>
          <w:highlight w:val="none"/>
          <w:u w:val="single"/>
          <w:lang w:val="en-US" w:eastAsia="zh-CN"/>
        </w:rPr>
        <w:t>李康金</w:t>
      </w:r>
      <w:r>
        <w:rPr>
          <w:rFonts w:hint="eastAsia" w:ascii="仿宋" w:hAnsi="仿宋" w:eastAsia="仿宋" w:cs="仿宋"/>
          <w:b w:val="0"/>
          <w:bCs w:val="0"/>
          <w:color w:val="auto"/>
          <w:sz w:val="28"/>
          <w:highlight w:val="none"/>
          <w:lang w:val="en-US" w:eastAsia="zh-CN"/>
        </w:rPr>
        <w:t>为产品签收人，手机号码：</w:t>
      </w:r>
      <w:r>
        <w:rPr>
          <w:rFonts w:hint="eastAsia" w:ascii="仿宋" w:hAnsi="仿宋" w:eastAsia="仿宋" w:cs="仿宋"/>
          <w:b w:val="0"/>
          <w:bCs w:val="0"/>
          <w:color w:val="auto"/>
          <w:sz w:val="28"/>
          <w:highlight w:val="none"/>
          <w:u w:val="single"/>
          <w:lang w:val="en-US" w:eastAsia="zh-CN"/>
        </w:rPr>
        <w:t>15219265512</w:t>
      </w:r>
      <w:r>
        <w:rPr>
          <w:rFonts w:hint="eastAsia" w:ascii="仿宋" w:hAnsi="仿宋" w:eastAsia="仿宋" w:cs="仿宋"/>
          <w:b w:val="0"/>
          <w:bCs w:val="0"/>
          <w:color w:val="auto"/>
          <w:sz w:val="28"/>
          <w:highlight w:val="none"/>
          <w:lang w:val="en-US" w:eastAsia="zh-CN"/>
        </w:rPr>
        <w:t>。未经甲方加盖公章确认，甲方项目负责人及合同执行联系人、签约代表及其他职员均无权代表甲方做出减损、放弃甲方权利、乙方义务、乙方责任的行为，也无权做出增加甲方义务的行为。甲方对乙方发出的业务通知等文件，须经甲方项目负责人及执行联系人签名并加盖甲方项目章（样式详见附件）方为有效，否则为无效文件，仅盖章或者仅签名的文件亦无效。甲方项目负责人、合同执行联系人变更的，甲方将以书面形式通知乙方。</w:t>
      </w:r>
    </w:p>
    <w:p w14:paraId="26724A84">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双方确认，甲方项目章仅供甲方项目部与乙方联系工作和确认产品技术、资料之用。乙方知悉并同意，该项目章用于以下情形时无效：</w:t>
      </w:r>
    </w:p>
    <w:p w14:paraId="3809546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4.1.1签订合同；</w:t>
      </w:r>
    </w:p>
    <w:p w14:paraId="66D74C3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4.1.2任何类型的欠条或收据；</w:t>
      </w:r>
    </w:p>
    <w:p w14:paraId="232412A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4.1.3任何形式的经济结算凭证；</w:t>
      </w:r>
    </w:p>
    <w:p w14:paraId="5F5A8A02">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4.1.4为他人或他单位提供任何形式的担保；</w:t>
      </w:r>
    </w:p>
    <w:p w14:paraId="234BA30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4.1.5确认任何形式的包含权利义务及责任承担的文件。</w:t>
      </w:r>
    </w:p>
    <w:p w14:paraId="14EC40C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4.2乙方指定</w:t>
      </w:r>
      <w:r>
        <w:rPr>
          <w:rFonts w:hint="eastAsia" w:ascii="仿宋" w:hAnsi="仿宋" w:eastAsia="仿宋" w:cs="仿宋"/>
          <w:b w:val="0"/>
          <w:bCs w:val="0"/>
          <w:color w:val="auto"/>
          <w:sz w:val="28"/>
          <w:highlight w:val="none"/>
          <w:u w:val="single"/>
          <w:lang w:val="en-US" w:eastAsia="zh-CN"/>
        </w:rPr>
        <w:t xml:space="preserve">     （身份证号码：   ；微信号/手机号码：    ；邮箱：  )</w:t>
      </w:r>
      <w:r>
        <w:rPr>
          <w:rFonts w:hint="eastAsia" w:ascii="仿宋" w:hAnsi="仿宋" w:eastAsia="仿宋" w:cs="仿宋"/>
          <w:b w:val="0"/>
          <w:bCs w:val="0"/>
          <w:color w:val="auto"/>
          <w:sz w:val="28"/>
          <w:highlight w:val="none"/>
          <w:lang w:val="en-US" w:eastAsia="zh-CN"/>
        </w:rPr>
        <w:t>作为其授权代表，本合同有效期内其为乙方授权处理与本合同相关事项的合同执行代表，负责与甲方公司总部办理相关事务（如负责双方来往函件签收、签字、验收、确定增减合同款、确定结算金额、收款、签收并签认甲方对乙方违约行为作出的处理通知等行为）。</w:t>
      </w:r>
    </w:p>
    <w:p w14:paraId="6F27ED5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4.3乙方指定</w:t>
      </w:r>
      <w:r>
        <w:rPr>
          <w:rFonts w:hint="eastAsia" w:ascii="仿宋" w:hAnsi="仿宋" w:eastAsia="仿宋" w:cs="仿宋"/>
          <w:b w:val="0"/>
          <w:bCs w:val="0"/>
          <w:color w:val="auto"/>
          <w:sz w:val="28"/>
          <w:highlight w:val="none"/>
          <w:u w:val="single"/>
          <w:lang w:val="en-US" w:eastAsia="zh-CN"/>
        </w:rPr>
        <w:t xml:space="preserve">     （身份证号码：   ；微信号/手机号码：    ；邮箱：  )</w:t>
      </w:r>
      <w:r>
        <w:rPr>
          <w:rFonts w:hint="eastAsia" w:ascii="仿宋" w:hAnsi="仿宋" w:eastAsia="仿宋" w:cs="仿宋"/>
          <w:b w:val="0"/>
          <w:bCs w:val="0"/>
          <w:color w:val="auto"/>
          <w:sz w:val="28"/>
          <w:highlight w:val="none"/>
          <w:lang w:val="en-US" w:eastAsia="zh-CN"/>
        </w:rPr>
        <w:t>为本合同的乙方现场负责人，在本合同有效期内其为乙方授权处理本项目施工现场相关事项的合同执行代表，负责与甲方项目现场的工作签认、安排甲方材料出入库签名等项目现场等全部事务。现场负责人必须常驻本项目施工现场。</w:t>
      </w:r>
    </w:p>
    <w:p w14:paraId="2D0C429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b w:val="0"/>
          <w:bCs w:val="0"/>
          <w:color w:val="auto"/>
          <w:sz w:val="28"/>
          <w:highlight w:val="none"/>
          <w:lang w:val="en-US" w:eastAsia="zh-CN"/>
        </w:rPr>
      </w:pPr>
      <w:r>
        <w:rPr>
          <w:rFonts w:hint="eastAsia" w:ascii="仿宋" w:hAnsi="仿宋" w:eastAsia="仿宋" w:cs="仿宋"/>
          <w:b w:val="0"/>
          <w:bCs w:val="0"/>
          <w:color w:val="auto"/>
          <w:sz w:val="28"/>
          <w:highlight w:val="none"/>
          <w:lang w:val="en-US" w:eastAsia="zh-CN"/>
        </w:rPr>
        <w:t>4.4乙方对乙方授权代表及乙方现场负责人的行为均予认可并承担一切责任。乙方如需更换授权代表或现场负责人，须提前三个工作日书面报经甲方同意，否则不得更换。</w:t>
      </w:r>
    </w:p>
    <w:p w14:paraId="305EDA5E">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color w:val="auto"/>
          <w:sz w:val="28"/>
          <w:highlight w:val="none"/>
          <w:lang w:val="en-US" w:eastAsia="zh-CN"/>
        </w:rPr>
      </w:pPr>
    </w:p>
    <w:p w14:paraId="3F0A4F4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color w:val="auto"/>
          <w:sz w:val="28"/>
          <w:highlight w:val="none"/>
          <w:lang w:val="en-US" w:eastAsia="zh-CN"/>
        </w:rPr>
      </w:pPr>
    </w:p>
    <w:p w14:paraId="794E74C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560" w:firstLineChars="200"/>
        <w:textAlignment w:val="auto"/>
        <w:rPr>
          <w:rFonts w:hint="eastAsia" w:ascii="仿宋" w:hAnsi="仿宋" w:eastAsia="仿宋" w:cs="仿宋"/>
          <w:color w:val="auto"/>
          <w:sz w:val="28"/>
          <w:highlight w:val="none"/>
          <w:lang w:val="en-US" w:eastAsia="zh-CN"/>
        </w:rPr>
      </w:pPr>
    </w:p>
    <w:p w14:paraId="79FB4E05">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乙方(盖章):  </w:t>
      </w:r>
    </w:p>
    <w:p w14:paraId="52F67282">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签约代表: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签约代表:</w:t>
      </w:r>
    </w:p>
    <w:p w14:paraId="41B95325">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shd w:val="clear" w:color="auto" w:fill="auto"/>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shd w:val="clear" w:color="auto" w:fill="auto"/>
        </w:rPr>
        <w:t>91441900732168546R</w:t>
      </w:r>
      <w:r>
        <w:rPr>
          <w:rFonts w:hint="eastAsia" w:ascii="仿宋" w:hAnsi="仿宋" w:eastAsia="仿宋" w:cs="仿宋"/>
          <w:b/>
          <w:bCs/>
          <w:color w:val="auto"/>
          <w:sz w:val="24"/>
          <w:szCs w:val="24"/>
          <w:highlight w:val="none"/>
          <w:shd w:val="clear" w:color="auto" w:fill="auto"/>
        </w:rPr>
        <w:tab/>
      </w:r>
      <w:r>
        <w:rPr>
          <w:rFonts w:hint="eastAsia" w:ascii="仿宋" w:hAnsi="仿宋" w:eastAsia="仿宋" w:cs="仿宋"/>
          <w:b/>
          <w:bCs/>
          <w:color w:val="auto"/>
          <w:sz w:val="24"/>
          <w:szCs w:val="24"/>
          <w:highlight w:val="none"/>
          <w:shd w:val="clear" w:color="auto" w:fill="auto"/>
        </w:rPr>
        <w:tab/>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0F2D4D4D">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账  号：548000013639239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账  号：</w:t>
      </w:r>
    </w:p>
    <w:p w14:paraId="694A1783">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开户行：               </w:t>
      </w:r>
    </w:p>
    <w:p w14:paraId="02D3C6DB">
      <w:pPr>
        <w:keepNext w:val="0"/>
        <w:keepLines w:val="0"/>
        <w:pageBreakBefore w:val="0"/>
        <w:widowControl w:val="0"/>
        <w:kinsoku/>
        <w:wordWrap/>
        <w:overflowPunct/>
        <w:topLinePunct w:val="0"/>
        <w:autoSpaceDE/>
        <w:autoSpaceDN/>
        <w:bidi w:val="0"/>
        <w:adjustRightInd w:val="0"/>
        <w:snapToGrid w:val="0"/>
        <w:spacing w:line="360" w:lineRule="exact"/>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地 址：广东省东莞市南城街道鸿福路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地  址：</w:t>
      </w:r>
    </w:p>
    <w:p w14:paraId="641FC38B">
      <w:pPr>
        <w:keepNext w:val="0"/>
        <w:keepLines w:val="0"/>
        <w:pageBreakBefore w:val="0"/>
        <w:widowControl w:val="0"/>
        <w:kinsoku/>
        <w:wordWrap/>
        <w:overflowPunct/>
        <w:topLinePunct w:val="0"/>
        <w:autoSpaceDE/>
        <w:autoSpaceDN/>
        <w:bidi w:val="0"/>
        <w:adjustRightInd w:val="0"/>
        <w:snapToGrid w:val="0"/>
        <w:spacing w:line="360" w:lineRule="exact"/>
        <w:ind w:right="0" w:rightChars="0" w:firstLine="723" w:firstLineChars="3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w:t>
      </w:r>
    </w:p>
    <w:p w14:paraId="1AEE63D0">
      <w:pPr>
        <w:keepNext w:val="0"/>
        <w:keepLines w:val="0"/>
        <w:pageBreakBefore w:val="0"/>
        <w:wordWrap/>
        <w:topLinePunct w:val="0"/>
        <w:bidi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4"/>
          <w:szCs w:val="24"/>
          <w:highlight w:val="none"/>
        </w:rPr>
        <w:t xml:space="preserve">电  话：0769-22311322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电  话:</w:t>
      </w:r>
    </w:p>
    <w:p w14:paraId="26E374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【甲方人员如有营私舞弊、吃拿卡要等损害乙方合法权益的行为，乙方可拨打投诉专线 4000968086或发邮件至投诉邮箱:zhglzx@nanfeng.cn，也可至广东省东莞市南城街道鸿福路 106 号南峰中心 12楼内控中心办公室面诉。】</w:t>
      </w:r>
      <w:bookmarkStart w:id="89" w:name="_Toc17025"/>
      <w:bookmarkStart w:id="90" w:name="_Toc29345"/>
      <w:bookmarkStart w:id="91" w:name="_Toc12797"/>
    </w:p>
    <w:p w14:paraId="3554E2E0">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 w:hAnsi="仿宋" w:eastAsia="仿宋" w:cs="仿宋"/>
          <w:b/>
          <w:bCs/>
          <w:color w:val="auto"/>
          <w:kern w:val="2"/>
          <w:sz w:val="32"/>
          <w:szCs w:val="32"/>
          <w:highlight w:val="none"/>
          <w:shd w:val="clear" w:fill="auto"/>
          <w:vertAlign w:val="baseline"/>
          <w:lang w:val="en-US" w:eastAsia="zh-CN" w:bidi="ar-SA"/>
        </w:rPr>
      </w:pPr>
      <w:bookmarkStart w:id="92" w:name="_Toc6793"/>
      <w:bookmarkStart w:id="93" w:name="_Toc26696"/>
      <w:bookmarkStart w:id="94" w:name="_Toc27362"/>
    </w:p>
    <w:p w14:paraId="3DC8ECD4">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 w:hAnsi="仿宋" w:eastAsia="仿宋" w:cs="仿宋"/>
          <w:b/>
          <w:bCs/>
          <w:color w:val="auto"/>
          <w:kern w:val="2"/>
          <w:sz w:val="32"/>
          <w:szCs w:val="32"/>
          <w:highlight w:val="none"/>
          <w:shd w:val="clear" w:fill="auto"/>
          <w:vertAlign w:val="baseline"/>
          <w:lang w:val="en-US" w:eastAsia="zh-CN" w:bidi="ar-SA"/>
        </w:rPr>
      </w:pPr>
    </w:p>
    <w:p w14:paraId="3853D59C">
      <w:pPr>
        <w:keepNext w:val="0"/>
        <w:keepLines w:val="0"/>
        <w:pageBreakBefore w:val="0"/>
        <w:widowControl w:val="0"/>
        <w:numPr>
          <w:ilvl w:val="0"/>
          <w:numId w:val="3"/>
        </w:numPr>
        <w:tabs>
          <w:tab w:val="left" w:pos="6272"/>
        </w:tabs>
        <w:kinsoku/>
        <w:wordWrap/>
        <w:overflowPunct/>
        <w:topLinePunct w:val="0"/>
        <w:autoSpaceDE/>
        <w:autoSpaceDN/>
        <w:bidi w:val="0"/>
        <w:adjustRightInd/>
        <w:snapToGrid w:val="0"/>
        <w:spacing w:line="500" w:lineRule="exact"/>
        <w:ind w:right="-578" w:rightChars="-275"/>
        <w:jc w:val="center"/>
        <w:textAlignment w:val="auto"/>
        <w:outlineLvl w:val="0"/>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pPr>
      <w:bookmarkStart w:id="95" w:name="_Toc16771"/>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合同专用条款</w:t>
      </w:r>
      <w:bookmarkEnd w:id="89"/>
      <w:bookmarkEnd w:id="90"/>
      <w:bookmarkEnd w:id="91"/>
      <w:bookmarkEnd w:id="92"/>
      <w:bookmarkEnd w:id="93"/>
      <w:bookmarkEnd w:id="94"/>
      <w:bookmarkEnd w:id="95"/>
    </w:p>
    <w:p w14:paraId="0034CA36">
      <w:pPr>
        <w:keepNext w:val="0"/>
        <w:keepLines w:val="0"/>
        <w:pageBreakBefore w:val="0"/>
        <w:widowControl w:val="0"/>
        <w:numPr>
          <w:numId w:val="0"/>
        </w:numPr>
        <w:tabs>
          <w:tab w:val="left" w:pos="6272"/>
        </w:tabs>
        <w:kinsoku/>
        <w:wordWrap/>
        <w:overflowPunct/>
        <w:topLinePunct w:val="0"/>
        <w:autoSpaceDE/>
        <w:autoSpaceDN/>
        <w:bidi w:val="0"/>
        <w:adjustRightInd/>
        <w:snapToGrid w:val="0"/>
        <w:spacing w:line="500" w:lineRule="exact"/>
        <w:ind w:right="-578" w:rightChars="-275"/>
        <w:jc w:val="both"/>
        <w:textAlignment w:val="auto"/>
        <w:outlineLvl w:val="0"/>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pPr>
      <w:bookmarkStart w:id="158" w:name="_GoBack"/>
      <w:bookmarkEnd w:id="158"/>
    </w:p>
    <w:p w14:paraId="531544A4">
      <w:pPr>
        <w:keepNext w:val="0"/>
        <w:keepLines w:val="0"/>
        <w:pageBreakBefore w:val="0"/>
        <w:widowControl w:val="0"/>
        <w:numPr>
          <w:ilvl w:val="0"/>
          <w:numId w:val="4"/>
        </w:numPr>
        <w:kinsoku/>
        <w:wordWrap/>
        <w:overflowPunct/>
        <w:topLinePunct w:val="0"/>
        <w:autoSpaceDE/>
        <w:autoSpaceDN/>
        <w:bidi w:val="0"/>
        <w:adjustRightInd/>
        <w:snapToGrid/>
        <w:spacing w:line="500" w:lineRule="exact"/>
        <w:textAlignment w:val="auto"/>
        <w:outlineLvl w:val="1"/>
        <w:rPr>
          <w:rFonts w:hint="eastAsia" w:ascii="仿宋" w:hAnsi="仿宋" w:eastAsia="仿宋" w:cs="仿宋"/>
          <w:b/>
          <w:bCs/>
          <w:color w:val="auto"/>
          <w:sz w:val="28"/>
          <w:highlight w:val="none"/>
          <w:lang w:val="en-US" w:eastAsia="zh-CN"/>
        </w:rPr>
      </w:pPr>
      <w:bookmarkStart w:id="96" w:name="_Toc8611"/>
      <w:bookmarkStart w:id="97" w:name="_Toc10454"/>
      <w:bookmarkStart w:id="98" w:name="_Toc17629"/>
      <w:bookmarkStart w:id="99" w:name="_Toc25983"/>
      <w:bookmarkStart w:id="100" w:name="_Toc16313"/>
      <w:bookmarkStart w:id="101" w:name="_Toc24735"/>
      <w:r>
        <w:rPr>
          <w:rFonts w:hint="eastAsia" w:ascii="仿宋" w:hAnsi="仿宋" w:eastAsia="仿宋" w:cs="仿宋"/>
          <w:b/>
          <w:bCs/>
          <w:color w:val="auto"/>
          <w:sz w:val="28"/>
          <w:highlight w:val="none"/>
          <w:lang w:val="en-US" w:eastAsia="zh-CN"/>
        </w:rPr>
        <w:t>产品质量及包装要求</w:t>
      </w:r>
      <w:bookmarkEnd w:id="49"/>
      <w:bookmarkEnd w:id="96"/>
      <w:bookmarkEnd w:id="97"/>
      <w:bookmarkEnd w:id="98"/>
      <w:bookmarkEnd w:id="99"/>
      <w:bookmarkEnd w:id="100"/>
      <w:bookmarkEnd w:id="101"/>
    </w:p>
    <w:p w14:paraId="77B5375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0"/>
        <w:rPr>
          <w:rFonts w:hint="eastAsia" w:ascii="仿宋" w:hAnsi="仿宋" w:eastAsia="仿宋" w:cs="仿宋"/>
          <w:b w:val="0"/>
          <w:bCs w:val="0"/>
          <w:color w:val="auto"/>
          <w:sz w:val="28"/>
          <w:highlight w:val="none"/>
          <w:shd w:val="clear" w:color="auto" w:fill="auto"/>
          <w:lang w:val="en-US" w:eastAsia="zh-CN"/>
        </w:rPr>
      </w:pPr>
      <w:bookmarkStart w:id="102" w:name="_Toc25495"/>
      <w:r>
        <w:rPr>
          <w:rFonts w:hint="eastAsia" w:ascii="仿宋" w:hAnsi="仿宋" w:eastAsia="仿宋" w:cs="仿宋"/>
          <w:b w:val="0"/>
          <w:bCs w:val="0"/>
          <w:color w:val="auto"/>
          <w:sz w:val="28"/>
          <w:highlight w:val="none"/>
          <w:shd w:val="clear" w:color="auto" w:fill="auto"/>
          <w:lang w:val="en-US" w:eastAsia="zh-CN"/>
        </w:rPr>
        <w:t>1.1质量要求</w:t>
      </w:r>
      <w:bookmarkEnd w:id="102"/>
    </w:p>
    <w:p w14:paraId="5BC4AEB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0"/>
        <w:rPr>
          <w:rFonts w:hint="eastAsia" w:ascii="仿宋" w:hAnsi="仿宋" w:eastAsia="仿宋" w:cs="仿宋"/>
          <w:color w:val="auto"/>
          <w:sz w:val="28"/>
          <w:highlight w:val="none"/>
          <w:shd w:val="clear" w:color="auto" w:fill="auto"/>
        </w:rPr>
      </w:pPr>
      <w:bookmarkStart w:id="103" w:name="_Toc18651"/>
      <w:bookmarkStart w:id="104" w:name="_Toc19001"/>
      <w:r>
        <w:rPr>
          <w:rFonts w:hint="eastAsia" w:ascii="仿宋" w:hAnsi="仿宋" w:eastAsia="仿宋" w:cs="仿宋"/>
          <w:b w:val="0"/>
          <w:bCs w:val="0"/>
          <w:color w:val="auto"/>
          <w:sz w:val="28"/>
          <w:highlight w:val="none"/>
          <w:shd w:val="clear" w:color="auto" w:fill="auto"/>
          <w:lang w:val="en-US" w:eastAsia="zh-CN"/>
        </w:rPr>
        <w:t>1.1.1</w:t>
      </w:r>
      <w:r>
        <w:rPr>
          <w:rFonts w:hint="eastAsia" w:ascii="仿宋" w:hAnsi="仿宋" w:eastAsia="仿宋" w:cs="仿宋"/>
          <w:color w:val="auto"/>
          <w:sz w:val="28"/>
          <w:highlight w:val="none"/>
        </w:rPr>
        <w:t>产品必须满足</w:t>
      </w:r>
      <w:r>
        <w:rPr>
          <w:rFonts w:hint="eastAsia" w:ascii="仿宋" w:hAnsi="仿宋" w:eastAsia="仿宋" w:cs="仿宋"/>
          <w:color w:val="auto"/>
          <w:sz w:val="28"/>
          <w:highlight w:val="none"/>
          <w:lang w:eastAsia="zh-CN"/>
        </w:rPr>
        <w:t>甲方</w:t>
      </w:r>
      <w:r>
        <w:rPr>
          <w:rFonts w:hint="eastAsia" w:ascii="仿宋" w:hAnsi="仿宋" w:eastAsia="仿宋" w:cs="仿宋"/>
          <w:color w:val="auto"/>
          <w:sz w:val="28"/>
          <w:highlight w:val="none"/>
        </w:rPr>
        <w:t>验收要求且符合</w:t>
      </w:r>
      <w:r>
        <w:rPr>
          <w:rFonts w:hint="eastAsia" w:ascii="仿宋" w:hAnsi="仿宋" w:eastAsia="仿宋" w:cs="仿宋"/>
          <w:color w:val="auto"/>
          <w:sz w:val="28"/>
          <w:highlight w:val="none"/>
          <w:lang w:eastAsia="zh-CN"/>
        </w:rPr>
        <w:t>产品使用地点政府主管部门的</w:t>
      </w:r>
      <w:r>
        <w:rPr>
          <w:rFonts w:hint="eastAsia" w:ascii="仿宋" w:hAnsi="仿宋" w:eastAsia="仿宋" w:cs="仿宋"/>
          <w:color w:val="auto"/>
          <w:sz w:val="28"/>
          <w:highlight w:val="none"/>
        </w:rPr>
        <w:t>相关质量</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rPr>
        <w:t>验收规定，必须是</w:t>
      </w:r>
      <w:r>
        <w:rPr>
          <w:rFonts w:hint="eastAsia" w:ascii="仿宋" w:hAnsi="仿宋" w:eastAsia="仿宋" w:cs="仿宋"/>
          <w:color w:val="auto"/>
          <w:sz w:val="28"/>
          <w:highlight w:val="none"/>
          <w:lang w:val="en-US" w:eastAsia="zh-CN"/>
        </w:rPr>
        <w:t>符合甲方及</w:t>
      </w:r>
      <w:r>
        <w:rPr>
          <w:rFonts w:hint="eastAsia" w:ascii="仿宋" w:hAnsi="仿宋" w:eastAsia="仿宋" w:cs="仿宋"/>
          <w:color w:val="auto"/>
          <w:sz w:val="28"/>
          <w:highlight w:val="none"/>
          <w:u w:val="none"/>
          <w:lang w:eastAsia="zh-CN"/>
        </w:rPr>
        <w:t>本</w:t>
      </w:r>
      <w:r>
        <w:rPr>
          <w:rFonts w:hint="eastAsia" w:ascii="仿宋" w:hAnsi="仿宋" w:eastAsia="仿宋" w:cs="仿宋"/>
          <w:color w:val="auto"/>
          <w:sz w:val="28"/>
          <w:highlight w:val="none"/>
          <w:u w:val="none"/>
        </w:rPr>
        <w:t>合同要求，符合</w:t>
      </w:r>
      <w:r>
        <w:rPr>
          <w:rFonts w:hint="eastAsia" w:ascii="仿宋" w:hAnsi="仿宋" w:eastAsia="仿宋" w:cs="仿宋"/>
          <w:color w:val="auto"/>
          <w:sz w:val="28"/>
          <w:highlight w:val="none"/>
          <w:u w:val="none"/>
          <w:lang w:val="en-US" w:eastAsia="zh-CN"/>
        </w:rPr>
        <w:t>产品</w:t>
      </w:r>
      <w:r>
        <w:rPr>
          <w:rFonts w:hint="eastAsia" w:ascii="仿宋" w:hAnsi="仿宋" w:eastAsia="仿宋" w:cs="仿宋"/>
          <w:color w:val="auto"/>
          <w:sz w:val="28"/>
          <w:highlight w:val="none"/>
          <w:u w:val="none"/>
        </w:rPr>
        <w:t>质量检测标准和国家质量检测标准、行业标准，不得</w:t>
      </w:r>
      <w:r>
        <w:rPr>
          <w:rFonts w:hint="eastAsia" w:ascii="仿宋" w:hAnsi="仿宋" w:eastAsia="仿宋" w:cs="仿宋"/>
          <w:color w:val="auto"/>
          <w:sz w:val="28"/>
          <w:highlight w:val="none"/>
        </w:rPr>
        <w:t>低于合格标准。进口的产品或零部件必须符合原产地</w:t>
      </w:r>
      <w:r>
        <w:rPr>
          <w:rFonts w:hint="eastAsia" w:ascii="仿宋" w:hAnsi="仿宋" w:eastAsia="仿宋" w:cs="仿宋"/>
          <w:color w:val="auto"/>
          <w:sz w:val="28"/>
          <w:highlight w:val="none"/>
          <w:lang w:val="en-US" w:eastAsia="zh-CN"/>
        </w:rPr>
        <w:t>的合格品要求</w:t>
      </w:r>
      <w:r>
        <w:rPr>
          <w:rFonts w:hint="eastAsia" w:ascii="仿宋" w:hAnsi="仿宋" w:eastAsia="仿宋" w:cs="仿宋"/>
          <w:color w:val="auto"/>
          <w:sz w:val="28"/>
          <w:highlight w:val="none"/>
        </w:rPr>
        <w:t>，须具有合法进口手续及通过国家相关主管部门的检验</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lang w:val="en-US" w:eastAsia="zh-CN"/>
        </w:rPr>
        <w:t>检测</w:t>
      </w:r>
      <w:r>
        <w:rPr>
          <w:rFonts w:hint="eastAsia" w:ascii="仿宋" w:hAnsi="仿宋" w:eastAsia="仿宋" w:cs="仿宋"/>
          <w:color w:val="auto"/>
          <w:sz w:val="28"/>
          <w:highlight w:val="none"/>
        </w:rPr>
        <w:t>。</w:t>
      </w:r>
      <w:bookmarkEnd w:id="103"/>
    </w:p>
    <w:p w14:paraId="37F364D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0"/>
        <w:rPr>
          <w:rFonts w:hint="default" w:ascii="仿宋" w:hAnsi="仿宋" w:eastAsia="仿宋" w:cs="仿宋"/>
          <w:b w:val="0"/>
          <w:bCs w:val="0"/>
          <w:color w:val="auto"/>
          <w:sz w:val="28"/>
          <w:highlight w:val="yellow"/>
          <w:shd w:val="clear" w:color="auto" w:fill="auto"/>
          <w:lang w:val="en-US" w:eastAsia="zh-CN"/>
        </w:rPr>
      </w:pPr>
      <w:bookmarkStart w:id="105" w:name="_Toc24919"/>
      <w:r>
        <w:rPr>
          <w:rFonts w:hint="eastAsia" w:ascii="仿宋" w:hAnsi="仿宋" w:eastAsia="仿宋" w:cs="仿宋"/>
          <w:b w:val="0"/>
          <w:bCs w:val="0"/>
          <w:color w:val="auto"/>
          <w:sz w:val="28"/>
          <w:highlight w:val="none"/>
          <w:shd w:val="clear" w:color="auto" w:fill="auto"/>
          <w:lang w:val="en-US" w:eastAsia="zh-CN"/>
        </w:rPr>
        <w:t>1.1.2</w:t>
      </w:r>
      <w:r>
        <w:rPr>
          <w:rFonts w:hint="eastAsia" w:ascii="仿宋" w:hAnsi="仿宋" w:eastAsia="仿宋" w:cs="仿宋"/>
          <w:color w:val="auto"/>
          <w:sz w:val="28"/>
          <w:highlight w:val="none"/>
          <w:u w:val="none"/>
          <w:vertAlign w:val="baseline"/>
          <w:lang w:val="en-US" w:eastAsia="zh-CN"/>
        </w:rPr>
        <w:t>进场产品必须与甲乙双方事先确认的样板相同，如不相同，乙方无条件按甲方要求更换或退货。本合同所述各种产品标准、规范的质量表述不一致时，按质量要求最高的表述执行。</w:t>
      </w:r>
      <w:bookmarkEnd w:id="105"/>
    </w:p>
    <w:p w14:paraId="641108A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0"/>
        <w:rPr>
          <w:rFonts w:hint="default" w:ascii="仿宋" w:hAnsi="仿宋" w:eastAsia="仿宋" w:cs="仿宋"/>
          <w:b w:val="0"/>
          <w:bCs w:val="0"/>
          <w:color w:val="auto"/>
          <w:sz w:val="28"/>
          <w:highlight w:val="none"/>
          <w:shd w:val="clear" w:color="auto" w:fill="auto"/>
          <w:lang w:val="en-US" w:eastAsia="zh-CN"/>
        </w:rPr>
      </w:pPr>
      <w:r>
        <w:rPr>
          <w:rFonts w:hint="eastAsia" w:ascii="仿宋" w:hAnsi="仿宋" w:eastAsia="仿宋" w:cs="仿宋"/>
          <w:b w:val="0"/>
          <w:bCs w:val="0"/>
          <w:color w:val="auto"/>
          <w:sz w:val="28"/>
          <w:highlight w:val="none"/>
          <w:shd w:val="clear" w:color="auto" w:fill="auto"/>
          <w:lang w:val="en-US" w:eastAsia="zh-CN"/>
        </w:rPr>
        <w:t>1.1.3其他需要约定的与产品质量相关的事项：</w:t>
      </w:r>
      <w:r>
        <w:rPr>
          <w:rFonts w:hint="eastAsia" w:ascii="仿宋" w:hAnsi="仿宋" w:eastAsia="仿宋" w:cs="仿宋"/>
          <w:b w:val="0"/>
          <w:bCs w:val="0"/>
          <w:color w:val="auto"/>
          <w:sz w:val="28"/>
          <w:highlight w:val="none"/>
          <w:u w:val="single"/>
          <w:shd w:val="clear" w:color="auto" w:fill="auto"/>
          <w:lang w:val="en-US" w:eastAsia="zh-CN"/>
        </w:rPr>
        <w:t xml:space="preserve">  /  </w:t>
      </w:r>
      <w:r>
        <w:rPr>
          <w:rFonts w:hint="eastAsia" w:ascii="仿宋" w:hAnsi="仿宋" w:eastAsia="仿宋" w:cs="仿宋"/>
          <w:b w:val="0"/>
          <w:bCs w:val="0"/>
          <w:color w:val="auto"/>
          <w:sz w:val="28"/>
          <w:highlight w:val="none"/>
          <w:shd w:val="clear" w:color="auto" w:fill="auto"/>
          <w:lang w:val="en-US" w:eastAsia="zh-CN"/>
        </w:rPr>
        <w:t>。</w:t>
      </w:r>
      <w:bookmarkEnd w:id="104"/>
    </w:p>
    <w:p w14:paraId="710C375D">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0"/>
        <w:rPr>
          <w:rFonts w:hint="eastAsia" w:ascii="仿宋" w:hAnsi="仿宋" w:eastAsia="仿宋" w:cs="仿宋"/>
          <w:b w:val="0"/>
          <w:bCs w:val="0"/>
          <w:color w:val="auto"/>
          <w:sz w:val="28"/>
          <w:highlight w:val="none"/>
          <w:shd w:val="clear" w:color="auto" w:fill="auto"/>
          <w:lang w:val="en-US" w:eastAsia="zh-CN"/>
        </w:rPr>
      </w:pPr>
      <w:bookmarkStart w:id="106" w:name="_Toc5891"/>
      <w:r>
        <w:rPr>
          <w:rFonts w:hint="eastAsia" w:ascii="仿宋" w:hAnsi="仿宋" w:eastAsia="仿宋" w:cs="仿宋"/>
          <w:b w:val="0"/>
          <w:bCs w:val="0"/>
          <w:color w:val="auto"/>
          <w:sz w:val="28"/>
          <w:highlight w:val="none"/>
          <w:shd w:val="clear" w:color="auto" w:fill="auto"/>
          <w:lang w:val="en-US" w:eastAsia="zh-CN"/>
        </w:rPr>
        <w:t>1.1.4产品包装要求：</w:t>
      </w:r>
      <w:r>
        <w:rPr>
          <w:rFonts w:hint="eastAsia" w:ascii="仿宋" w:hAnsi="仿宋" w:eastAsia="仿宋" w:cs="仿宋"/>
          <w:b w:val="0"/>
          <w:bCs w:val="0"/>
          <w:color w:val="auto"/>
          <w:sz w:val="28"/>
          <w:highlight w:val="none"/>
          <w:u w:val="single"/>
          <w:shd w:val="clear" w:color="auto" w:fill="auto"/>
          <w:lang w:val="en-US" w:eastAsia="zh-CN"/>
        </w:rPr>
        <w:t xml:space="preserve">   /   </w:t>
      </w:r>
      <w:r>
        <w:rPr>
          <w:rFonts w:hint="eastAsia" w:ascii="仿宋" w:hAnsi="仿宋" w:eastAsia="仿宋" w:cs="仿宋"/>
          <w:b w:val="0"/>
          <w:bCs w:val="0"/>
          <w:color w:val="auto"/>
          <w:sz w:val="28"/>
          <w:highlight w:val="none"/>
          <w:shd w:val="clear" w:color="auto" w:fill="auto"/>
          <w:lang w:val="en-US" w:eastAsia="zh-CN"/>
        </w:rPr>
        <w:t>。</w:t>
      </w:r>
      <w:bookmarkEnd w:id="106"/>
    </w:p>
    <w:p w14:paraId="4FFC156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textAlignment w:val="auto"/>
        <w:outlineLvl w:val="0"/>
        <w:rPr>
          <w:rFonts w:hint="default" w:ascii="仿宋" w:hAnsi="仿宋" w:eastAsia="仿宋" w:cs="仿宋"/>
          <w:b w:val="0"/>
          <w:bCs w:val="0"/>
          <w:color w:val="auto"/>
          <w:sz w:val="28"/>
          <w:highlight w:val="none"/>
          <w:shd w:val="clear" w:color="auto" w:fill="auto"/>
          <w:lang w:val="en-US" w:eastAsia="zh-CN"/>
        </w:rPr>
      </w:pPr>
      <w:bookmarkStart w:id="107" w:name="_Toc32513"/>
      <w:r>
        <w:rPr>
          <w:rFonts w:hint="eastAsia" w:ascii="仿宋" w:hAnsi="仿宋" w:eastAsia="仿宋" w:cs="仿宋"/>
          <w:b w:val="0"/>
          <w:bCs w:val="0"/>
          <w:color w:val="auto"/>
          <w:sz w:val="28"/>
          <w:highlight w:val="none"/>
          <w:shd w:val="clear" w:color="auto" w:fill="auto"/>
          <w:lang w:val="en-US" w:eastAsia="zh-CN"/>
        </w:rPr>
        <w:t>1.1.5产品包装物归属：</w:t>
      </w:r>
      <w:r>
        <w:rPr>
          <w:rFonts w:hint="eastAsia" w:ascii="仿宋" w:hAnsi="仿宋" w:eastAsia="仿宋" w:cs="仿宋"/>
          <w:b w:val="0"/>
          <w:bCs w:val="0"/>
          <w:color w:val="auto"/>
          <w:sz w:val="28"/>
          <w:highlight w:val="none"/>
          <w:shd w:val="clear" w:color="auto" w:fill="auto"/>
          <w:lang w:val="en-US" w:eastAsia="zh-CN"/>
        </w:rPr>
        <w:sym w:font="Wingdings" w:char="00FE"/>
      </w:r>
      <w:r>
        <w:rPr>
          <w:rFonts w:hint="eastAsia" w:ascii="仿宋" w:hAnsi="仿宋" w:eastAsia="仿宋" w:cs="仿宋"/>
          <w:b w:val="0"/>
          <w:bCs w:val="0"/>
          <w:color w:val="auto"/>
          <w:sz w:val="28"/>
          <w:highlight w:val="none"/>
          <w:shd w:val="clear" w:color="auto" w:fill="auto"/>
          <w:lang w:val="en-US" w:eastAsia="zh-CN"/>
        </w:rPr>
        <w:t>乙方自行清运拉走，费用已含于合同单价中。</w:t>
      </w:r>
      <w:r>
        <w:rPr>
          <w:rFonts w:hint="eastAsia" w:ascii="仿宋" w:hAnsi="仿宋" w:eastAsia="仿宋" w:cs="仿宋"/>
          <w:b w:val="0"/>
          <w:bCs w:val="0"/>
          <w:color w:val="auto"/>
          <w:sz w:val="28"/>
          <w:highlight w:val="none"/>
          <w:shd w:val="clear" w:color="auto" w:fill="auto"/>
          <w:lang w:val="en-US" w:eastAsia="zh-CN"/>
        </w:rPr>
        <w:sym w:font="Wingdings" w:char="00A8"/>
      </w:r>
      <w:r>
        <w:rPr>
          <w:rFonts w:hint="eastAsia" w:ascii="仿宋" w:hAnsi="仿宋" w:eastAsia="仿宋" w:cs="仿宋"/>
          <w:b w:val="0"/>
          <w:bCs w:val="0"/>
          <w:color w:val="auto"/>
          <w:sz w:val="28"/>
          <w:highlight w:val="none"/>
          <w:shd w:val="clear" w:color="auto" w:fill="auto"/>
          <w:lang w:val="en-US" w:eastAsia="zh-CN"/>
        </w:rPr>
        <w:t>包装物归甲方所有，费用已含于合同单价中。</w:t>
      </w:r>
      <w:bookmarkEnd w:id="107"/>
    </w:p>
    <w:p w14:paraId="425D9591">
      <w:pPr>
        <w:keepNext w:val="0"/>
        <w:keepLines w:val="0"/>
        <w:pageBreakBefore w:val="0"/>
        <w:widowControl w:val="0"/>
        <w:numPr>
          <w:ilvl w:val="0"/>
          <w:numId w:val="4"/>
        </w:numPr>
        <w:kinsoku/>
        <w:wordWrap/>
        <w:overflowPunct/>
        <w:topLinePunct w:val="0"/>
        <w:autoSpaceDE/>
        <w:autoSpaceDN/>
        <w:bidi w:val="0"/>
        <w:adjustRightInd/>
        <w:snapToGrid/>
        <w:spacing w:line="500" w:lineRule="exact"/>
        <w:textAlignment w:val="auto"/>
        <w:outlineLvl w:val="1"/>
        <w:rPr>
          <w:rFonts w:hint="default" w:ascii="仿宋" w:hAnsi="仿宋" w:eastAsia="仿宋" w:cs="仿宋"/>
          <w:b/>
          <w:bCs/>
          <w:color w:val="auto"/>
          <w:sz w:val="28"/>
          <w:highlight w:val="none"/>
          <w:lang w:val="en-US" w:eastAsia="zh-CN"/>
        </w:rPr>
      </w:pPr>
      <w:bookmarkStart w:id="108" w:name="_Toc25333"/>
      <w:bookmarkStart w:id="109" w:name="_Toc28133"/>
      <w:bookmarkStart w:id="110" w:name="_Toc23033"/>
      <w:r>
        <w:rPr>
          <w:rFonts w:hint="eastAsia" w:ascii="仿宋" w:hAnsi="仿宋" w:eastAsia="仿宋" w:cs="仿宋"/>
          <w:b/>
          <w:bCs/>
          <w:color w:val="auto"/>
          <w:sz w:val="28"/>
          <w:highlight w:val="none"/>
          <w:lang w:val="en-US" w:eastAsia="zh-CN"/>
        </w:rPr>
        <w:t>交货、验收</w:t>
      </w:r>
      <w:bookmarkEnd w:id="108"/>
      <w:r>
        <w:rPr>
          <w:rFonts w:hint="eastAsia" w:ascii="仿宋" w:hAnsi="仿宋" w:eastAsia="仿宋" w:cs="仿宋"/>
          <w:b/>
          <w:bCs/>
          <w:color w:val="auto"/>
          <w:sz w:val="28"/>
          <w:highlight w:val="none"/>
          <w:lang w:val="en-US" w:eastAsia="zh-CN"/>
        </w:rPr>
        <w:t>及保修</w:t>
      </w:r>
      <w:bookmarkEnd w:id="109"/>
    </w:p>
    <w:p w14:paraId="3D05AC1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bookmarkStart w:id="111" w:name="_Toc14543"/>
      <w:bookmarkStart w:id="112" w:name="_Toc931"/>
      <w:bookmarkStart w:id="113" w:name="_Toc13465"/>
      <w:bookmarkStart w:id="114" w:name="_Toc20045"/>
      <w:r>
        <w:rPr>
          <w:rFonts w:hint="eastAsia" w:ascii="仿宋" w:hAnsi="仿宋" w:eastAsia="仿宋" w:cs="仿宋"/>
          <w:color w:val="auto"/>
          <w:sz w:val="28"/>
          <w:highlight w:val="none"/>
          <w:lang w:val="en-US" w:eastAsia="zh-CN"/>
        </w:rPr>
        <w:t>2.1每批产品交货之日起，双方于2个日历天内完成送货对账单核对，对账单核对一致后，乙方提供已核对无误的产品专用发票给甲方，甲方财务部收到合格的发票后按本合同约定付款，如延迟完成对账或提供发票的，则甲方付款时间顺延。</w:t>
      </w:r>
      <w:bookmarkStart w:id="115" w:name="_Toc10040"/>
    </w:p>
    <w:p w14:paraId="05E7EBD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u w:val="single"/>
          <w:shd w:val="clear" w:color="auto" w:fill="auto"/>
          <w:lang w:val="en-US" w:eastAsia="zh-CN"/>
        </w:rPr>
      </w:pPr>
      <w:r>
        <w:rPr>
          <w:rFonts w:hint="eastAsia" w:ascii="仿宋" w:hAnsi="仿宋" w:eastAsia="仿宋" w:cs="仿宋"/>
          <w:color w:val="auto"/>
          <w:sz w:val="28"/>
          <w:highlight w:val="none"/>
          <w:lang w:val="en-US" w:eastAsia="zh-CN"/>
        </w:rPr>
        <w:t>2.2</w:t>
      </w:r>
      <w:r>
        <w:rPr>
          <w:rFonts w:hint="eastAsia" w:ascii="仿宋" w:hAnsi="仿宋" w:eastAsia="仿宋" w:cs="仿宋"/>
          <w:color w:val="auto"/>
          <w:sz w:val="28"/>
          <w:highlight w:val="none"/>
          <w:u w:val="none"/>
          <w:shd w:val="clear" w:color="auto" w:fill="auto"/>
          <w:lang w:val="en-US" w:eastAsia="zh-CN"/>
        </w:rPr>
        <w:t>订单确认方式：</w:t>
      </w:r>
      <w:r>
        <w:rPr>
          <w:rFonts w:hint="eastAsia" w:ascii="仿宋" w:hAnsi="仿宋" w:eastAsia="仿宋" w:cs="仿宋"/>
          <w:color w:val="auto"/>
          <w:sz w:val="28"/>
          <w:highlight w:val="none"/>
          <w:u w:val="single"/>
          <w:shd w:val="clear" w:color="auto" w:fill="auto"/>
          <w:lang w:val="en-US" w:eastAsia="zh-CN"/>
        </w:rPr>
        <w:t>以经甲方本合同执行联系人、仓管员等相关岗位人员签名的物料申购单（格式详见附件格式）扫描件为准，详见本合同相关约定。</w:t>
      </w:r>
    </w:p>
    <w:p w14:paraId="45D7C67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rPr>
      </w:pPr>
      <w:r>
        <w:rPr>
          <w:rFonts w:hint="eastAsia" w:ascii="仿宋" w:hAnsi="仿宋" w:eastAsia="仿宋" w:cs="仿宋"/>
          <w:color w:val="auto"/>
          <w:sz w:val="28"/>
          <w:highlight w:val="none"/>
          <w:u w:val="none"/>
          <w:shd w:val="clear" w:color="auto" w:fill="auto"/>
          <w:lang w:val="en-US" w:eastAsia="zh-CN"/>
        </w:rPr>
        <w:t>2.3</w:t>
      </w:r>
      <w:r>
        <w:rPr>
          <w:rFonts w:hint="eastAsia" w:ascii="仿宋" w:hAnsi="仿宋" w:eastAsia="仿宋" w:cs="仿宋"/>
          <w:color w:val="auto"/>
          <w:sz w:val="28"/>
          <w:highlight w:val="none"/>
          <w:lang w:eastAsia="zh-CN"/>
        </w:rPr>
        <w:t>乙方对产品实行</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b/>
          <w:bCs/>
          <w:color w:val="auto"/>
          <w:sz w:val="28"/>
          <w:highlight w:val="none"/>
          <w:u w:val="single"/>
          <w:lang w:val="en-US" w:eastAsia="zh-CN"/>
        </w:rPr>
        <w:t>六个月</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lang w:eastAsia="zh-CN"/>
        </w:rPr>
        <w:t>免费</w:t>
      </w:r>
      <w:r>
        <w:rPr>
          <w:rFonts w:hint="eastAsia" w:ascii="仿宋" w:hAnsi="仿宋" w:eastAsia="仿宋" w:cs="仿宋"/>
          <w:color w:val="auto"/>
          <w:sz w:val="28"/>
          <w:highlight w:val="none"/>
          <w:lang w:val="en-US" w:eastAsia="zh-CN"/>
        </w:rPr>
        <w:t>保修</w:t>
      </w:r>
      <w:r>
        <w:rPr>
          <w:rFonts w:hint="eastAsia" w:ascii="仿宋" w:hAnsi="仿宋" w:eastAsia="仿宋" w:cs="仿宋"/>
          <w:color w:val="auto"/>
          <w:sz w:val="28"/>
          <w:highlight w:val="none"/>
          <w:lang w:eastAsia="zh-CN"/>
        </w:rPr>
        <w:t>(国家或甲方与本项目建设单位另有更长</w:t>
      </w:r>
      <w:r>
        <w:rPr>
          <w:rFonts w:hint="eastAsia" w:ascii="仿宋" w:hAnsi="仿宋" w:eastAsia="仿宋" w:cs="仿宋"/>
          <w:color w:val="auto"/>
          <w:sz w:val="28"/>
          <w:highlight w:val="none"/>
          <w:lang w:val="en-US" w:eastAsia="zh-CN"/>
        </w:rPr>
        <w:t>保修</w:t>
      </w:r>
      <w:r>
        <w:rPr>
          <w:rFonts w:hint="eastAsia" w:ascii="仿宋" w:hAnsi="仿宋" w:eastAsia="仿宋" w:cs="仿宋"/>
          <w:color w:val="auto"/>
          <w:sz w:val="28"/>
          <w:highlight w:val="none"/>
          <w:lang w:eastAsia="zh-CN"/>
        </w:rPr>
        <w:t>期限规定的，从其规定)</w:t>
      </w:r>
      <w:r>
        <w:rPr>
          <w:rFonts w:hint="eastAsia" w:ascii="仿宋" w:hAnsi="仿宋" w:eastAsia="仿宋" w:cs="仿宋"/>
          <w:color w:val="auto"/>
          <w:sz w:val="28"/>
          <w:highlight w:val="none"/>
        </w:rPr>
        <w:t>，</w:t>
      </w:r>
      <w:r>
        <w:rPr>
          <w:rFonts w:hint="eastAsia" w:ascii="仿宋" w:hAnsi="仿宋" w:eastAsia="仿宋" w:cs="仿宋"/>
          <w:color w:val="auto"/>
          <w:sz w:val="28"/>
          <w:highlight w:val="none"/>
          <w:lang w:val="en-US" w:eastAsia="zh-CN"/>
        </w:rPr>
        <w:t>保修</w:t>
      </w:r>
      <w:r>
        <w:rPr>
          <w:rFonts w:hint="eastAsia" w:ascii="仿宋" w:hAnsi="仿宋" w:eastAsia="仿宋" w:cs="仿宋"/>
          <w:color w:val="auto"/>
          <w:sz w:val="28"/>
          <w:highlight w:val="none"/>
        </w:rPr>
        <w:t>期自产品经甲方验收合格并</w:t>
      </w:r>
      <w:r>
        <w:rPr>
          <w:rFonts w:hint="eastAsia" w:ascii="仿宋" w:hAnsi="仿宋" w:eastAsia="仿宋" w:cs="仿宋"/>
          <w:color w:val="auto"/>
          <w:sz w:val="28"/>
          <w:highlight w:val="none"/>
          <w:lang w:val="en-US" w:eastAsia="zh-CN"/>
        </w:rPr>
        <w:t>移交甲方正常使用</w:t>
      </w:r>
      <w:r>
        <w:rPr>
          <w:rFonts w:hint="eastAsia" w:ascii="仿宋" w:hAnsi="仿宋" w:eastAsia="仿宋" w:cs="仿宋"/>
          <w:color w:val="auto"/>
          <w:sz w:val="28"/>
          <w:highlight w:val="none"/>
        </w:rPr>
        <w:t>之日起计。</w:t>
      </w:r>
      <w:bookmarkEnd w:id="115"/>
    </w:p>
    <w:p w14:paraId="57D5474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rPr>
      </w:pPr>
    </w:p>
    <w:p w14:paraId="1BEF023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rPr>
      </w:pPr>
    </w:p>
    <w:p w14:paraId="470FC87F">
      <w:pPr>
        <w:keepNext w:val="0"/>
        <w:keepLines w:val="0"/>
        <w:pageBreakBefore w:val="0"/>
        <w:widowControl w:val="0"/>
        <w:numPr>
          <w:ilvl w:val="0"/>
          <w:numId w:val="5"/>
        </w:numPr>
        <w:tabs>
          <w:tab w:val="left" w:pos="6272"/>
        </w:tabs>
        <w:kinsoku/>
        <w:wordWrap/>
        <w:overflowPunct/>
        <w:topLinePunct w:val="0"/>
        <w:autoSpaceDE/>
        <w:autoSpaceDN/>
        <w:bidi w:val="0"/>
        <w:adjustRightInd/>
        <w:snapToGrid w:val="0"/>
        <w:spacing w:line="500" w:lineRule="exact"/>
        <w:ind w:right="-578" w:rightChars="-275"/>
        <w:jc w:val="center"/>
        <w:textAlignment w:val="auto"/>
        <w:outlineLvl w:val="0"/>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pPr>
      <w:bookmarkStart w:id="116" w:name="_Toc14034"/>
      <w:bookmarkStart w:id="117" w:name="_Toc30593"/>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合同通用条款</w:t>
      </w:r>
      <w:bookmarkEnd w:id="111"/>
      <w:bookmarkEnd w:id="112"/>
      <w:bookmarkEnd w:id="113"/>
      <w:bookmarkEnd w:id="114"/>
      <w:bookmarkEnd w:id="116"/>
      <w:bookmarkEnd w:id="117"/>
    </w:p>
    <w:p w14:paraId="744612D7">
      <w:pPr>
        <w:keepNext w:val="0"/>
        <w:keepLines w:val="0"/>
        <w:pageBreakBefore w:val="0"/>
        <w:widowControl w:val="0"/>
        <w:numPr>
          <w:ilvl w:val="0"/>
          <w:numId w:val="0"/>
        </w:numPr>
        <w:tabs>
          <w:tab w:val="left" w:pos="6272"/>
        </w:tabs>
        <w:kinsoku/>
        <w:wordWrap/>
        <w:overflowPunct/>
        <w:topLinePunct w:val="0"/>
        <w:autoSpaceDE/>
        <w:autoSpaceDN/>
        <w:bidi w:val="0"/>
        <w:adjustRightInd/>
        <w:snapToGrid w:val="0"/>
        <w:spacing w:line="500" w:lineRule="exact"/>
        <w:ind w:right="-578" w:rightChars="-275"/>
        <w:jc w:val="both"/>
        <w:textAlignment w:val="auto"/>
        <w:outlineLvl w:val="0"/>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pPr>
    </w:p>
    <w:p w14:paraId="7CB4FE65">
      <w:pPr>
        <w:keepNext w:val="0"/>
        <w:keepLines w:val="0"/>
        <w:pageBreakBefore w:val="0"/>
        <w:widowControl w:val="0"/>
        <w:numPr>
          <w:ilvl w:val="0"/>
          <w:numId w:val="6"/>
        </w:numPr>
        <w:kinsoku/>
        <w:wordWrap/>
        <w:overflowPunct/>
        <w:topLinePunct w:val="0"/>
        <w:autoSpaceDE/>
        <w:autoSpaceDN/>
        <w:bidi w:val="0"/>
        <w:adjustRightInd/>
        <w:snapToGrid/>
        <w:spacing w:line="500" w:lineRule="exact"/>
        <w:textAlignment w:val="auto"/>
        <w:outlineLvl w:val="1"/>
        <w:rPr>
          <w:rFonts w:hint="eastAsia" w:ascii="仿宋" w:hAnsi="仿宋" w:eastAsia="仿宋" w:cs="仿宋"/>
          <w:b/>
          <w:bCs/>
          <w:color w:val="auto"/>
          <w:sz w:val="28"/>
          <w:highlight w:val="none"/>
          <w:lang w:val="en-US" w:eastAsia="zh-CN"/>
        </w:rPr>
      </w:pPr>
      <w:bookmarkStart w:id="118" w:name="_Toc30394"/>
      <w:bookmarkStart w:id="119" w:name="_Toc15533"/>
      <w:r>
        <w:rPr>
          <w:rFonts w:hint="eastAsia" w:ascii="仿宋" w:hAnsi="仿宋" w:eastAsia="仿宋" w:cs="仿宋"/>
          <w:b/>
          <w:bCs/>
          <w:color w:val="auto"/>
          <w:sz w:val="28"/>
          <w:highlight w:val="none"/>
          <w:lang w:val="en-US" w:eastAsia="zh-CN"/>
        </w:rPr>
        <w:t>对账及发票要求</w:t>
      </w:r>
      <w:bookmarkEnd w:id="118"/>
      <w:bookmarkEnd w:id="119"/>
    </w:p>
    <w:p w14:paraId="0C4C6F5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bookmarkStart w:id="120" w:name="_Toc4846"/>
      <w:r>
        <w:rPr>
          <w:rFonts w:hint="eastAsia" w:ascii="仿宋" w:hAnsi="仿宋" w:eastAsia="仿宋" w:cs="仿宋"/>
          <w:color w:val="auto"/>
          <w:sz w:val="28"/>
          <w:highlight w:val="none"/>
          <w:lang w:val="en-US" w:eastAsia="zh-CN"/>
        </w:rPr>
        <w:t>1.1乙方对账及请款资料：甲方下料订单(即甲方发出的《物料申购单》,格式详见附件)、乙方对账单原件(结算单)、本合同复印件(含调价函)、材料签收单原件（绿联，格式详见附件）、乙方送货单原件(发货单)、材料收货水印照片、材料款申报确认表原件、付款台账汇总表原件、供应商月度对账单原件(格式详见附件)、结清承诺书原件、发票（双方对账一致后2个日历天内，乙方交齐给甲方项目部对账人员）。</w:t>
      </w:r>
    </w:p>
    <w:p w14:paraId="43464D07">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1.1.1对账资料具体要求：</w:t>
      </w:r>
    </w:p>
    <w:p w14:paraId="5D5AE6E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①乙方对账单（结算单）：该单据须乙方盖章及乙方人员签名和日期，经甲方人员（甲方合同执行联系人、甲方仓管员）核对无误后签名和日期，原则上款项内容处填写的对账日期应与签注的日期一致。</w:t>
      </w:r>
    </w:p>
    <w:p w14:paraId="4C606F4D">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color w:val="auto"/>
          <w:sz w:val="28"/>
          <w:highlight w:val="none"/>
          <w:lang w:val="en-US" w:eastAsia="zh-CN"/>
        </w:rPr>
        <w:t>②本合同复印件（含调价函）：合同复印件以双方签章完毕的为准，包括本合同及附属补充协议；调价函及调税率函以适用的为</w:t>
      </w:r>
      <w:r>
        <w:rPr>
          <w:rFonts w:hint="eastAsia" w:ascii="仿宋" w:hAnsi="仿宋" w:eastAsia="仿宋" w:cs="仿宋"/>
          <w:b w:val="0"/>
          <w:bCs w:val="0"/>
          <w:color w:val="auto"/>
          <w:sz w:val="28"/>
          <w:szCs w:val="28"/>
          <w:highlight w:val="none"/>
          <w:u w:val="none"/>
          <w:lang w:val="en-US" w:eastAsia="zh-CN"/>
        </w:rPr>
        <w:t>准，过期或者不适用的不附，以加盖甲乙双方公章的为准，不调价/不调税则不提供。</w:t>
      </w:r>
    </w:p>
    <w:p w14:paraId="31914E19">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材料签收单：须注明产品所用项目、地块、第几期，并如实的正确填写日期、乙方全称、材料名称、品牌、规格、型号、数量及金额等信息，此单据必须有本合同约定的甲方合同执行联系人、甲方产品签收人、乙方送货员、乙方合同授权代表共同亲笔签名确认，否则无效且甲方有权不付款。此单据内容不得随意修改、涂划，若确需修改、涂划，则被修正、涂划的内容旁须有甲方合同执行联系人、甲方仓管员共同签名确认，否则无效。关于甲乙双方人员（甲方合同执行联系人、甲方产品签收人、乙方送货员、乙方合同授权代表）的签名确认，甲方如有规定则按相关规定办理。甲方付款的前提条件之一是收齐了符合本合同约定的材料签收单原件（即一式三联均由甲方收齐），否则甲方有权不付款。</w:t>
      </w:r>
    </w:p>
    <w:p w14:paraId="40E4740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④乙方送货单（发货单）：此单据须盖乙方成品出货专用章及甲乙双方人员（甲方合同执行联系人、甲方仓管员、乙方送货员、乙方合同授权代表）签字。</w:t>
      </w:r>
    </w:p>
    <w:p w14:paraId="390C54FE">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⑤产品收货水印照片：含甲乙双方参加产品签收人员留影，产品卸货前后对比照，产品实物规格、品牌等参数照，车辆、车牌信息照，卸货现场工程背景照，所有照片均须有水印备注，水印须有项目地址定位和拍照时间、日期。</w:t>
      </w:r>
    </w:p>
    <w:p w14:paraId="3087411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⑥材料款申报审批表：格式详见附件。</w:t>
      </w:r>
    </w:p>
    <w:p w14:paraId="1ACA51D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⑦款项支付台账：格式详见附件。</w:t>
      </w:r>
    </w:p>
    <w:p w14:paraId="1B63D6B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⑧结清承诺书：格式详见附件。</w:t>
      </w:r>
    </w:p>
    <w:p w14:paraId="1B92430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⑨供应商月度对账单：格式详见附件。</w:t>
      </w:r>
    </w:p>
    <w:p w14:paraId="6EB6B3C4">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⑩物料申购单：格式详见附件。</w:t>
      </w:r>
    </w:p>
    <w:p w14:paraId="1FB099F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lang w:val="en-US" w:eastAsia="zh-CN"/>
        </w:rPr>
        <w:t>1.2发票要求：甲乙双方对账完成后2个日历天内，乙方开票并提交至甲方项目部，否则甲方不予付款且不违约，乙方开具的发票内容须与合同约定内容一致。乙方每次开票金额必须与当次对账金额一致而非与当次请款金额一致，并按甲方要求分项目、分地块、分楼栋分别开具发票，否则视为乙方逾期提供发票给甲方，属乙方违约，甲方有权不付款。乙方逾期提供合格发票的，在提供合格发票时须同时提供“延迟付款声明函”（格式详见附件），同时甲方按签收合格发票之日起顺延相应日历天付款，不属甲方违约。甲方付款顺延相应日历天数=甲方实际签收合格发票日-甲方约定签收合格发票日。如甲方因特殊原因未收发票却已付款，但乙方逾期提供发票的，每逾期1个日历天按合同暂定总价的5%向甲方承担违约金；如乙方经甲方书面催告后、超过5个日历天仍不提供，乙方另按合同暂定总价的30%向甲方承担违约金。</w:t>
      </w:r>
      <w:r>
        <w:rPr>
          <w:rFonts w:hint="eastAsia" w:ascii="仿宋" w:hAnsi="仿宋" w:eastAsia="仿宋" w:cs="仿宋"/>
          <w:color w:val="auto"/>
          <w:sz w:val="28"/>
          <w:highlight w:val="none"/>
          <w:lang w:val="en-US" w:eastAsia="zh-CN"/>
        </w:rPr>
        <w:tab/>
      </w:r>
      <w:r>
        <w:rPr>
          <w:rFonts w:hint="eastAsia" w:ascii="仿宋" w:hAnsi="仿宋" w:eastAsia="仿宋" w:cs="仿宋"/>
          <w:color w:val="auto"/>
          <w:sz w:val="28"/>
          <w:highlight w:val="none"/>
          <w:lang w:val="en-US" w:eastAsia="zh-CN"/>
        </w:rPr>
        <w:t>1.3乙方收款账户的开户名称须与本合同乙方名称、收款发票开具单位名称一致，否则甲方有权不付款且不违约，直到乙方提供甲方认可的发票再计付款周期。如甲方发现乙方开具假发</w:t>
      </w:r>
      <w:r>
        <w:rPr>
          <w:rFonts w:hint="eastAsia" w:ascii="仿宋" w:hAnsi="仿宋" w:eastAsia="仿宋" w:cs="仿宋"/>
          <w:color w:val="auto"/>
          <w:sz w:val="28"/>
          <w:highlight w:val="none"/>
          <w:u w:val="none"/>
          <w:lang w:eastAsia="zh-CN"/>
        </w:rPr>
        <w:t>票，属乙方违约，乙方须书面向甲方承认开具假发票行为并重新开具合法发票，乙方开具假发票视</w:t>
      </w:r>
      <w:r>
        <w:rPr>
          <w:rFonts w:hint="eastAsia" w:ascii="仿宋" w:hAnsi="仿宋" w:eastAsia="仿宋" w:cs="仿宋"/>
          <w:color w:val="auto"/>
          <w:sz w:val="28"/>
          <w:highlight w:val="none"/>
          <w:u w:val="none"/>
          <w:lang w:val="en-US" w:eastAsia="zh-CN"/>
        </w:rPr>
        <w:t>为</w:t>
      </w:r>
      <w:r>
        <w:rPr>
          <w:rFonts w:hint="eastAsia" w:ascii="仿宋" w:hAnsi="仿宋" w:eastAsia="仿宋" w:cs="仿宋"/>
          <w:color w:val="auto"/>
          <w:sz w:val="28"/>
          <w:highlight w:val="none"/>
          <w:u w:val="none"/>
          <w:lang w:eastAsia="zh-CN"/>
        </w:rPr>
        <w:t>乙方逾期提供发票，违约金</w:t>
      </w:r>
      <w:r>
        <w:rPr>
          <w:rFonts w:hint="eastAsia" w:ascii="仿宋" w:hAnsi="仿宋" w:eastAsia="仿宋" w:cs="仿宋"/>
          <w:b w:val="0"/>
          <w:bCs w:val="0"/>
          <w:color w:val="auto"/>
          <w:sz w:val="28"/>
          <w:highlight w:val="none"/>
          <w:u w:val="none"/>
          <w:lang w:eastAsia="zh-CN"/>
        </w:rPr>
        <w:t>按</w:t>
      </w:r>
      <w:r>
        <w:rPr>
          <w:rFonts w:hint="eastAsia" w:ascii="仿宋" w:hAnsi="仿宋" w:eastAsia="仿宋" w:cs="仿宋"/>
          <w:b w:val="0"/>
          <w:bCs w:val="0"/>
          <w:color w:val="auto"/>
          <w:sz w:val="28"/>
          <w:highlight w:val="none"/>
          <w:u w:val="single"/>
          <w:lang w:val="en-US" w:eastAsia="zh-CN"/>
        </w:rPr>
        <w:t>本合同通用条款第1.2条</w:t>
      </w:r>
      <w:r>
        <w:rPr>
          <w:rFonts w:hint="eastAsia" w:ascii="仿宋" w:hAnsi="仿宋" w:eastAsia="仿宋" w:cs="仿宋"/>
          <w:b w:val="0"/>
          <w:bCs w:val="0"/>
          <w:color w:val="auto"/>
          <w:sz w:val="28"/>
          <w:highlight w:val="none"/>
          <w:u w:val="none"/>
          <w:lang w:eastAsia="zh-CN"/>
        </w:rPr>
        <w:t>逾</w:t>
      </w:r>
      <w:r>
        <w:rPr>
          <w:rFonts w:hint="eastAsia" w:ascii="仿宋" w:hAnsi="仿宋" w:eastAsia="仿宋" w:cs="仿宋"/>
          <w:color w:val="auto"/>
          <w:sz w:val="28"/>
          <w:highlight w:val="none"/>
          <w:u w:val="none"/>
          <w:lang w:eastAsia="zh-CN"/>
        </w:rPr>
        <w:t>期提供发票</w:t>
      </w:r>
      <w:r>
        <w:rPr>
          <w:rFonts w:hint="eastAsia" w:ascii="仿宋" w:hAnsi="仿宋" w:eastAsia="仿宋" w:cs="仿宋"/>
          <w:color w:val="auto"/>
          <w:sz w:val="28"/>
          <w:highlight w:val="none"/>
          <w:u w:val="none"/>
          <w:lang w:val="en-US" w:eastAsia="zh-CN"/>
        </w:rPr>
        <w:t>计算</w:t>
      </w:r>
      <w:r>
        <w:rPr>
          <w:rFonts w:hint="eastAsia" w:ascii="仿宋" w:hAnsi="仿宋" w:eastAsia="仿宋" w:cs="仿宋"/>
          <w:color w:val="auto"/>
          <w:sz w:val="28"/>
          <w:highlight w:val="none"/>
          <w:u w:val="none"/>
          <w:lang w:eastAsia="zh-CN"/>
        </w:rPr>
        <w:t>。因乙方提供</w:t>
      </w:r>
      <w:r>
        <w:rPr>
          <w:rFonts w:hint="eastAsia" w:ascii="仿宋" w:hAnsi="仿宋" w:eastAsia="仿宋" w:cs="仿宋"/>
          <w:color w:val="auto"/>
          <w:sz w:val="28"/>
          <w:highlight w:val="none"/>
          <w:u w:val="none"/>
          <w:lang w:val="en-US" w:eastAsia="zh-CN"/>
        </w:rPr>
        <w:t>假发票行为导致的不良后果，包括但不限于行政处罚或使甲方遭受损失等所有费用及损失由乙方全部承担。</w:t>
      </w:r>
    </w:p>
    <w:p w14:paraId="1C27E912">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1.4乙方必须按税法规定的四流合一执行合同，即合同流、货物流、发票流、资金流一致，否则视为乙方违约，且由乙方承担所有责任及损失，直至满足四流合一，甲方方才付款。</w:t>
      </w:r>
    </w:p>
    <w:p w14:paraId="639367D4">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1.5乙方每次向甲方请款时，应按甲方要求注明该次请款所含的每个组团、每个地块、每栋楼具体金额，否则甲方有权不付款且不违约。</w:t>
      </w:r>
    </w:p>
    <w:p w14:paraId="12EBB8F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1.6乙方报送甲方的送货单、对账单等单据中，表述的各种违背本合同约定的内容均无效，乙方承诺均按本合同执行。</w:t>
      </w:r>
    </w:p>
    <w:p w14:paraId="58B1D9C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1.7如甲乙双方对付款金额/结算金额产生争议，甲方有权暂缓付款且不违约，甲方无需向乙方支付违约金或利息，直至双方达成一致意见，方可按甲方相应流程办理付款手续。</w:t>
      </w:r>
    </w:p>
    <w:p w14:paraId="7E8BB25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lang w:val="en-US" w:eastAsia="zh-CN"/>
        </w:rPr>
        <w:t>1.8甲方支付完任一批次货款或双方完成本项目货款结算或合同款支付完毕后，视为乙方关于除保修金外的</w:t>
      </w:r>
      <w:r>
        <w:rPr>
          <w:rFonts w:hint="eastAsia" w:ascii="仿宋" w:hAnsi="仿宋" w:eastAsia="仿宋" w:cs="仿宋"/>
          <w:b w:val="0"/>
          <w:bCs w:val="0"/>
          <w:color w:val="auto"/>
          <w:sz w:val="28"/>
          <w:szCs w:val="28"/>
          <w:highlight w:val="none"/>
          <w:u w:val="none"/>
          <w:lang w:val="en-US" w:eastAsia="zh-CN"/>
        </w:rPr>
        <w:t>合同款支付事宜的全部权利全部消灭，乙方不得基于合同款收付事宜向甲方提出任何权利主张或追索其他任何费用。</w:t>
      </w:r>
    </w:p>
    <w:p w14:paraId="62D33519">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1.9履行本合同过程中，凡甲方收取的款项（包括但不限于：各类押金、保证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7F70BABD">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1.10乙方每次收取合同款时，当期乙方如有未付清给甲方的款项（如：罚款、违约金、代收代付款、赔偿、押金等），乙方须一次性付清后，甲方方才支付当期合同款，如乙方未付清所有当期应向甲方支付的款额，则甲方付款周期顺延且属乙方违约，直至乙方付清为止。</w:t>
      </w:r>
    </w:p>
    <w:p w14:paraId="098762F2">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bCs/>
          <w:color w:val="auto"/>
          <w:sz w:val="28"/>
          <w:highlight w:val="none"/>
          <w:lang w:val="en-US" w:eastAsia="zh-CN"/>
        </w:rPr>
        <w:t>第二章</w:t>
      </w:r>
      <w:r>
        <w:rPr>
          <w:rFonts w:hint="eastAsia" w:ascii="仿宋" w:hAnsi="仿宋" w:eastAsia="仿宋" w:cs="仿宋"/>
          <w:b w:val="0"/>
          <w:bCs w:val="0"/>
          <w:color w:val="auto"/>
          <w:kern w:val="2"/>
          <w:sz w:val="28"/>
          <w:szCs w:val="28"/>
          <w:lang w:val="en-US" w:eastAsia="zh-CN" w:bidi="ar-SA"/>
        </w:rPr>
        <w:t>、</w:t>
      </w:r>
      <w:r>
        <w:rPr>
          <w:rFonts w:hint="eastAsia" w:ascii="仿宋" w:hAnsi="仿宋" w:eastAsia="仿宋" w:cs="仿宋"/>
          <w:b/>
          <w:bCs/>
          <w:color w:val="auto"/>
          <w:sz w:val="28"/>
          <w:highlight w:val="none"/>
          <w:lang w:val="en-US" w:eastAsia="zh-CN"/>
        </w:rPr>
        <w:t>收货、验收流程及标准</w:t>
      </w:r>
      <w:bookmarkEnd w:id="120"/>
      <w:r>
        <w:rPr>
          <w:rFonts w:hint="eastAsia" w:ascii="仿宋" w:hAnsi="仿宋" w:eastAsia="仿宋" w:cs="仿宋"/>
          <w:b w:val="0"/>
          <w:bCs w:val="0"/>
          <w:color w:val="auto"/>
          <w:sz w:val="28"/>
          <w:szCs w:val="28"/>
          <w:highlight w:val="none"/>
          <w:u w:val="none"/>
          <w:lang w:val="en-US" w:eastAsia="zh-CN"/>
        </w:rPr>
        <w:t xml:space="preserve"> </w:t>
      </w:r>
    </w:p>
    <w:p w14:paraId="243579E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bookmarkStart w:id="121" w:name="_Toc25828"/>
      <w:bookmarkStart w:id="122" w:name="_Toc23463"/>
      <w:bookmarkStart w:id="123" w:name="_Toc27264"/>
      <w:bookmarkStart w:id="124" w:name="_Toc13131"/>
      <w:r>
        <w:rPr>
          <w:rFonts w:hint="eastAsia" w:ascii="仿宋" w:hAnsi="仿宋" w:eastAsia="仿宋" w:cs="仿宋"/>
          <w:color w:val="auto"/>
          <w:sz w:val="28"/>
          <w:highlight w:val="none"/>
          <w:lang w:val="en-US" w:eastAsia="zh-CN"/>
        </w:rPr>
        <w:t>2.1本合同签订之日起5日内，乙方须将所有计划进入本项目施工现场的产品、材料、机械、仪表、设备等编制“订货进场计划申报清单”，并将明细报交甲方项目部核实并存档，清单须包含产品的名称、规格、型号、数量、订货时间（附合同或订货依据）、抵达乙方时间、抵达施工现场时间等内容，各方签字确认并留存，以作为各阶段进度计划的附页及退场时的核查依据。</w:t>
      </w:r>
    </w:p>
    <w:p w14:paraId="3833B0C7">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2.2乙方选择运输产品的车辆时，须提前向甲方项目部安全员报备，选择适合的路线准时抵达，避免现场拥堵，运输车辆加产品总重不得超过现场道路限载，并须服从甲方项目人员指挥，装卸时做到安全作业。</w:t>
      </w:r>
    </w:p>
    <w:p w14:paraId="7528825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2.3产品如与合同约定不符或验收不合格（遇有破损的，甲方拒收），乙方自甲方要求之日起两个日历天内无条件更换为符合合同要求的产品，乙方承担由此产生的费用及逾期责任；乙方不更换或更换一次仍不合格的，甲方有权单方终止合同，乙方自甲方要求之日起三个日历天内返还已收款并按当批送货金额（以乙方送货单金额为准）的</w:t>
      </w:r>
      <w:r>
        <w:rPr>
          <w:rFonts w:hint="eastAsia" w:ascii="仿宋" w:hAnsi="仿宋" w:eastAsia="仿宋" w:cs="仿宋"/>
          <w:color w:val="auto"/>
          <w:sz w:val="28"/>
          <w:highlight w:val="none"/>
          <w:lang w:val="en-US" w:eastAsia="zh-CN"/>
        </w:rPr>
        <w:t>200%</w:t>
      </w:r>
      <w:r>
        <w:rPr>
          <w:rFonts w:hint="eastAsia" w:ascii="仿宋" w:hAnsi="仿宋" w:eastAsia="仿宋" w:cs="仿宋"/>
          <w:color w:val="auto"/>
          <w:sz w:val="28"/>
          <w:highlight w:val="none"/>
          <w:lang w:val="en-US" w:eastAsia="zh-CN"/>
        </w:rPr>
        <w:t>支付违约金并赔偿甲方损失。</w:t>
      </w:r>
    </w:p>
    <w:p w14:paraId="6C3BD674">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2.4乙方送货前须提前向甲方项目部告知送货司机的姓名、联系电话、车辆规格、车牌号，乙方送货单须盖乙方成品出货专用章。</w:t>
      </w:r>
    </w:p>
    <w:p w14:paraId="75FD4B4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2.5每批产品进场时，乙方提供该批产品的《产品出厂合格证》《原材料检验报告》《出厂质量证明书》及政府主管部门要求的检验检测证明等相关资料给甲方，经甲方验收组工作人员核对该批产品的品牌、规格等各项参数合格后方可过磅。</w:t>
      </w:r>
    </w:p>
    <w:p w14:paraId="73E28F4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2.6甲方仓管员在产品进场时，有权对产品的品牌、规格、型号、质量、数量等进行全检并拍照留存。</w:t>
      </w:r>
    </w:p>
    <w:p w14:paraId="51CD85B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2.7产品如与合同约定不符（如产品的规格、型号、质量等），甲方按合同要求直接拒收、退场并作好记录备查，甲方不折价签收不符合合同要求的产品，乙方无条件更换至符合合同要求为止且货期不顺延，乙方并向甲方承担所有补救费用及一万元/次的违约金，甲方有权在任意一笔应付乙方的合同款中自行扣取违约金。乙方不更换或更换三次仍不合格的，甲方有权单方终止合同，乙方自甲方要求之日起三个日历天内退还全部已收款给甲方，同时按合同暂定总价的20%支付违约金并赔偿甲方损失。</w:t>
      </w:r>
    </w:p>
    <w:p w14:paraId="6BBE2099">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2.8乙方提供的产品必须符合现行国家及项目当地的相关规定，同时按甲方《分包单位材料管理制度》执行。 </w:t>
      </w:r>
    </w:p>
    <w:p w14:paraId="370E76BD">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2.9乙方必须以甲方验收合格为标准，无条件接受退货、换货、重新送货，货期不得顺延。 </w:t>
      </w:r>
    </w:p>
    <w:p w14:paraId="3C4CF97E">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2.10乙方每批送货数量少于送货单所写数量或有破损的，甲方按缺少或破损数量的三倍扣减乙方费用，甲方的损失由乙方全部承担。</w:t>
      </w:r>
    </w:p>
    <w:p w14:paraId="571AB809">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2.11产品在交货地点交接产生的过程单据，乙方合同现场负责人须当场签名确认，否则甲方不予支付相关费用。</w:t>
      </w:r>
    </w:p>
    <w:p w14:paraId="6BDA280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2.12产品送至交货地点后，现场表观验收结果合格为形式检验，其质量均以当地住建局认可的有资质相关检测中心检测结果为准。甲方有权要求对产品送至第三方单位（须具备相应专业资质）鉴定、检测。如鉴定结果不合格，乙方除承担鉴定、检测费用外，同时承担因不合格导致的其它一切损失及费用；鉴定结果合格的，则由甲方承担鉴定、检测费。</w:t>
      </w:r>
    </w:p>
    <w:p w14:paraId="207D86B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2.13甲方收货后，若甲方对产品数量、质量等级等再次复查的，乙方须无条件配合，且复查结果可作为结算依据，复查程序等按甲方要求执行。乙方须派指定人员参与甲方对产品验收。</w:t>
      </w:r>
    </w:p>
    <w:p w14:paraId="22C4747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2.14产品数量结算依据为甲方指定的本合同甲方执行联系人和验收组人员共同签名的签收单及甲方认可的相关资料。</w:t>
      </w:r>
    </w:p>
    <w:p w14:paraId="389A5E79">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2.15乙方履约过程中，报送甲方项目部签名的台班记录单、送货单、对账单等单据中，各种违背本合同约定的文字表述内容均无效，乙方承诺仍按本合同执行，但如单据约定的乙方赔偿和违约责任高于本合同约定，则适用更高的标准。</w:t>
      </w:r>
    </w:p>
    <w:p w14:paraId="1D614E4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2.16由甲方项目技术负责人及甲方仓管员对进场产品组织验收，如甲方栋号施工员不能第一时间进行验收，由甲方项目技术负责人及甲方仓管员组织保安组长共同进行验收并签名，栋号施工员在产品进场12小时内进行复验，验收完成后在签收单据上签名。</w:t>
      </w:r>
    </w:p>
    <w:p w14:paraId="749FD04B">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2.17甲方仓管员按甲方规定开具签收单，一式三联，白联由甲方项目部留底，红联交至甲方财务部，绿联交乙方用于请款。</w:t>
      </w:r>
    </w:p>
    <w:p w14:paraId="0CA453F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2.18所有票据、资料必须经办人亲自签名，严禁他人代签名，一旦发现则乙方向甲方承担违约金（违约金额等于代签票据所列材料金额的三倍但最少不低于二千元/次），甲方有权在任意与乙方相关的合同款中自行扣取违约金。</w:t>
      </w:r>
    </w:p>
    <w:p w14:paraId="526C572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jc w:val="left"/>
        <w:textAlignment w:val="auto"/>
        <w:outlineLvl w:val="1"/>
        <w:rPr>
          <w:rFonts w:hint="eastAsia" w:ascii="仿宋" w:hAnsi="仿宋" w:eastAsia="仿宋" w:cs="仿宋"/>
          <w:b w:val="0"/>
          <w:bCs w:val="0"/>
          <w:color w:val="auto"/>
          <w:sz w:val="28"/>
          <w:highlight w:val="none"/>
          <w:u w:val="none"/>
          <w:lang w:eastAsia="zh-CN"/>
        </w:rPr>
      </w:pPr>
      <w:r>
        <w:rPr>
          <w:rFonts w:hint="eastAsia" w:ascii="仿宋" w:hAnsi="仿宋" w:eastAsia="仿宋" w:cs="仿宋"/>
          <w:b/>
          <w:bCs/>
          <w:color w:val="auto"/>
          <w:sz w:val="28"/>
          <w:highlight w:val="none"/>
          <w:u w:val="none"/>
          <w:lang w:val="en-US" w:eastAsia="zh-CN"/>
        </w:rPr>
        <w:t>第三章、保</w:t>
      </w:r>
      <w:r>
        <w:rPr>
          <w:rFonts w:hint="eastAsia" w:ascii="仿宋" w:hAnsi="仿宋" w:eastAsia="仿宋" w:cs="仿宋"/>
          <w:b/>
          <w:bCs w:val="0"/>
          <w:color w:val="auto"/>
          <w:sz w:val="28"/>
          <w:szCs w:val="28"/>
          <w:highlight w:val="none"/>
          <w:lang w:val="en-US" w:eastAsia="zh-CN"/>
        </w:rPr>
        <w:t>修</w:t>
      </w:r>
      <w:bookmarkEnd w:id="121"/>
      <w:bookmarkEnd w:id="122"/>
      <w:bookmarkEnd w:id="123"/>
      <w:bookmarkEnd w:id="124"/>
    </w:p>
    <w:bookmarkEnd w:id="110"/>
    <w:p w14:paraId="4EE3522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3.1甲方形式验收仅查验合格证、数量、外观等，如</w:t>
      </w:r>
      <w:r>
        <w:rPr>
          <w:rFonts w:hint="eastAsia" w:ascii="仿宋" w:hAnsi="仿宋" w:eastAsia="仿宋" w:cs="仿宋"/>
          <w:color w:val="auto"/>
          <w:sz w:val="28"/>
          <w:highlight w:val="none"/>
          <w:lang w:eastAsia="zh-CN"/>
        </w:rPr>
        <w:t>产品出现质量缺陷</w:t>
      </w:r>
      <w:r>
        <w:rPr>
          <w:rFonts w:hint="eastAsia" w:ascii="仿宋" w:hAnsi="仿宋" w:eastAsia="仿宋" w:cs="仿宋"/>
          <w:color w:val="auto"/>
          <w:sz w:val="28"/>
          <w:highlight w:val="none"/>
          <w:lang w:val="en-US" w:eastAsia="zh-CN"/>
        </w:rPr>
        <w:t>或问题</w:t>
      </w:r>
      <w:r>
        <w:rPr>
          <w:rFonts w:hint="eastAsia" w:ascii="仿宋" w:hAnsi="仿宋" w:eastAsia="仿宋" w:cs="仿宋"/>
          <w:color w:val="auto"/>
          <w:sz w:val="28"/>
          <w:highlight w:val="none"/>
          <w:lang w:eastAsia="zh-CN"/>
        </w:rPr>
        <w:t>，乙方履行保修义务</w:t>
      </w:r>
      <w:r>
        <w:rPr>
          <w:rFonts w:hint="eastAsia" w:ascii="仿宋" w:hAnsi="仿宋" w:eastAsia="仿宋" w:cs="仿宋"/>
          <w:color w:val="auto"/>
          <w:sz w:val="28"/>
          <w:highlight w:val="none"/>
          <w:lang w:val="en-US" w:eastAsia="zh-CN"/>
        </w:rPr>
        <w:t>且经甲方</w:t>
      </w:r>
      <w:r>
        <w:rPr>
          <w:rFonts w:hint="eastAsia" w:ascii="仿宋" w:hAnsi="仿宋" w:eastAsia="仿宋" w:cs="仿宋"/>
          <w:color w:val="auto"/>
          <w:sz w:val="28"/>
          <w:highlight w:val="none"/>
          <w:lang w:eastAsia="zh-CN"/>
        </w:rPr>
        <w:t>验收合格后，保修期自</w:t>
      </w:r>
      <w:r>
        <w:rPr>
          <w:rFonts w:hint="eastAsia" w:ascii="仿宋" w:hAnsi="仿宋" w:eastAsia="仿宋" w:cs="仿宋"/>
          <w:color w:val="auto"/>
          <w:sz w:val="28"/>
          <w:highlight w:val="none"/>
          <w:lang w:val="en-US" w:eastAsia="zh-CN"/>
        </w:rPr>
        <w:t>甲方对保修工作验收合格之日起重新计算</w:t>
      </w:r>
      <w:r>
        <w:rPr>
          <w:rFonts w:hint="eastAsia" w:ascii="仿宋" w:hAnsi="仿宋" w:eastAsia="仿宋" w:cs="仿宋"/>
          <w:color w:val="auto"/>
          <w:sz w:val="28"/>
          <w:highlight w:val="none"/>
          <w:lang w:eastAsia="zh-CN"/>
        </w:rPr>
        <w:t>。</w:t>
      </w:r>
      <w:r>
        <w:rPr>
          <w:rFonts w:hint="eastAsia" w:ascii="仿宋" w:hAnsi="仿宋" w:eastAsia="仿宋" w:cs="仿宋"/>
          <w:color w:val="auto"/>
          <w:sz w:val="28"/>
          <w:highlight w:val="none"/>
          <w:lang w:val="en-US" w:eastAsia="zh-CN"/>
        </w:rPr>
        <w:t>在保修期内，乙方对产品承担</w:t>
      </w:r>
      <w:r>
        <w:rPr>
          <w:rFonts w:hint="eastAsia" w:ascii="仿宋" w:hAnsi="仿宋" w:eastAsia="仿宋" w:cs="仿宋"/>
          <w:color w:val="auto"/>
          <w:kern w:val="2"/>
          <w:sz w:val="28"/>
          <w:szCs w:val="24"/>
          <w:highlight w:val="none"/>
          <w:lang w:val="en-US" w:eastAsia="zh-CN" w:bidi="ar"/>
        </w:rPr>
        <w:t>免费的修理、更换、退货等质量保修责任。无论合同款是否完成支付，均不影响乙方承担本合同质量保修责任及义务</w:t>
      </w:r>
      <w:r>
        <w:rPr>
          <w:rFonts w:hint="eastAsia" w:ascii="仿宋" w:hAnsi="仿宋" w:eastAsia="仿宋" w:cs="仿宋"/>
          <w:color w:val="auto"/>
          <w:sz w:val="28"/>
          <w:highlight w:val="none"/>
          <w:lang w:val="en-US" w:eastAsia="zh-CN"/>
        </w:rPr>
        <w:t>。</w:t>
      </w:r>
    </w:p>
    <w:p w14:paraId="72941592">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3.2乙方按法律、法规和国家有关规定对产品在保修期内承担质量保修责任，本合同有更长期限约定或更高保修要求的，按本合同执行。保修期内，如产品或部件不能使用需维修或更换，则该产品或部件保修期自修复或更换之日起重新计算。 </w:t>
      </w:r>
    </w:p>
    <w:p w14:paraId="7D40AAC4">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3.3保修期内，若产品出现质量问题，乙方在收到甲方或使用单位通知后24小时内必须到达现场进行处理或更换。如甲乙双方共同确认非乙方原因导致问题发生，乙方仍应提供售后服务，相关费用经双方商定后由甲方承担。如乙方未准时到达现场，甲方可自行处理，乙方同时承担违约责任。甲方自行处理所耗费用另加50%由乙方收到甲方通知之日起10个日历天内支付，因此造成的损失由乙方负责全额赔偿。乙方未在24小时内到达现场的，出现的质量问题一律视为乙方原因导致。保修期内，由乙方原因造成的缺陷、问题和事故，乙方须负责维修并承担所产生的全部费用，如乙方不维修也不承担费用，甲方有权追索乙方承担违约责任及赔偿所有损失的责任，乙方维修并承担相应费用后，不免除乙方对甲方/第三方的损失赔偿责任。</w:t>
      </w:r>
    </w:p>
    <w:p w14:paraId="74DCEA7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3.4产品安装或完成施工后3个月内，如出现质量问题或缺陷的数量超过总量的20%，乙方无条件全部更换该批产品，相关费用由乙方承担，更换造成的相关损失由乙方承担；如乙方拒绝退换，甲方有权单方解除合同，乙方退还全部已收款项并按合同暂定总价的30%支付违约金且赔偿甲方损失。</w:t>
      </w:r>
    </w:p>
    <w:p w14:paraId="308F55D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3.5保修期届满后第一周内，甲乙双方对产品进行全面检查。乙方自费负责对检查中发现的问题予以及时处理和解决后，甲方出具保修合格证明文件。</w:t>
      </w:r>
    </w:p>
    <w:p w14:paraId="234F504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3.6如产品在保修期满后发现乙方原因导致的质量问题或缺陷，乙方仍须承担修复责任，必须按甲方要求无偿修复并赔偿甲方因此遭受的损失，否则甲方有权另行安排第三方修复，同时乙方同意甲方从与乙方签订的其他合同直接扣款用于抵扣上述修复费用和损失。甲乙双方特别约定本条款不因本合同的终止而失效。</w:t>
      </w:r>
    </w:p>
    <w:p w14:paraId="4B79AB8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3.7甲方或使用单位在产品使用过程中遇到的问题，乙方须随时提供电话答疑（答疑负责人及其电话在质量保修书里注明）。凡与产品相关联的一切问题（如操作、产品的保养及维护等）都属于答疑范围，所需费用已包含在合同单价中，不另计费。</w:t>
      </w:r>
    </w:p>
    <w:p w14:paraId="092AAEE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3.8乙方根据甲方需要提供现场临时指导和培训，费用已包含在合同单价中，不另计费。</w:t>
      </w:r>
    </w:p>
    <w:p w14:paraId="09A30F0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jc w:val="both"/>
        <w:textAlignment w:val="auto"/>
        <w:outlineLvl w:val="1"/>
        <w:rPr>
          <w:rFonts w:hint="eastAsia" w:ascii="仿宋" w:hAnsi="仿宋" w:eastAsia="仿宋" w:cs="仿宋"/>
          <w:color w:val="auto"/>
          <w:sz w:val="28"/>
          <w:highlight w:val="none"/>
          <w:u w:val="none"/>
          <w:lang w:val="en-US" w:eastAsia="zh-CN"/>
        </w:rPr>
      </w:pPr>
      <w:bookmarkStart w:id="125" w:name="_Toc27611"/>
      <w:bookmarkStart w:id="126" w:name="_Toc19479"/>
      <w:bookmarkStart w:id="127" w:name="_Toc10411"/>
      <w:bookmarkStart w:id="128" w:name="_Toc31382"/>
      <w:r>
        <w:rPr>
          <w:rFonts w:hint="eastAsia" w:ascii="仿宋" w:hAnsi="仿宋" w:eastAsia="仿宋" w:cs="仿宋"/>
          <w:b/>
          <w:bCs/>
          <w:color w:val="auto"/>
          <w:sz w:val="28"/>
          <w:highlight w:val="none"/>
          <w:lang w:val="en-US" w:eastAsia="zh-CN"/>
        </w:rPr>
        <w:t>第四章、</w:t>
      </w:r>
      <w:r>
        <w:rPr>
          <w:rFonts w:hint="eastAsia" w:ascii="仿宋" w:hAnsi="仿宋" w:eastAsia="仿宋" w:cs="仿宋"/>
          <w:b/>
          <w:bCs/>
          <w:color w:val="auto"/>
          <w:sz w:val="28"/>
          <w:highlight w:val="none"/>
        </w:rPr>
        <w:t>违约责任</w:t>
      </w:r>
      <w:bookmarkEnd w:id="125"/>
      <w:bookmarkEnd w:id="126"/>
      <w:bookmarkEnd w:id="127"/>
      <w:bookmarkEnd w:id="128"/>
    </w:p>
    <w:p w14:paraId="6ADE05B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乙方逾期交齐任意一批合格产品（如有，含随品、配件、产品说明书、操作手册、质量证明资料等）给甲方的，每逾期一个日历天（不可抗力因素除外），属乙方违约，乙方向甲方承担金额等于合同暂定总价5%的违约金；逾期两个日历天以上的，属乙方严重违约，甲方有权不通知乙方即另行向他人采购产品，同时甲方有权单方解除合同，乙方除返还已收款给甲方外还须赔偿甲方因此遭受的损失。</w:t>
      </w:r>
    </w:p>
    <w:p w14:paraId="56EF04C9">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u w:val="none"/>
          <w:lang w:eastAsia="zh-CN"/>
        </w:rPr>
      </w:pPr>
      <w:r>
        <w:rPr>
          <w:rFonts w:hint="eastAsia" w:ascii="仿宋" w:hAnsi="仿宋" w:eastAsia="仿宋" w:cs="仿宋"/>
          <w:color w:val="auto"/>
          <w:sz w:val="28"/>
          <w:highlight w:val="none"/>
          <w:lang w:val="en-US" w:eastAsia="zh-CN"/>
        </w:rPr>
        <w:t>4.2</w:t>
      </w:r>
      <w:r>
        <w:rPr>
          <w:rFonts w:hint="eastAsia" w:ascii="仿宋" w:hAnsi="仿宋" w:eastAsia="仿宋" w:cs="仿宋"/>
          <w:color w:val="auto"/>
          <w:sz w:val="28"/>
          <w:highlight w:val="none"/>
          <w:u w:val="none"/>
          <w:lang w:val="en-US" w:eastAsia="zh-CN"/>
        </w:rPr>
        <w:t>乙方产品出现质量问题或缺陷或不符合合同约定的，除按本合同约定进行更换、维修外，每出现一次，</w:t>
      </w:r>
      <w:r>
        <w:rPr>
          <w:rFonts w:hint="eastAsia" w:ascii="仿宋" w:hAnsi="仿宋" w:eastAsia="仿宋" w:cs="仿宋"/>
          <w:color w:val="auto"/>
          <w:sz w:val="28"/>
          <w:highlight w:val="none"/>
          <w:u w:val="none"/>
          <w:lang w:eastAsia="zh-CN"/>
        </w:rPr>
        <w:t>属乙方违约，</w:t>
      </w:r>
      <w:r>
        <w:rPr>
          <w:rFonts w:hint="eastAsia" w:ascii="仿宋" w:hAnsi="仿宋" w:eastAsia="仿宋" w:cs="仿宋"/>
          <w:color w:val="auto"/>
          <w:sz w:val="28"/>
          <w:highlight w:val="none"/>
          <w:u w:val="none"/>
          <w:lang w:val="en-US" w:eastAsia="zh-CN"/>
        </w:rPr>
        <w:t>乙方须再向甲方支付金额</w:t>
      </w:r>
      <w:r>
        <w:rPr>
          <w:rFonts w:hint="eastAsia" w:ascii="仿宋" w:hAnsi="仿宋" w:eastAsia="仿宋" w:cs="仿宋"/>
          <w:color w:val="auto"/>
          <w:sz w:val="28"/>
          <w:highlight w:val="none"/>
          <w:u w:val="none" w:color="auto"/>
          <w:lang w:val="en-US" w:eastAsia="zh-CN"/>
        </w:rPr>
        <w:t>等于该批产品总价10%的违约金</w:t>
      </w:r>
      <w:r>
        <w:rPr>
          <w:rFonts w:hint="eastAsia" w:ascii="仿宋" w:hAnsi="仿宋" w:eastAsia="仿宋" w:cs="仿宋"/>
          <w:color w:val="auto"/>
          <w:sz w:val="28"/>
          <w:highlight w:val="none"/>
          <w:u w:val="none"/>
          <w:lang w:val="en-US" w:eastAsia="zh-CN"/>
        </w:rPr>
        <w:t>，且甲方有权退货、单方解除合同，产生的全部责任和经济损失由乙方承担；</w:t>
      </w:r>
      <w:r>
        <w:rPr>
          <w:rFonts w:hint="eastAsia" w:ascii="仿宋" w:hAnsi="仿宋" w:eastAsia="仿宋" w:cs="仿宋"/>
          <w:color w:val="auto"/>
          <w:sz w:val="28"/>
          <w:highlight w:val="none"/>
          <w:u w:val="none"/>
        </w:rPr>
        <w:t>因</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产品问题造成的</w:t>
      </w:r>
      <w:r>
        <w:rPr>
          <w:rFonts w:hint="eastAsia" w:ascii="仿宋" w:hAnsi="仿宋" w:eastAsia="仿宋" w:cs="仿宋"/>
          <w:color w:val="auto"/>
          <w:sz w:val="28"/>
          <w:highlight w:val="none"/>
          <w:u w:val="none"/>
          <w:lang w:eastAsia="zh-CN"/>
        </w:rPr>
        <w:t>人身、财产损害赔偿责任或刑事、行政责任等均由乙方承担。</w:t>
      </w:r>
    </w:p>
    <w:p w14:paraId="183B335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4.3若乙方所交产品品种、品牌、规格、型号、质量、材质等不符合合同要求，属乙方违约，由乙方负责无偿更换或退货，并承担退货更换所涉及的一切费用和损失。</w:t>
      </w:r>
    </w:p>
    <w:p w14:paraId="14A61C0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4.4乙方履约过程中如有弄虚作假等欺骗行为，属乙方违约，每次向甲方另行支付至少金额等于合同暂定总价30%的违约金。</w:t>
      </w:r>
      <w:r>
        <w:rPr>
          <w:rFonts w:hint="eastAsia" w:ascii="仿宋" w:hAnsi="仿宋" w:eastAsia="仿宋" w:cs="仿宋"/>
          <w:color w:val="auto"/>
          <w:sz w:val="28"/>
          <w:highlight w:val="none"/>
          <w:lang w:val="en-US" w:eastAsia="zh-CN"/>
        </w:rPr>
        <w:tab/>
      </w:r>
    </w:p>
    <w:p w14:paraId="5DC4540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4.5合同履行期间，乙方必须服从甲方的安排，否则属乙方违约，甲方有权对乙方进行处罚。</w:t>
      </w:r>
      <w:r>
        <w:rPr>
          <w:rFonts w:hint="eastAsia" w:ascii="仿宋" w:hAnsi="仿宋" w:eastAsia="仿宋" w:cs="仿宋"/>
          <w:color w:val="auto"/>
          <w:sz w:val="28"/>
          <w:highlight w:val="none"/>
          <w:lang w:val="en-US" w:eastAsia="zh-CN"/>
        </w:rPr>
        <w:tab/>
      </w:r>
      <w:r>
        <w:rPr>
          <w:rFonts w:hint="eastAsia" w:ascii="仿宋" w:hAnsi="仿宋" w:eastAsia="仿宋" w:cs="仿宋"/>
          <w:color w:val="auto"/>
          <w:sz w:val="28"/>
          <w:highlight w:val="none"/>
          <w:lang w:val="en-US" w:eastAsia="zh-CN"/>
        </w:rPr>
        <w:tab/>
      </w:r>
    </w:p>
    <w:p w14:paraId="7110807D">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4.6乙方违反本合同</w:t>
      </w:r>
      <w:r>
        <w:rPr>
          <w:rFonts w:hint="eastAsia" w:ascii="仿宋" w:hAnsi="仿宋" w:eastAsia="仿宋" w:cs="仿宋"/>
          <w:color w:val="auto"/>
          <w:sz w:val="28"/>
          <w:highlight w:val="none"/>
          <w:u w:val="none"/>
          <w:lang w:val="en-US" w:eastAsia="zh-CN"/>
        </w:rPr>
        <w:t>任何约定均属违约，乙方除按相应条款承担包括但不</w:t>
      </w:r>
      <w:r>
        <w:rPr>
          <w:rFonts w:hint="eastAsia" w:ascii="仿宋" w:hAnsi="仿宋" w:eastAsia="仿宋" w:cs="仿宋"/>
          <w:color w:val="auto"/>
          <w:sz w:val="28"/>
          <w:highlight w:val="none"/>
          <w:lang w:val="en-US" w:eastAsia="zh-CN"/>
        </w:rPr>
        <w:t>限于以上所述的违约责任外，甲方可随时单方解除合同，同时乙方赔偿甲方因此遭受的损失。</w:t>
      </w:r>
    </w:p>
    <w:p w14:paraId="5D288F8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4.7乙方违反本合同给甲方造成损失的，除按本合同约定承担违约责任外，甲方有权直接从应付合同款中直接扣除乙方应承担的违约金、罚款等费用，如应付合同款及乙方支付的违约金、罚款不足补偿甲方损失，乙方在甲方通知之日起七个日历天内补齐，且甲方向乙方追偿责任所产生的律师费、诉讼费、鉴定费、财产保全及相关担保费由乙方全额承担。</w:t>
      </w:r>
    </w:p>
    <w:p w14:paraId="0A19675E">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w:t>
      </w:r>
      <w:r>
        <w:rPr>
          <w:rFonts w:hint="default" w:ascii="仿宋" w:hAnsi="仿宋" w:eastAsia="仿宋" w:cs="仿宋"/>
          <w:color w:val="auto"/>
          <w:sz w:val="28"/>
          <w:highlight w:val="none"/>
          <w:lang w:val="en-US" w:eastAsia="zh-CN"/>
        </w:rPr>
        <w:t>.</w:t>
      </w:r>
      <w:r>
        <w:rPr>
          <w:rFonts w:hint="eastAsia" w:ascii="仿宋" w:hAnsi="仿宋" w:eastAsia="仿宋" w:cs="仿宋"/>
          <w:color w:val="auto"/>
          <w:sz w:val="28"/>
          <w:highlight w:val="none"/>
          <w:lang w:val="en-US" w:eastAsia="zh-CN"/>
        </w:rPr>
        <w:t>8基于本项目的特殊性，乙方已充分了解其供货责任并自愿承担相应风险，合同所约定的违约金标准经双方友好协商确定，乙方同意不对违约金标准提出任何主张或抗辩。</w:t>
      </w:r>
    </w:p>
    <w:p w14:paraId="46436C6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4.9本合同履行过程中涉及的送货单、提货单、出入库单等类似单据、小票仅作为确认双方产品数量的依据</w:t>
      </w:r>
      <w:r>
        <w:rPr>
          <w:rFonts w:hint="eastAsia" w:ascii="仿宋" w:hAnsi="仿宋" w:eastAsia="仿宋" w:cs="仿宋"/>
          <w:color w:val="auto"/>
          <w:sz w:val="28"/>
          <w:highlight w:val="none"/>
          <w:u w:val="none"/>
          <w:lang w:eastAsia="zh-CN"/>
        </w:rPr>
        <w:t>。单据、</w:t>
      </w:r>
      <w:r>
        <w:rPr>
          <w:rFonts w:hint="eastAsia" w:ascii="仿宋" w:hAnsi="仿宋" w:eastAsia="仿宋" w:cs="仿宋"/>
          <w:color w:val="auto"/>
          <w:sz w:val="28"/>
          <w:highlight w:val="none"/>
          <w:u w:val="none"/>
          <w:lang w:val="en-US" w:eastAsia="zh-CN"/>
        </w:rPr>
        <w:t>小票</w:t>
      </w:r>
      <w:r>
        <w:rPr>
          <w:rFonts w:hint="eastAsia" w:ascii="仿宋" w:hAnsi="仿宋" w:eastAsia="仿宋" w:cs="仿宋"/>
          <w:color w:val="auto"/>
          <w:sz w:val="28"/>
          <w:highlight w:val="none"/>
          <w:u w:val="none"/>
          <w:lang w:eastAsia="zh-CN"/>
        </w:rPr>
        <w:t>中对争议管辖、赔偿和违约</w:t>
      </w:r>
      <w:r>
        <w:rPr>
          <w:rFonts w:hint="eastAsia" w:ascii="仿宋" w:hAnsi="仿宋" w:eastAsia="仿宋" w:cs="仿宋"/>
          <w:color w:val="auto"/>
          <w:sz w:val="28"/>
          <w:highlight w:val="none"/>
          <w:lang w:val="en-US" w:eastAsia="zh-CN"/>
        </w:rPr>
        <w:t>责任等事项与本合同约定不一致的，乙方确认以本合同条款为准，但如约定的乙方赔偿和违约责任标准高于本合同约定，则适用更高标准。</w:t>
      </w:r>
    </w:p>
    <w:p w14:paraId="75CBEC3D">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4.10本合同履行过程中，因乙方原因造成产品质量、安全文明等无法满足甲方及规范要求的，乙方须提供不属于其责任的证明并得到甲方的书面认可，否则乙方违约并承担5000元以上/次的违约金，全部责任、费用和损失由乙方承担。如果乙方因此导致本项目相关工程停工或延误，属乙方违约，乙方对甲方承担不低于伍万元/次的违约金，甲方可以从任意应付乙方的款项中直接扣取违约金，同时，甲方有权解除合同，产生的全部损失由乙方承担。</w:t>
      </w:r>
    </w:p>
    <w:p w14:paraId="2BE8DA6B">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4.11乙方原因导致甲方或本项目被相关部门处罚、停工、扣分的，甲方有权就：被停工的计收乙方违约金伍万元/次、被扣分的计收违约金壹万元/分及贰万元/次，因此产生的全部损失及费用由乙方赔偿甲方。</w:t>
      </w:r>
    </w:p>
    <w:p w14:paraId="37A0465E">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4.12</w:t>
      </w:r>
      <w:r>
        <w:rPr>
          <w:rFonts w:hint="default" w:ascii="仿宋" w:hAnsi="仿宋" w:eastAsia="仿宋" w:cs="仿宋"/>
          <w:color w:val="auto"/>
          <w:sz w:val="28"/>
          <w:highlight w:val="none"/>
          <w:lang w:val="en-US" w:eastAsia="zh-CN"/>
        </w:rPr>
        <w:t>乙方未及时发放工人工资或及时支付货款，导致影响甲方或本项目的，每发生一次劳资纠纷或货款纠纷事件，乙方向甲方另行支付违约金叁万元</w:t>
      </w:r>
      <w:r>
        <w:rPr>
          <w:rFonts w:hint="eastAsia" w:ascii="仿宋" w:hAnsi="仿宋" w:eastAsia="仿宋" w:cs="仿宋"/>
          <w:color w:val="auto"/>
          <w:sz w:val="28"/>
          <w:highlight w:val="none"/>
          <w:lang w:val="en-US" w:eastAsia="zh-CN"/>
        </w:rPr>
        <w:t>；</w:t>
      </w:r>
      <w:r>
        <w:rPr>
          <w:rFonts w:hint="default" w:ascii="仿宋" w:hAnsi="仿宋" w:eastAsia="仿宋" w:cs="仿宋"/>
          <w:color w:val="auto"/>
          <w:sz w:val="28"/>
          <w:highlight w:val="none"/>
          <w:lang w:val="en-US" w:eastAsia="zh-CN"/>
        </w:rPr>
        <w:t>若因乙方拖欠工人工资或货款，导致媒体曝光或政府部门介入的，乙方另向甲方支付违约金不少于100000元/次。</w:t>
      </w:r>
    </w:p>
    <w:p w14:paraId="78DEE40E">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default" w:ascii="仿宋" w:hAnsi="仿宋" w:eastAsia="仿宋" w:cs="仿宋"/>
          <w:color w:val="auto"/>
          <w:sz w:val="28"/>
          <w:highlight w:val="none"/>
          <w:lang w:val="en-US" w:eastAsia="zh-CN"/>
        </w:rPr>
      </w:pPr>
      <w:bookmarkStart w:id="129" w:name="_Toc12372"/>
      <w:bookmarkStart w:id="130" w:name="_Toc18737"/>
      <w:bookmarkStart w:id="131" w:name="_Toc23129"/>
      <w:bookmarkStart w:id="132" w:name="_Toc29740"/>
      <w:r>
        <w:rPr>
          <w:rFonts w:hint="eastAsia" w:ascii="仿宋" w:hAnsi="仿宋" w:eastAsia="仿宋" w:cs="仿宋"/>
          <w:color w:val="auto"/>
          <w:sz w:val="28"/>
          <w:highlight w:val="none"/>
          <w:lang w:val="en-US" w:eastAsia="zh-CN"/>
        </w:rPr>
        <w:t>4.13</w:t>
      </w:r>
      <w:r>
        <w:rPr>
          <w:rFonts w:hint="default" w:ascii="仿宋" w:hAnsi="仿宋" w:eastAsia="仿宋" w:cs="仿宋"/>
          <w:color w:val="auto"/>
          <w:sz w:val="28"/>
          <w:highlight w:val="none"/>
          <w:lang w:val="en-US" w:eastAsia="zh-CN"/>
        </w:rPr>
        <w:t>因乙方原因导致甲方被起诉的，乙方除赔偿甲方损失外，甲方每被起诉一次，乙方向甲方支付五万元违约金。若</w:t>
      </w:r>
      <w:r>
        <w:rPr>
          <w:rFonts w:hint="eastAsia" w:ascii="仿宋" w:hAnsi="仿宋" w:eastAsia="仿宋" w:cs="仿宋"/>
          <w:color w:val="auto"/>
          <w:sz w:val="28"/>
          <w:highlight w:val="none"/>
          <w:lang w:val="en-US" w:eastAsia="zh-CN"/>
        </w:rPr>
        <w:t>乙方</w:t>
      </w:r>
      <w:r>
        <w:rPr>
          <w:rFonts w:hint="default" w:ascii="仿宋" w:hAnsi="仿宋" w:eastAsia="仿宋" w:cs="仿宋"/>
          <w:color w:val="auto"/>
          <w:sz w:val="28"/>
          <w:highlight w:val="none"/>
          <w:lang w:val="en-US" w:eastAsia="zh-CN"/>
        </w:rPr>
        <w:t>导致甲方</w:t>
      </w:r>
      <w:r>
        <w:rPr>
          <w:rFonts w:hint="eastAsia" w:ascii="仿宋" w:hAnsi="仿宋" w:eastAsia="仿宋" w:cs="仿宋"/>
          <w:color w:val="auto"/>
          <w:sz w:val="28"/>
          <w:highlight w:val="none"/>
          <w:lang w:val="en-US" w:eastAsia="zh-CN"/>
        </w:rPr>
        <w:t>资金</w:t>
      </w:r>
      <w:r>
        <w:rPr>
          <w:rFonts w:hint="default" w:ascii="仿宋" w:hAnsi="仿宋" w:eastAsia="仿宋" w:cs="仿宋"/>
          <w:color w:val="auto"/>
          <w:sz w:val="28"/>
          <w:highlight w:val="none"/>
          <w:lang w:val="en-US" w:eastAsia="zh-CN"/>
        </w:rPr>
        <w:t>账</w:t>
      </w:r>
      <w:r>
        <w:rPr>
          <w:rFonts w:hint="eastAsia" w:ascii="仿宋" w:hAnsi="仿宋" w:eastAsia="仿宋" w:cs="仿宋"/>
          <w:color w:val="auto"/>
          <w:sz w:val="28"/>
          <w:highlight w:val="none"/>
          <w:lang w:val="en-US" w:eastAsia="zh-CN"/>
        </w:rPr>
        <w:t>户</w:t>
      </w:r>
      <w:r>
        <w:rPr>
          <w:rFonts w:hint="default" w:ascii="仿宋" w:hAnsi="仿宋" w:eastAsia="仿宋" w:cs="仿宋"/>
          <w:color w:val="auto"/>
          <w:sz w:val="28"/>
          <w:highlight w:val="none"/>
          <w:lang w:val="en-US" w:eastAsia="zh-CN"/>
        </w:rPr>
        <w:t>被冻结，乙方还</w:t>
      </w:r>
      <w:r>
        <w:rPr>
          <w:rFonts w:hint="eastAsia" w:ascii="仿宋" w:hAnsi="仿宋" w:eastAsia="仿宋" w:cs="仿宋"/>
          <w:color w:val="auto"/>
          <w:sz w:val="28"/>
          <w:highlight w:val="none"/>
          <w:lang w:val="en-US" w:eastAsia="zh-CN"/>
        </w:rPr>
        <w:t>须</w:t>
      </w:r>
      <w:r>
        <w:rPr>
          <w:rFonts w:hint="default" w:ascii="仿宋" w:hAnsi="仿宋" w:eastAsia="仿宋" w:cs="仿宋"/>
          <w:color w:val="auto"/>
          <w:sz w:val="28"/>
          <w:highlight w:val="none"/>
          <w:lang w:val="en-US" w:eastAsia="zh-CN"/>
        </w:rPr>
        <w:t>按冻结资金总额的日千分之一向甲方支付利息</w:t>
      </w:r>
      <w:r>
        <w:rPr>
          <w:rFonts w:hint="eastAsia" w:ascii="仿宋" w:hAnsi="仿宋" w:eastAsia="仿宋" w:cs="仿宋"/>
          <w:color w:val="auto"/>
          <w:sz w:val="28"/>
          <w:highlight w:val="none"/>
          <w:lang w:val="en-US" w:eastAsia="zh-CN"/>
        </w:rPr>
        <w:t>，</w:t>
      </w:r>
      <w:r>
        <w:rPr>
          <w:rFonts w:hint="default" w:ascii="仿宋" w:hAnsi="仿宋" w:eastAsia="仿宋" w:cs="仿宋"/>
          <w:color w:val="auto"/>
          <w:sz w:val="28"/>
          <w:highlight w:val="none"/>
          <w:lang w:val="en-US" w:eastAsia="zh-CN"/>
        </w:rPr>
        <w:t>乙方</w:t>
      </w:r>
      <w:r>
        <w:rPr>
          <w:rFonts w:hint="eastAsia" w:ascii="仿宋" w:hAnsi="仿宋" w:eastAsia="仿宋" w:cs="仿宋"/>
          <w:color w:val="auto"/>
          <w:sz w:val="28"/>
          <w:highlight w:val="none"/>
          <w:lang w:val="en-US" w:eastAsia="zh-CN"/>
        </w:rPr>
        <w:t>同时赔偿</w:t>
      </w:r>
      <w:r>
        <w:rPr>
          <w:rFonts w:hint="default" w:ascii="仿宋" w:hAnsi="仿宋" w:eastAsia="仿宋" w:cs="仿宋"/>
          <w:color w:val="auto"/>
          <w:sz w:val="28"/>
          <w:highlight w:val="none"/>
          <w:lang w:val="en-US" w:eastAsia="zh-CN"/>
        </w:rPr>
        <w:t>甲方遭受的所有损失，并</w:t>
      </w:r>
      <w:r>
        <w:rPr>
          <w:rFonts w:hint="eastAsia" w:ascii="仿宋" w:hAnsi="仿宋" w:eastAsia="仿宋" w:cs="仿宋"/>
          <w:color w:val="auto"/>
          <w:sz w:val="28"/>
          <w:highlight w:val="none"/>
          <w:lang w:val="en-US" w:eastAsia="zh-CN"/>
        </w:rPr>
        <w:t>按</w:t>
      </w:r>
      <w:r>
        <w:rPr>
          <w:rFonts w:hint="default" w:ascii="仿宋" w:hAnsi="仿宋" w:eastAsia="仿宋" w:cs="仿宋"/>
          <w:color w:val="auto"/>
          <w:sz w:val="28"/>
          <w:highlight w:val="none"/>
          <w:lang w:val="en-US" w:eastAsia="zh-CN"/>
        </w:rPr>
        <w:t>账</w:t>
      </w:r>
      <w:r>
        <w:rPr>
          <w:rFonts w:hint="eastAsia" w:ascii="仿宋" w:hAnsi="仿宋" w:eastAsia="仿宋" w:cs="仿宋"/>
          <w:color w:val="auto"/>
          <w:sz w:val="28"/>
          <w:highlight w:val="none"/>
          <w:lang w:val="en-US" w:eastAsia="zh-CN"/>
        </w:rPr>
        <w:t>户</w:t>
      </w:r>
      <w:r>
        <w:rPr>
          <w:rFonts w:hint="default" w:ascii="仿宋" w:hAnsi="仿宋" w:eastAsia="仿宋" w:cs="仿宋"/>
          <w:color w:val="auto"/>
          <w:sz w:val="28"/>
          <w:highlight w:val="none"/>
          <w:lang w:val="en-US" w:eastAsia="zh-CN"/>
        </w:rPr>
        <w:t>被冻结次数每次额外向甲方</w:t>
      </w:r>
      <w:r>
        <w:rPr>
          <w:rFonts w:hint="eastAsia" w:ascii="仿宋" w:hAnsi="仿宋" w:eastAsia="仿宋" w:cs="仿宋"/>
          <w:color w:val="auto"/>
          <w:sz w:val="28"/>
          <w:highlight w:val="none"/>
          <w:lang w:val="en-US" w:eastAsia="zh-CN"/>
        </w:rPr>
        <w:t>承担五万</w:t>
      </w:r>
      <w:r>
        <w:rPr>
          <w:rFonts w:hint="default" w:ascii="仿宋" w:hAnsi="仿宋" w:eastAsia="仿宋" w:cs="仿宋"/>
          <w:color w:val="auto"/>
          <w:sz w:val="28"/>
          <w:highlight w:val="none"/>
          <w:lang w:val="en-US" w:eastAsia="zh-CN"/>
        </w:rPr>
        <w:t>元违约金。</w:t>
      </w:r>
    </w:p>
    <w:p w14:paraId="0326CE2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4.14乙方原因造成产品质量达不到本合同约定的质量标准或出现影响使用功能和工程结构安全，即使通过技术整改措施仍然无法达到设计要求等永久质量问题的，无论是否在保修期内，乙方须无条件返工至合格为止，并赔偿甲方因此遭受的一切损失。若该永久质量问题无法满足设计及合同约定质量标准，但甲方和本项目建设单位接受现状质量的，乙方仍须承担违约责任，自愿接受不合格部位造价20%以上的违约金处理，同时处以5000元以上/次的罚款。</w:t>
      </w:r>
    </w:p>
    <w:p w14:paraId="4E97696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4.15对乙方不按合同约定时间向甲方申报其工人工资资料等行为，甲方有权对乙方收取违约金，每逾期一天的违约金不少于伍佰元/人(按乙方在本项目现场工作人员数量计)。</w:t>
      </w:r>
    </w:p>
    <w:p w14:paraId="2351608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default" w:ascii="仿宋" w:hAnsi="仿宋" w:eastAsia="仿宋" w:cs="仿宋"/>
          <w:color w:val="auto"/>
          <w:sz w:val="28"/>
          <w:highlight w:val="none"/>
          <w:lang w:val="en-US" w:eastAsia="zh-CN"/>
        </w:rPr>
      </w:pPr>
      <w:bookmarkStart w:id="133" w:name="_Toc6525"/>
      <w:bookmarkStart w:id="134" w:name="_Toc6142"/>
      <w:r>
        <w:rPr>
          <w:rFonts w:hint="eastAsia" w:ascii="仿宋" w:hAnsi="仿宋" w:eastAsia="仿宋" w:cs="仿宋"/>
          <w:color w:val="auto"/>
          <w:sz w:val="28"/>
          <w:highlight w:val="none"/>
          <w:lang w:val="en-US" w:eastAsia="zh-CN"/>
        </w:rPr>
        <w:t>4.16</w:t>
      </w:r>
      <w:r>
        <w:rPr>
          <w:rFonts w:hint="default" w:ascii="仿宋" w:hAnsi="仿宋" w:eastAsia="仿宋" w:cs="仿宋"/>
          <w:color w:val="auto"/>
          <w:sz w:val="28"/>
          <w:highlight w:val="none"/>
          <w:lang w:val="en-US" w:eastAsia="zh-CN"/>
        </w:rPr>
        <w:t>乙方人员须接受甲方及工地管理人员的合理指挥，主动与施工单位做好配合。乙方须严格遵守甲方项目规章制度及工地安全生产要求，按照本项目安全施工规范进行作业。乙方在施工作业期间对设备和乙方人员的安全负全责，并保证设备周围人员的安全，严格按照设备操作规程操作不得违规，否则由此引发的一切安全事故及全部费用均由乙方负责。</w:t>
      </w:r>
    </w:p>
    <w:p w14:paraId="68916E5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4.17</w:t>
      </w:r>
      <w:r>
        <w:rPr>
          <w:rFonts w:hint="default" w:ascii="仿宋" w:hAnsi="仿宋" w:eastAsia="仿宋" w:cs="仿宋"/>
          <w:color w:val="auto"/>
          <w:sz w:val="28"/>
          <w:highlight w:val="none"/>
          <w:lang w:val="en-US" w:eastAsia="zh-CN"/>
        </w:rPr>
        <w:t>乙方</w:t>
      </w:r>
      <w:r>
        <w:rPr>
          <w:rFonts w:hint="eastAsia" w:ascii="仿宋" w:hAnsi="仿宋" w:eastAsia="仿宋" w:cs="仿宋"/>
          <w:color w:val="auto"/>
          <w:sz w:val="28"/>
          <w:highlight w:val="none"/>
          <w:lang w:val="en-US" w:eastAsia="zh-CN"/>
        </w:rPr>
        <w:t>产品/</w:t>
      </w:r>
      <w:r>
        <w:rPr>
          <w:rFonts w:hint="default" w:ascii="仿宋" w:hAnsi="仿宋" w:eastAsia="仿宋" w:cs="仿宋"/>
          <w:color w:val="auto"/>
          <w:sz w:val="28"/>
          <w:highlight w:val="none"/>
          <w:lang w:val="en-US" w:eastAsia="zh-CN"/>
        </w:rPr>
        <w:t>设备应外观整洁、技术性能良好、运转正常，满足施工需要，</w:t>
      </w:r>
      <w:r>
        <w:rPr>
          <w:rFonts w:hint="eastAsia" w:ascii="仿宋" w:hAnsi="仿宋" w:eastAsia="仿宋" w:cs="仿宋"/>
          <w:color w:val="auto"/>
          <w:sz w:val="28"/>
          <w:highlight w:val="none"/>
          <w:lang w:val="en-US" w:eastAsia="zh-CN"/>
        </w:rPr>
        <w:t>产品/</w:t>
      </w:r>
      <w:r>
        <w:rPr>
          <w:rFonts w:hint="default" w:ascii="仿宋" w:hAnsi="仿宋" w:eastAsia="仿宋" w:cs="仿宋"/>
          <w:color w:val="auto"/>
          <w:sz w:val="28"/>
          <w:highlight w:val="none"/>
          <w:lang w:val="en-US" w:eastAsia="zh-CN"/>
        </w:rPr>
        <w:t>设备零配件必须符合使用要求。乙方须对</w:t>
      </w:r>
      <w:r>
        <w:rPr>
          <w:rFonts w:hint="eastAsia" w:ascii="仿宋" w:hAnsi="仿宋" w:eastAsia="仿宋" w:cs="仿宋"/>
          <w:color w:val="auto"/>
          <w:sz w:val="28"/>
          <w:highlight w:val="none"/>
          <w:lang w:val="en-US" w:eastAsia="zh-CN"/>
        </w:rPr>
        <w:t>产品/</w:t>
      </w:r>
      <w:r>
        <w:rPr>
          <w:rFonts w:hint="default" w:ascii="仿宋" w:hAnsi="仿宋" w:eastAsia="仿宋" w:cs="仿宋"/>
          <w:color w:val="auto"/>
          <w:sz w:val="28"/>
          <w:highlight w:val="none"/>
          <w:lang w:val="en-US" w:eastAsia="zh-CN"/>
        </w:rPr>
        <w:t>设备定期检查排除安全隐患以保证施工安全性。</w:t>
      </w:r>
      <w:r>
        <w:rPr>
          <w:rFonts w:hint="eastAsia" w:ascii="仿宋" w:hAnsi="仿宋" w:eastAsia="仿宋" w:cs="仿宋"/>
          <w:color w:val="auto"/>
          <w:sz w:val="28"/>
          <w:highlight w:val="none"/>
          <w:lang w:val="en-US" w:eastAsia="zh-CN"/>
        </w:rPr>
        <w:t>产品/</w:t>
      </w:r>
      <w:r>
        <w:rPr>
          <w:rFonts w:hint="default" w:ascii="仿宋" w:hAnsi="仿宋" w:eastAsia="仿宋" w:cs="仿宋"/>
          <w:color w:val="auto"/>
          <w:sz w:val="28"/>
          <w:highlight w:val="none"/>
          <w:lang w:val="en-US" w:eastAsia="zh-CN"/>
        </w:rPr>
        <w:t>设备须为乙方自有的合法</w:t>
      </w:r>
      <w:r>
        <w:rPr>
          <w:rFonts w:hint="eastAsia" w:ascii="仿宋" w:hAnsi="仿宋" w:eastAsia="仿宋" w:cs="仿宋"/>
          <w:color w:val="auto"/>
          <w:sz w:val="28"/>
          <w:highlight w:val="none"/>
          <w:lang w:val="en-US" w:eastAsia="zh-CN"/>
        </w:rPr>
        <w:t>产品/</w:t>
      </w:r>
      <w:r>
        <w:rPr>
          <w:rFonts w:hint="default" w:ascii="仿宋" w:hAnsi="仿宋" w:eastAsia="仿宋" w:cs="仿宋"/>
          <w:color w:val="auto"/>
          <w:sz w:val="28"/>
          <w:highlight w:val="none"/>
          <w:lang w:val="en-US" w:eastAsia="zh-CN"/>
        </w:rPr>
        <w:t>设备。</w:t>
      </w:r>
    </w:p>
    <w:p w14:paraId="43C3E9D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4.18乙方须有本项目所在地政府主管部门认可的相应专业资质、资格和承担本合同义务、责任所需的经济实力并须提供相关资质资料给甲方。如因乙方资质等问题导致甲方被相关部门处罚的，因此产生的全部损失及费用由乙方承担。合同有效期内，乙方须确保自身持续具备履行合同义务的合法资质、资格（尤其须符合政府主管部门的要求），否则甲方有权：①自乙方不具备合法资质、资格之日起，乙方向甲方支付违约金人民币伍佰元/天，直至乙方恢复相关资质、资格；②甲方单方解除合同并收回所有已付款项。</w:t>
      </w:r>
    </w:p>
    <w:p w14:paraId="0945A0A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4.19合同履行期间，乙方必须服从甲方正常工作安排，否则属乙方违约，甲方有权对乙方收取违约金。乙方承诺不以任何理由停止供货，否则属乙方违约，乙方自愿承担不小于伍仟元/次违约金给甲方。</w:t>
      </w:r>
    </w:p>
    <w:p w14:paraId="1D3C810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4.20</w:t>
      </w:r>
      <w:r>
        <w:rPr>
          <w:rFonts w:hint="default" w:ascii="仿宋" w:hAnsi="仿宋" w:eastAsia="仿宋" w:cs="仿宋"/>
          <w:color w:val="auto"/>
          <w:sz w:val="28"/>
          <w:highlight w:val="none"/>
          <w:lang w:val="en-US" w:eastAsia="zh-CN"/>
        </w:rPr>
        <w:t>本合同</w:t>
      </w:r>
      <w:r>
        <w:rPr>
          <w:rFonts w:hint="eastAsia" w:ascii="仿宋" w:hAnsi="仿宋" w:eastAsia="仿宋" w:cs="仿宋"/>
          <w:color w:val="auto"/>
          <w:sz w:val="28"/>
          <w:highlight w:val="none"/>
          <w:lang w:val="en-US" w:eastAsia="zh-CN"/>
        </w:rPr>
        <w:t>有效</w:t>
      </w:r>
      <w:r>
        <w:rPr>
          <w:rFonts w:hint="default" w:ascii="仿宋" w:hAnsi="仿宋" w:eastAsia="仿宋" w:cs="仿宋"/>
          <w:color w:val="auto"/>
          <w:sz w:val="28"/>
          <w:highlight w:val="none"/>
          <w:lang w:val="en-US" w:eastAsia="zh-CN"/>
        </w:rPr>
        <w:t>期内，若乙方发生2次不能及时提供</w:t>
      </w:r>
      <w:r>
        <w:rPr>
          <w:rFonts w:hint="eastAsia" w:ascii="仿宋" w:hAnsi="仿宋" w:eastAsia="仿宋" w:cs="仿宋"/>
          <w:color w:val="auto"/>
          <w:sz w:val="28"/>
          <w:highlight w:val="none"/>
          <w:lang w:val="en-US" w:eastAsia="zh-CN"/>
        </w:rPr>
        <w:t>产品</w:t>
      </w:r>
      <w:r>
        <w:rPr>
          <w:rFonts w:hint="default" w:ascii="仿宋" w:hAnsi="仿宋" w:eastAsia="仿宋" w:cs="仿宋"/>
          <w:color w:val="auto"/>
          <w:sz w:val="28"/>
          <w:highlight w:val="none"/>
          <w:lang w:val="en-US" w:eastAsia="zh-CN"/>
        </w:rPr>
        <w:t>的情况，则甲方有权单方解除合同，且一切损失由乙方自行承担。</w:t>
      </w:r>
    </w:p>
    <w:p w14:paraId="0783EAA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4.21</w:t>
      </w:r>
      <w:r>
        <w:rPr>
          <w:rFonts w:hint="default" w:ascii="仿宋" w:hAnsi="仿宋" w:eastAsia="仿宋" w:cs="仿宋"/>
          <w:color w:val="auto"/>
          <w:sz w:val="28"/>
          <w:highlight w:val="none"/>
          <w:lang w:val="en-US" w:eastAsia="zh-CN"/>
        </w:rPr>
        <w:t>乙方必须为其设备</w:t>
      </w:r>
      <w:r>
        <w:rPr>
          <w:rFonts w:hint="eastAsia" w:ascii="仿宋" w:hAnsi="仿宋" w:eastAsia="仿宋" w:cs="仿宋"/>
          <w:color w:val="auto"/>
          <w:sz w:val="28"/>
          <w:highlight w:val="none"/>
          <w:lang w:val="en-US" w:eastAsia="zh-CN"/>
        </w:rPr>
        <w:t>、产品</w:t>
      </w:r>
      <w:r>
        <w:rPr>
          <w:rFonts w:hint="default" w:ascii="仿宋" w:hAnsi="仿宋" w:eastAsia="仿宋" w:cs="仿宋"/>
          <w:color w:val="auto"/>
          <w:sz w:val="28"/>
          <w:highlight w:val="none"/>
          <w:lang w:val="en-US" w:eastAsia="zh-CN"/>
        </w:rPr>
        <w:t>及人员购买社会保险及人身意外伤害</w:t>
      </w:r>
      <w:r>
        <w:rPr>
          <w:rFonts w:hint="eastAsia" w:ascii="仿宋" w:hAnsi="仿宋" w:eastAsia="仿宋" w:cs="仿宋"/>
          <w:color w:val="auto"/>
          <w:sz w:val="28"/>
          <w:highlight w:val="none"/>
          <w:lang w:val="en-US" w:eastAsia="zh-CN"/>
        </w:rPr>
        <w:t>等</w:t>
      </w:r>
      <w:r>
        <w:rPr>
          <w:rFonts w:hint="default" w:ascii="仿宋" w:hAnsi="仿宋" w:eastAsia="仿宋" w:cs="仿宋"/>
          <w:color w:val="auto"/>
          <w:sz w:val="28"/>
          <w:highlight w:val="none"/>
          <w:lang w:val="en-US" w:eastAsia="zh-CN"/>
        </w:rPr>
        <w:t>保险，有关费用已包含在合同</w:t>
      </w:r>
      <w:r>
        <w:rPr>
          <w:rFonts w:hint="eastAsia" w:ascii="仿宋" w:hAnsi="仿宋" w:eastAsia="仿宋" w:cs="仿宋"/>
          <w:color w:val="auto"/>
          <w:sz w:val="28"/>
          <w:highlight w:val="none"/>
          <w:lang w:val="en-US" w:eastAsia="zh-CN"/>
        </w:rPr>
        <w:t>单</w:t>
      </w:r>
      <w:r>
        <w:rPr>
          <w:rFonts w:hint="default" w:ascii="仿宋" w:hAnsi="仿宋" w:eastAsia="仿宋" w:cs="仿宋"/>
          <w:color w:val="auto"/>
          <w:sz w:val="28"/>
          <w:highlight w:val="none"/>
          <w:lang w:val="en-US" w:eastAsia="zh-CN"/>
        </w:rPr>
        <w:t>价中，甲方无需另行支付费用给乙方。因各种原因导致乙方需要延长保险期所需增加的保险费由乙方自行承担，其费用已包含在合同</w:t>
      </w:r>
      <w:r>
        <w:rPr>
          <w:rFonts w:hint="eastAsia" w:ascii="仿宋" w:hAnsi="仿宋" w:eastAsia="仿宋" w:cs="仿宋"/>
          <w:color w:val="auto"/>
          <w:sz w:val="28"/>
          <w:highlight w:val="none"/>
          <w:lang w:val="en-US" w:eastAsia="zh-CN"/>
        </w:rPr>
        <w:t>单</w:t>
      </w:r>
      <w:r>
        <w:rPr>
          <w:rFonts w:hint="default" w:ascii="仿宋" w:hAnsi="仿宋" w:eastAsia="仿宋" w:cs="仿宋"/>
          <w:color w:val="auto"/>
          <w:sz w:val="28"/>
          <w:highlight w:val="none"/>
          <w:lang w:val="en-US" w:eastAsia="zh-CN"/>
        </w:rPr>
        <w:t>价内，凡在合同履行期间由乙方原因导致的一切安全及质量事故，属乙方责任，所有损失及费用由乙方承担。</w:t>
      </w:r>
    </w:p>
    <w:p w14:paraId="333E593B">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4.22</w:t>
      </w:r>
      <w:r>
        <w:rPr>
          <w:rFonts w:hint="default" w:ascii="仿宋" w:hAnsi="仿宋" w:eastAsia="仿宋" w:cs="仿宋"/>
          <w:color w:val="auto"/>
          <w:sz w:val="28"/>
          <w:highlight w:val="none"/>
          <w:lang w:val="en-US" w:eastAsia="zh-CN"/>
        </w:rPr>
        <w:t>无论乙方有无按照本合同约定办理相关保险事宜，乙方人员或因乙方原因导致在本项目范围内发生的伤亡事故，均由乙方承担责任和费用。</w:t>
      </w:r>
    </w:p>
    <w:p w14:paraId="72375FC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default" w:ascii="仿宋" w:hAnsi="仿宋" w:eastAsia="仿宋" w:cs="仿宋"/>
          <w:color w:val="auto"/>
          <w:sz w:val="28"/>
          <w:highlight w:val="none"/>
          <w:lang w:val="en-US" w:eastAsia="zh-CN"/>
        </w:rPr>
        <w:t>4.23乙方在合同履行期内要求甲方涨价的，属乙方违约，甲方将对乙方按其要求涨价金额的100%</w:t>
      </w:r>
      <w:r>
        <w:rPr>
          <w:rFonts w:hint="eastAsia" w:ascii="仿宋" w:hAnsi="仿宋" w:eastAsia="仿宋" w:cs="仿宋"/>
          <w:color w:val="auto"/>
          <w:sz w:val="28"/>
          <w:highlight w:val="none"/>
          <w:lang w:val="en-US" w:eastAsia="zh-CN"/>
        </w:rPr>
        <w:t>收取违约金</w:t>
      </w:r>
      <w:r>
        <w:rPr>
          <w:rFonts w:hint="default" w:ascii="仿宋" w:hAnsi="仿宋" w:eastAsia="仿宋" w:cs="仿宋"/>
          <w:color w:val="auto"/>
          <w:sz w:val="28"/>
          <w:highlight w:val="none"/>
          <w:lang w:val="en-US" w:eastAsia="zh-CN"/>
        </w:rPr>
        <w:t>。如乙方的产品、服务不满足甲方或本项目进度要求，甲方有权单方安排第三方单独或与乙方共同完成产品供货工作</w:t>
      </w:r>
      <w:r>
        <w:rPr>
          <w:rFonts w:hint="eastAsia" w:ascii="仿宋" w:hAnsi="仿宋" w:eastAsia="仿宋" w:cs="仿宋"/>
          <w:color w:val="auto"/>
          <w:sz w:val="28"/>
          <w:highlight w:val="none"/>
          <w:lang w:val="en-US" w:eastAsia="zh-CN"/>
        </w:rPr>
        <w:t>。</w:t>
      </w:r>
    </w:p>
    <w:p w14:paraId="78876802">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4.24合同有效期内，乙方无条件执行甲方与建设单位确定的本项目施工现场管理制度，因乙方原因导致建设单位或其他部门对甲方进行处罚扣款的，乙方按该处罚金额的2倍向甲方承担违约金。</w:t>
      </w:r>
    </w:p>
    <w:p w14:paraId="049E2A8D">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textAlignment w:val="auto"/>
        <w:outlineLvl w:val="1"/>
        <w:rPr>
          <w:rFonts w:hint="eastAsia" w:ascii="仿宋" w:hAnsi="仿宋" w:eastAsia="仿宋" w:cs="仿宋"/>
          <w:color w:val="auto"/>
          <w:sz w:val="28"/>
          <w:highlight w:val="none"/>
          <w:u w:val="none"/>
        </w:rPr>
      </w:pPr>
      <w:bookmarkStart w:id="135" w:name="_Toc4433"/>
      <w:bookmarkStart w:id="136" w:name="_Toc3719"/>
      <w:r>
        <w:rPr>
          <w:rFonts w:hint="eastAsia" w:ascii="仿宋" w:hAnsi="仿宋" w:eastAsia="仿宋" w:cs="仿宋"/>
          <w:b/>
          <w:bCs/>
          <w:color w:val="auto"/>
          <w:sz w:val="28"/>
          <w:highlight w:val="none"/>
          <w:lang w:val="en-US" w:eastAsia="zh-CN"/>
        </w:rPr>
        <w:t>第五章、</w:t>
      </w:r>
      <w:r>
        <w:rPr>
          <w:rFonts w:hint="eastAsia" w:ascii="仿宋" w:hAnsi="仿宋" w:eastAsia="仿宋" w:cs="仿宋"/>
          <w:b/>
          <w:bCs/>
          <w:color w:val="auto"/>
          <w:sz w:val="28"/>
          <w:highlight w:val="none"/>
          <w:u w:val="none"/>
        </w:rPr>
        <w:t>廉洁条款</w:t>
      </w:r>
      <w:bookmarkEnd w:id="129"/>
      <w:bookmarkEnd w:id="130"/>
      <w:bookmarkEnd w:id="131"/>
      <w:bookmarkEnd w:id="132"/>
      <w:bookmarkEnd w:id="133"/>
      <w:bookmarkEnd w:id="134"/>
      <w:bookmarkEnd w:id="135"/>
      <w:bookmarkEnd w:id="136"/>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p>
    <w:p w14:paraId="6C529BA2">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bookmarkStart w:id="137" w:name="_Toc25006"/>
      <w:r>
        <w:rPr>
          <w:rFonts w:hint="eastAsia" w:ascii="仿宋" w:hAnsi="仿宋" w:eastAsia="仿宋" w:cs="仿宋"/>
          <w:color w:val="auto"/>
          <w:sz w:val="28"/>
          <w:highlight w:val="none"/>
          <w:lang w:val="en-US" w:eastAsia="zh-CN"/>
        </w:rPr>
        <w:t>5.1乙方在与甲方合作期间（包括本合同招采、签约、履约期间），不得向甲方职员提供请吃、送礼、旅游、色情服务、行贿、回扣或其他好处，如有违反，乙方每次向甲方支付人民币十万元作为违约金（甲方可从任意合同款中扣款），造成甲方经济或其他损失的，乙方全额赔偿，且甲方有权单方解除本合同。</w:t>
      </w:r>
    </w:p>
    <w:p w14:paraId="20AEFDE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5.2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14:paraId="1348C44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5.3如甲方发现乙方可能存在违反廉洁条款的行为时，甲方有权暂扣违约金/争议材料款/处罚款等对应等额的合同款，直至调查完毕后根据调查结果再作处理，甲方暂不付款的行为不违约。</w:t>
      </w:r>
    </w:p>
    <w:bookmarkEnd w:id="137"/>
    <w:p w14:paraId="4312C98E">
      <w:pPr>
        <w:keepNext w:val="0"/>
        <w:keepLines w:val="0"/>
        <w:pageBreakBefore w:val="0"/>
        <w:widowControl w:val="0"/>
        <w:kinsoku/>
        <w:wordWrap/>
        <w:overflowPunct/>
        <w:topLinePunct w:val="0"/>
        <w:autoSpaceDE/>
        <w:autoSpaceDN/>
        <w:bidi w:val="0"/>
        <w:adjustRightInd/>
        <w:snapToGrid w:val="0"/>
        <w:spacing w:line="500" w:lineRule="exact"/>
        <w:textAlignment w:val="auto"/>
        <w:outlineLvl w:val="1"/>
        <w:rPr>
          <w:rFonts w:hint="eastAsia" w:ascii="仿宋" w:hAnsi="仿宋" w:eastAsia="仿宋" w:cs="仿宋"/>
          <w:color w:val="auto"/>
          <w:sz w:val="28"/>
          <w:szCs w:val="28"/>
          <w:highlight w:val="none"/>
          <w:lang w:val="en-US" w:eastAsia="zh-CN"/>
        </w:rPr>
      </w:pPr>
      <w:bookmarkStart w:id="138" w:name="_Toc16121"/>
      <w:bookmarkStart w:id="139" w:name="_Toc27905"/>
      <w:bookmarkStart w:id="140" w:name="_Toc100"/>
      <w:bookmarkStart w:id="141" w:name="_Toc28398"/>
      <w:bookmarkStart w:id="142" w:name="_Toc1615"/>
      <w:bookmarkStart w:id="143" w:name="_Toc14237"/>
      <w:r>
        <w:rPr>
          <w:rFonts w:hint="eastAsia" w:ascii="仿宋" w:hAnsi="仿宋" w:eastAsia="仿宋" w:cs="仿宋"/>
          <w:b/>
          <w:bCs/>
          <w:color w:val="auto"/>
          <w:sz w:val="28"/>
          <w:szCs w:val="28"/>
          <w:highlight w:val="none"/>
          <w:lang w:val="en-US" w:eastAsia="zh-CN"/>
        </w:rPr>
        <w:t>第六章、甲乙双方联系人权限</w:t>
      </w:r>
      <w:bookmarkEnd w:id="138"/>
      <w:bookmarkEnd w:id="139"/>
      <w:bookmarkEnd w:id="140"/>
      <w:bookmarkEnd w:id="141"/>
      <w:bookmarkEnd w:id="142"/>
      <w:bookmarkEnd w:id="143"/>
    </w:p>
    <w:p w14:paraId="49D1C08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6.1甲方对乙方发出的业务通知等文件，须经甲方项目负责人及合同执行联系人签名并加盖甲方项目章方为有效，否则为无效文件，仅盖章或者仅签名的文件亦无效。甲方项目负责人、合同执行联系人变更的，甲方以书面形式通知乙方。</w:t>
      </w:r>
    </w:p>
    <w:p w14:paraId="650AE90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甲方用于本项目的项目章，仅供甲方项目部与乙方联系工作和确认施工技术、资料之用。该项目章用于以下情形时无效：</w:t>
      </w:r>
    </w:p>
    <w:p w14:paraId="68D964C9">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①签订合同；</w:t>
      </w:r>
    </w:p>
    <w:p w14:paraId="08756BC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②任何类型的欠条或收据；</w:t>
      </w:r>
    </w:p>
    <w:p w14:paraId="4299AAE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③任何形式的经济结算凭证；</w:t>
      </w:r>
    </w:p>
    <w:p w14:paraId="08E15F0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④为他人或他单位提供任何形式的担保；</w:t>
      </w:r>
    </w:p>
    <w:p w14:paraId="0C410D3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⑤确认任何形式的包含权利义务及责任承担的文件。</w:t>
      </w:r>
    </w:p>
    <w:p w14:paraId="52FABC5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6.2乙方授权代表以乙方的名义处理与本合同相关的一切事务，乙方对其行为均认可并承担一切责任。乙方如需更换授权代表，应提前3个日历天以书面形式通知甲方。</w:t>
      </w:r>
    </w:p>
    <w:p w14:paraId="6B50520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6.3乙方每批产品安排指定的业务员跟单，与甲方对接验收、核量及售后等相关事宜。</w:t>
      </w:r>
    </w:p>
    <w:p w14:paraId="26E0F96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6.4除甲方项目部负责人外，甲方项目部其他任何人对涉及费用的所有文件、资料无权进行确定、批准。甲方的项目部负责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项目部负责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05780F76">
      <w:pPr>
        <w:keepNext w:val="0"/>
        <w:keepLines w:val="0"/>
        <w:pageBreakBefore w:val="0"/>
        <w:widowControl w:val="0"/>
        <w:kinsoku/>
        <w:wordWrap/>
        <w:overflowPunct/>
        <w:topLinePunct w:val="0"/>
        <w:autoSpaceDE/>
        <w:autoSpaceDN/>
        <w:bidi w:val="0"/>
        <w:adjustRightInd/>
        <w:snapToGrid w:val="0"/>
        <w:spacing w:line="500" w:lineRule="exact"/>
        <w:textAlignment w:val="auto"/>
        <w:outlineLvl w:val="1"/>
        <w:rPr>
          <w:rFonts w:hint="eastAsia" w:ascii="仿宋" w:hAnsi="仿宋" w:eastAsia="仿宋" w:cs="仿宋"/>
          <w:color w:val="auto"/>
          <w:sz w:val="28"/>
          <w:szCs w:val="28"/>
          <w:highlight w:val="none"/>
          <w:lang w:val="en-US" w:eastAsia="zh-CN"/>
        </w:rPr>
      </w:pPr>
      <w:bookmarkStart w:id="144" w:name="_Toc32691"/>
      <w:bookmarkStart w:id="145" w:name="_Toc14570"/>
      <w:bookmarkStart w:id="146" w:name="_Toc2216"/>
      <w:bookmarkStart w:id="147" w:name="_Toc20238"/>
      <w:bookmarkStart w:id="148" w:name="_Toc8151"/>
      <w:bookmarkStart w:id="149" w:name="_Toc31201"/>
      <w:bookmarkStart w:id="150" w:name="_Toc23058"/>
      <w:bookmarkStart w:id="151" w:name="_Toc15406"/>
      <w:bookmarkStart w:id="152" w:name="_Toc28082"/>
      <w:r>
        <w:rPr>
          <w:rFonts w:hint="eastAsia" w:ascii="仿宋" w:hAnsi="仿宋" w:eastAsia="仿宋" w:cs="仿宋"/>
          <w:b/>
          <w:bCs/>
          <w:color w:val="auto"/>
          <w:sz w:val="28"/>
          <w:szCs w:val="28"/>
          <w:highlight w:val="none"/>
          <w:lang w:val="en-US" w:eastAsia="zh-CN"/>
        </w:rPr>
        <w:t>第七章、其他</w:t>
      </w:r>
      <w:bookmarkEnd w:id="144"/>
      <w:bookmarkEnd w:id="145"/>
      <w:bookmarkEnd w:id="146"/>
      <w:bookmarkEnd w:id="147"/>
      <w:bookmarkEnd w:id="148"/>
      <w:bookmarkEnd w:id="149"/>
      <w:bookmarkEnd w:id="150"/>
      <w:bookmarkEnd w:id="151"/>
      <w:bookmarkEnd w:id="152"/>
    </w:p>
    <w:p w14:paraId="5DC37257">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7.1合同价款及合同条款已考虑突发疫情等流行疾病影响因素，乙方不以疫情防控为由要求甲方对合同单价、合同结算办法及货期等合同条款进行调整，防疫措施的一切费用已包含在合同单价内，不另计费。</w:t>
      </w:r>
    </w:p>
    <w:p w14:paraId="40DA106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7.2乙方人员在本合同履行期间所发生的所有安全事故，均由乙方承担所发生的全部费用及损失，对甲方造成损失的则由乙方赔偿甲方损失。</w:t>
      </w:r>
    </w:p>
    <w:p w14:paraId="10E59FA2">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7.3甲、乙双方对产品质量有争议的，由产品使用地点的、国家规定的质量检测机构鉴定，所需费用及因此造成的损失由责任方承担，如双方均有</w:t>
      </w:r>
      <w:r>
        <w:rPr>
          <w:rFonts w:hint="eastAsia" w:ascii="仿宋" w:hAnsi="仿宋" w:eastAsia="仿宋" w:cs="仿宋"/>
          <w:color w:val="auto"/>
          <w:sz w:val="28"/>
          <w:szCs w:val="28"/>
          <w:highlight w:val="none"/>
          <w:lang w:val="en-US" w:eastAsia="zh-CN"/>
        </w:rPr>
        <w:t>责</w:t>
      </w:r>
      <w:r>
        <w:rPr>
          <w:rFonts w:hint="eastAsia" w:ascii="仿宋" w:hAnsi="仿宋" w:eastAsia="仿宋" w:cs="仿宋"/>
          <w:color w:val="auto"/>
          <w:sz w:val="28"/>
          <w:highlight w:val="none"/>
          <w:lang w:val="en-US" w:eastAsia="zh-CN"/>
        </w:rPr>
        <w:t>任，由双方根据各自责任分别承担。不可抗力的情形按国家相应规定执行。</w:t>
      </w:r>
    </w:p>
    <w:p w14:paraId="766ACC84">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7.4甲方因参与本合同履行而发出、或与乙方达成合意所形成的一切相关文件，均须同时具备甲方公章及法定代表人（或授权代表人）签名，否则均不对甲方产生约束力，除非事后获得甲方另行追认。</w:t>
      </w:r>
    </w:p>
    <w:p w14:paraId="4D153A9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7.5本合同各条款相互矛盾、表达含糊的，按最有利于甲方的条款执行。</w:t>
      </w:r>
    </w:p>
    <w:p w14:paraId="764BD66D">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7.6专利技术及特殊工艺 </w:t>
      </w:r>
    </w:p>
    <w:p w14:paraId="145F88EB">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7.6.1乙方须保障甲方在使用其提供的产品、服务不受到第三方关于侵权的指控。如果出现此类情况，由乙方与第三方交涉并承担一切费用和责任，如造成甲方损失的，乙方向甲方赔偿。 </w:t>
      </w:r>
    </w:p>
    <w:p w14:paraId="10621F0D">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7.6.2乙方擅自使用他人专利技术，侵犯他人专利权的，乙方依法承担相应责任。</w:t>
      </w:r>
    </w:p>
    <w:p w14:paraId="3C0B776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7.7合同有效期内，乙方如进行企业名称变更，须提前5个日历天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合同有效期内，如乙方自身主体被工商登记主管部门注销，甲方有权不履行合同付款义务且属乙方责任，一切损失由乙方承担，甲方无须承担任何违约责任和费用。</w:t>
      </w:r>
    </w:p>
    <w:p w14:paraId="4E89A0C0">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7.8签订本合同后，乙方只是取得产品供应资格且向甲方确定了可接受的交易条件，并不意味着双方的成交，能否向甲方销售产品以甲方发出的书面通知为准。甲方随时有权另向第三方交易。在甲方未向乙方发出具体的订货通知之前，乙方无权以本合同为由要求甲方进行交易。</w:t>
      </w:r>
    </w:p>
    <w:p w14:paraId="3A9E17F4">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7.9本合同未尽事宜或需变更的，甲乙双方另行签订补充协议进行明确。与本合同相关的争议，双方友好协商解决，协商不成则提交甲方所在地人民法院以诉讼方式解决。甲乙双方因履行本合同的往来文件及法院送达的文书以合同签章处所列地址为有效地址，以邮寄方式送达的，通过邮政特快专递寄出第三日视为送达。</w:t>
      </w:r>
    </w:p>
    <w:p w14:paraId="7EBBED87">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7.10乙方与第三方发生的任何经济往来、债务纠纷均与甲方无关。乙方须保证所供应产品无权属上的瑕疵和知识产权的争议，若因此对甲方造成损失，则由乙方全责赔偿。</w:t>
      </w:r>
    </w:p>
    <w:p w14:paraId="3C242F9F">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7.11乙方与第三人签订的劳动、租赁、买卖等一切合同，与甲方无关。乙方在合同有效期内发生的与第三方一切合同债务，由乙方负全责处理并承担责任。</w:t>
      </w:r>
    </w:p>
    <w:p w14:paraId="5EB9E86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7.12合同有效期内，甲方制度文件如有更新，按甲方最新版要求执行，最终解释权归甲方所有。</w:t>
      </w:r>
    </w:p>
    <w:p w14:paraId="5113205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7.13以下文件均为合同有效组成部分，各文件互相解释，互为说明。当前后合同文件、资料等出现不一致或矛盾时，以下排列顺序为合同文件的优先解释顺序；同一类文件以最新（近）时间为优先：</w:t>
      </w:r>
    </w:p>
    <w:p w14:paraId="5CE67D97">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①合同履行过程中，双方法人代表或授权人签字并加盖公章的补充协议；</w:t>
      </w:r>
    </w:p>
    <w:p w14:paraId="14ECAD9C">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②本合同第一部分协议书；</w:t>
      </w:r>
    </w:p>
    <w:p w14:paraId="6A7A1B5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③本合同第二部分合同专用条款；</w:t>
      </w:r>
    </w:p>
    <w:p w14:paraId="1EE40FA9">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④本合同第三部分合同通用条款；</w:t>
      </w:r>
    </w:p>
    <w:p w14:paraId="767AB34D">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⑤经甲方权限领导审批的方案及相关设计变更；</w:t>
      </w:r>
    </w:p>
    <w:p w14:paraId="10FB0926">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⑥本合同对应的招采文件（含相关答疑、补充通知等）；</w:t>
      </w:r>
    </w:p>
    <w:p w14:paraId="30FA7CC7">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⑦乙方发出的、经甲方确认的本合同对应投标文件及相关澄清文件；</w:t>
      </w:r>
    </w:p>
    <w:p w14:paraId="6F1BF2A3">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⑧本项目所在地现行的法律、法规、标准、规范。</w:t>
      </w:r>
    </w:p>
    <w:p w14:paraId="1EE3B55E">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7.14本合同正文为清洁打印文本，如双方对此合同有任何修改及补充均应另行签订补充协议。合同正文中任何非打印的文字或者图形，除非经双方确认同意，否则不产生约束力。</w:t>
      </w:r>
    </w:p>
    <w:p w14:paraId="7527244B">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7.15甲乙双方均确认已经审阅并理解本合同全部条款，且已经就条款相关的任何疑问得到满意的解释，并确认本合同的条款为双方本着诚信互利的原则友好协商一致的结果，不属于任何一方的格式条款。</w:t>
      </w:r>
    </w:p>
    <w:p w14:paraId="6A0992EA">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7.16本合同一式三份，甲方执两份，乙方执一份，均具同等效力。</w:t>
      </w:r>
    </w:p>
    <w:p w14:paraId="168CF7F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7.17本合同自甲乙双方签字、加盖公章（或合同章）之日起生效，双方履行完合同义务、责任之日终止。</w:t>
      </w:r>
    </w:p>
    <w:p w14:paraId="6CA5F5F1">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7.18乙方负责协调、处理产品供货涉及的各类关系（包括但不限于政府主管部门、周边居民等关系），确保进退场及供货过程中合法、合规、不扰民，相关费用已包含在合同单价内，不另行计取</w:t>
      </w:r>
    </w:p>
    <w:p w14:paraId="5A81EB05">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（以下无正文）</w:t>
      </w:r>
    </w:p>
    <w:p w14:paraId="466ADF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150"/>
        <w:textAlignment w:val="auto"/>
        <w:rPr>
          <w:rFonts w:hint="eastAsia" w:ascii="仿宋" w:hAnsi="仿宋" w:eastAsia="仿宋" w:cs="仿宋"/>
          <w:color w:val="auto"/>
          <w:sz w:val="28"/>
          <w:highlight w:val="none"/>
          <w:u w:val="none"/>
          <w:lang w:val="en-US" w:eastAsia="zh-CN"/>
        </w:rPr>
      </w:pPr>
      <w:r>
        <w:rPr>
          <w:rFonts w:hint="default" w:ascii="仿宋" w:hAnsi="仿宋" w:eastAsia="仿宋" w:cs="仿宋"/>
          <w:color w:val="auto"/>
          <w:sz w:val="28"/>
          <w:highlight w:val="none"/>
          <w:u w:val="none"/>
          <w:lang w:val="en-US" w:eastAsia="zh-CN"/>
        </w:rPr>
        <w:t>附件一：</w:t>
      </w:r>
      <w:r>
        <w:rPr>
          <w:rFonts w:hint="eastAsia" w:ascii="仿宋" w:hAnsi="仿宋" w:eastAsia="仿宋" w:cs="仿宋"/>
          <w:color w:val="auto"/>
          <w:sz w:val="28"/>
          <w:highlight w:val="none"/>
          <w:u w:val="none"/>
          <w:lang w:val="en-US" w:eastAsia="zh-CN"/>
        </w:rPr>
        <w:t xml:space="preserve">《结清承诺书》格式  </w:t>
      </w:r>
    </w:p>
    <w:p w14:paraId="3E85C54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150"/>
        <w:textAlignment w:val="auto"/>
        <w:rPr>
          <w:rFonts w:hint="default" w:ascii="仿宋" w:hAnsi="仿宋" w:eastAsia="仿宋" w:cs="仿宋"/>
          <w:color w:val="auto"/>
          <w:sz w:val="28"/>
          <w:highlight w:val="none"/>
          <w:u w:val="none"/>
          <w:lang w:val="en-US" w:eastAsia="zh-CN"/>
        </w:rPr>
      </w:pPr>
      <w:r>
        <w:rPr>
          <w:rFonts w:hint="default" w:ascii="仿宋" w:hAnsi="仿宋" w:eastAsia="仿宋" w:cs="仿宋"/>
          <w:color w:val="auto"/>
          <w:sz w:val="28"/>
          <w:highlight w:val="none"/>
          <w:u w:val="none"/>
          <w:lang w:val="en-US" w:eastAsia="zh-CN"/>
        </w:rPr>
        <w:t>附件二：《延迟付款声明函》格式</w:t>
      </w:r>
    </w:p>
    <w:p w14:paraId="66567EF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15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附件三：《材料款申报审批表》格式</w:t>
      </w:r>
    </w:p>
    <w:p w14:paraId="24C6D50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15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附件四：《款项支付台账》格式</w:t>
      </w:r>
    </w:p>
    <w:p w14:paraId="274AEE0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15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附件五：《材料签收单》格式</w:t>
      </w:r>
    </w:p>
    <w:p w14:paraId="384D86F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15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附件六：《供应商月度对账单》格式</w:t>
      </w:r>
    </w:p>
    <w:p w14:paraId="5D77CD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15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附件七：</w:t>
      </w:r>
      <w:r>
        <w:rPr>
          <w:rFonts w:hint="default" w:ascii="仿宋" w:hAnsi="仿宋" w:eastAsia="仿宋" w:cs="仿宋"/>
          <w:color w:val="auto"/>
          <w:sz w:val="28"/>
          <w:highlight w:val="none"/>
          <w:u w:val="none"/>
          <w:lang w:val="en-US" w:eastAsia="zh-CN"/>
        </w:rPr>
        <w:t>《</w:t>
      </w:r>
      <w:r>
        <w:rPr>
          <w:rFonts w:hint="eastAsia" w:ascii="仿宋" w:hAnsi="仿宋" w:eastAsia="仿宋" w:cs="仿宋"/>
          <w:color w:val="auto"/>
          <w:sz w:val="28"/>
          <w:highlight w:val="none"/>
          <w:u w:val="none"/>
          <w:lang w:val="en-US" w:eastAsia="zh-CN"/>
        </w:rPr>
        <w:t>甲方项目章样式</w:t>
      </w:r>
      <w:r>
        <w:rPr>
          <w:rFonts w:hint="default" w:ascii="仿宋" w:hAnsi="仿宋" w:eastAsia="仿宋" w:cs="仿宋"/>
          <w:color w:val="auto"/>
          <w:sz w:val="28"/>
          <w:highlight w:val="none"/>
          <w:u w:val="none"/>
          <w:lang w:val="en-US" w:eastAsia="zh-CN"/>
        </w:rPr>
        <w:t>》</w:t>
      </w:r>
      <w:r>
        <w:rPr>
          <w:rFonts w:hint="eastAsia" w:ascii="仿宋" w:hAnsi="仿宋" w:eastAsia="仿宋" w:cs="仿宋"/>
          <w:color w:val="auto"/>
          <w:sz w:val="28"/>
          <w:highlight w:val="none"/>
          <w:u w:val="none"/>
          <w:lang w:val="en-US" w:eastAsia="zh-CN"/>
        </w:rPr>
        <w:t xml:space="preserve">  </w:t>
      </w:r>
    </w:p>
    <w:p w14:paraId="407100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15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附件八：《物料申购单》格式</w:t>
      </w:r>
    </w:p>
    <w:p w14:paraId="27823FA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150"/>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附件九：《铁床样式图》</w:t>
      </w:r>
    </w:p>
    <w:p w14:paraId="783D952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20" w:firstLineChars="150"/>
        <w:textAlignment w:val="auto"/>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附件十：《报价清单》</w:t>
      </w:r>
    </w:p>
    <w:p w14:paraId="39E5A87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right"/>
        <w:textAlignment w:val="auto"/>
        <w:rPr>
          <w:rFonts w:hint="eastAsia" w:ascii="仿宋" w:hAnsi="仿宋" w:eastAsia="仿宋" w:cs="仿宋"/>
          <w:b/>
          <w:bCs/>
          <w:color w:val="auto"/>
          <w:sz w:val="48"/>
          <w:szCs w:val="44"/>
          <w:highlight w:val="none"/>
          <w:lang w:val="en-US" w:eastAsia="zh-CN"/>
        </w:rPr>
      </w:pPr>
    </w:p>
    <w:p w14:paraId="0788841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right"/>
        <w:textAlignment w:val="auto"/>
        <w:rPr>
          <w:rFonts w:hint="eastAsia" w:ascii="仿宋" w:hAnsi="仿宋" w:eastAsia="仿宋" w:cs="仿宋"/>
          <w:b/>
          <w:bCs/>
          <w:color w:val="auto"/>
          <w:sz w:val="48"/>
          <w:szCs w:val="44"/>
          <w:highlight w:val="none"/>
          <w:lang w:val="en-US" w:eastAsia="zh-CN"/>
        </w:rPr>
      </w:pPr>
    </w:p>
    <w:p w14:paraId="1E872FC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right"/>
        <w:textAlignment w:val="auto"/>
        <w:rPr>
          <w:rFonts w:hint="eastAsia" w:ascii="仿宋" w:hAnsi="仿宋" w:eastAsia="仿宋" w:cs="仿宋"/>
          <w:b/>
          <w:bCs/>
          <w:color w:val="auto"/>
          <w:sz w:val="48"/>
          <w:szCs w:val="44"/>
          <w:highlight w:val="none"/>
          <w:lang w:val="en-US" w:eastAsia="zh-CN"/>
        </w:rPr>
      </w:pPr>
      <w:r>
        <w:rPr>
          <w:rFonts w:hint="eastAsia" w:ascii="仿宋" w:hAnsi="仿宋" w:eastAsia="仿宋" w:cs="仿宋"/>
          <w:b/>
          <w:bCs/>
          <w:color w:val="auto"/>
          <w:sz w:val="48"/>
          <w:szCs w:val="44"/>
          <w:highlight w:val="none"/>
          <w:lang w:val="en-US" w:eastAsia="zh-CN"/>
        </w:rPr>
        <w:t>附件一</w:t>
      </w:r>
    </w:p>
    <w:p w14:paraId="71E54FCF">
      <w:pPr>
        <w:jc w:val="right"/>
        <w:rPr>
          <w:rFonts w:hint="default" w:ascii="仿宋" w:hAnsi="仿宋" w:eastAsia="仿宋" w:cs="仿宋"/>
          <w:b/>
          <w:bCs/>
          <w:color w:val="auto"/>
          <w:sz w:val="44"/>
          <w:szCs w:val="44"/>
          <w:highlight w:val="none"/>
          <w:lang w:val="en-US" w:eastAsia="zh-CN"/>
        </w:rPr>
      </w:pPr>
    </w:p>
    <w:p w14:paraId="27A7A9DC">
      <w:pPr>
        <w:jc w:val="center"/>
        <w:rPr>
          <w:rFonts w:ascii="仿宋" w:hAnsi="仿宋" w:eastAsia="仿宋" w:cs="仿宋"/>
          <w:b w:val="0"/>
          <w:bCs w:val="0"/>
          <w:color w:val="auto"/>
          <w:kern w:val="0"/>
          <w:sz w:val="28"/>
          <w:szCs w:val="28"/>
          <w:highlight w:val="none"/>
        </w:rPr>
      </w:pPr>
      <w:r>
        <w:rPr>
          <w:rFonts w:hint="eastAsia" w:ascii="仿宋" w:hAnsi="仿宋" w:eastAsia="仿宋" w:cs="仿宋"/>
          <w:b w:val="0"/>
          <w:bCs w:val="0"/>
          <w:color w:val="auto"/>
          <w:sz w:val="44"/>
          <w:szCs w:val="44"/>
          <w:highlight w:val="none"/>
        </w:rPr>
        <w:t>结清承诺书</w:t>
      </w:r>
    </w:p>
    <w:p w14:paraId="5013C929">
      <w:pPr>
        <w:pStyle w:val="4"/>
        <w:spacing w:before="97" w:line="222" w:lineRule="auto"/>
        <w:ind w:left="23"/>
        <w:rPr>
          <w:color w:val="auto"/>
          <w:sz w:val="28"/>
          <w:szCs w:val="28"/>
          <w:highlight w:val="none"/>
        </w:rPr>
      </w:pPr>
      <w:r>
        <w:rPr>
          <w:color w:val="auto"/>
          <w:spacing w:val="-2"/>
          <w:sz w:val="28"/>
          <w:szCs w:val="28"/>
          <w:highlight w:val="none"/>
        </w:rPr>
        <w:t>致：东莞市中泰建安工程有限公司</w:t>
      </w:r>
    </w:p>
    <w:p w14:paraId="45D7049F">
      <w:pPr>
        <w:pStyle w:val="4"/>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感谢贵司选择我司作为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项目的</w:t>
      </w:r>
      <w:r>
        <w:rPr>
          <w:rFonts w:hint="eastAsia" w:ascii="仿宋" w:hAnsi="仿宋" w:eastAsia="仿宋" w:cs="仿宋"/>
          <w:color w:val="auto"/>
          <w:kern w:val="2"/>
          <w:sz w:val="30"/>
          <w:szCs w:val="30"/>
          <w:highlight w:val="none"/>
          <w:u w:val="single"/>
          <w:lang w:val="en-US" w:eastAsia="zh-CN" w:bidi="ar-SA"/>
        </w:rPr>
        <w:t xml:space="preserve">          （材料名称）</w:t>
      </w:r>
      <w:r>
        <w:rPr>
          <w:rFonts w:hint="eastAsia" w:ascii="仿宋" w:hAnsi="仿宋" w:eastAsia="仿宋" w:cs="仿宋"/>
          <w:color w:val="auto"/>
          <w:kern w:val="2"/>
          <w:sz w:val="30"/>
          <w:szCs w:val="30"/>
          <w:highlight w:val="none"/>
          <w:lang w:val="en-US" w:eastAsia="zh-CN" w:bidi="ar-SA"/>
        </w:rPr>
        <w:t xml:space="preserve">  供应商，履约期间的</w:t>
      </w:r>
      <w:r>
        <w:rPr>
          <w:rFonts w:hint="eastAsia" w:cs="仿宋"/>
          <w:color w:val="auto"/>
          <w:kern w:val="2"/>
          <w:sz w:val="30"/>
          <w:szCs w:val="30"/>
          <w:highlight w:val="none"/>
          <w:lang w:val="en-US" w:eastAsia="zh-CN" w:bidi="ar-SA"/>
        </w:rPr>
        <w:t>合同款</w:t>
      </w:r>
      <w:r>
        <w:rPr>
          <w:rFonts w:hint="eastAsia" w:ascii="仿宋" w:hAnsi="仿宋" w:eastAsia="仿宋" w:cs="仿宋"/>
          <w:color w:val="auto"/>
          <w:kern w:val="2"/>
          <w:sz w:val="30"/>
          <w:szCs w:val="30"/>
          <w:highlight w:val="none"/>
          <w:lang w:val="en-US" w:eastAsia="zh-CN" w:bidi="ar-SA"/>
        </w:rPr>
        <w:t>合计</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元，其中我司已收款项为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 待收款项</w:t>
      </w:r>
      <w:r>
        <w:rPr>
          <w:rFonts w:hint="eastAsia" w:cs="仿宋"/>
          <w:color w:val="auto"/>
          <w:kern w:val="2"/>
          <w:sz w:val="30"/>
          <w:szCs w:val="30"/>
          <w:highlight w:val="none"/>
          <w:lang w:val="en-US" w:eastAsia="zh-CN" w:bidi="ar-SA"/>
        </w:rPr>
        <w:t>（尾款）</w:t>
      </w:r>
      <w:r>
        <w:rPr>
          <w:rFonts w:hint="eastAsia" w:ascii="仿宋" w:hAnsi="仿宋" w:eastAsia="仿宋" w:cs="仿宋"/>
          <w:color w:val="auto"/>
          <w:kern w:val="2"/>
          <w:sz w:val="30"/>
          <w:szCs w:val="30"/>
          <w:highlight w:val="none"/>
          <w:lang w:val="en-US" w:eastAsia="zh-CN" w:bidi="ar-SA"/>
        </w:rPr>
        <w:t>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w:t>
      </w:r>
    </w:p>
    <w:p w14:paraId="2DBBE23D">
      <w:pPr>
        <w:pStyle w:val="4"/>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现我司在此确认并郑重承诺：收到贵司支付的</w:t>
      </w:r>
      <w:r>
        <w:rPr>
          <w:rFonts w:hint="eastAsia" w:cs="仿宋"/>
          <w:color w:val="auto"/>
          <w:kern w:val="2"/>
          <w:sz w:val="30"/>
          <w:szCs w:val="30"/>
          <w:highlight w:val="none"/>
          <w:lang w:val="en-US" w:eastAsia="zh-CN" w:bidi="ar-SA"/>
        </w:rPr>
        <w:t>上述</w:t>
      </w:r>
      <w:r>
        <w:rPr>
          <w:rFonts w:hint="eastAsia" w:ascii="仿宋" w:hAnsi="仿宋" w:eastAsia="仿宋" w:cs="仿宋"/>
          <w:color w:val="auto"/>
          <w:kern w:val="2"/>
          <w:sz w:val="30"/>
          <w:szCs w:val="30"/>
          <w:highlight w:val="none"/>
          <w:lang w:val="en-US" w:eastAsia="zh-CN" w:bidi="ar-SA"/>
        </w:rPr>
        <w:t>尾款</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w:t>
      </w:r>
      <w:r>
        <w:rPr>
          <w:rFonts w:hint="eastAsia" w:cs="仿宋"/>
          <w:color w:val="auto"/>
          <w:kern w:val="2"/>
          <w:sz w:val="30"/>
          <w:szCs w:val="30"/>
          <w:highlight w:val="none"/>
          <w:lang w:val="en-US" w:eastAsia="zh-CN" w:bidi="ar-SA"/>
        </w:rPr>
        <w:t>后</w:t>
      </w:r>
      <w:r>
        <w:rPr>
          <w:rFonts w:hint="eastAsia" w:ascii="仿宋" w:hAnsi="仿宋" w:eastAsia="仿宋" w:cs="仿宋"/>
          <w:color w:val="auto"/>
          <w:kern w:val="2"/>
          <w:sz w:val="30"/>
          <w:szCs w:val="30"/>
          <w:highlight w:val="none"/>
          <w:lang w:val="en-US" w:eastAsia="zh-CN" w:bidi="ar-SA"/>
        </w:rPr>
        <w:t>，该项目的</w:t>
      </w:r>
      <w:r>
        <w:rPr>
          <w:rFonts w:hint="eastAsia" w:ascii="仿宋" w:hAnsi="仿宋" w:eastAsia="仿宋" w:cs="仿宋"/>
          <w:color w:val="auto"/>
          <w:kern w:val="2"/>
          <w:sz w:val="30"/>
          <w:szCs w:val="30"/>
          <w:highlight w:val="none"/>
          <w:u w:val="single"/>
          <w:lang w:val="en-US" w:eastAsia="zh-CN" w:bidi="ar-SA"/>
        </w:rPr>
        <w:t>（材料名称）</w:t>
      </w:r>
      <w:r>
        <w:rPr>
          <w:rFonts w:hint="eastAsia" w:ascii="仿宋" w:hAnsi="仿宋" w:eastAsia="仿宋" w:cs="仿宋"/>
          <w:color w:val="auto"/>
          <w:kern w:val="2"/>
          <w:sz w:val="30"/>
          <w:szCs w:val="30"/>
          <w:highlight w:val="none"/>
          <w:lang w:val="en-US" w:eastAsia="zh-CN" w:bidi="ar-SA"/>
        </w:rPr>
        <w:t>所涉及的</w:t>
      </w:r>
      <w:r>
        <w:rPr>
          <w:rFonts w:hint="eastAsia" w:cs="仿宋"/>
          <w:color w:val="auto"/>
          <w:kern w:val="2"/>
          <w:sz w:val="30"/>
          <w:szCs w:val="30"/>
          <w:highlight w:val="none"/>
          <w:lang w:val="en-US" w:eastAsia="zh-CN" w:bidi="ar-SA"/>
        </w:rPr>
        <w:t>材料费用等合同款</w:t>
      </w:r>
      <w:r>
        <w:rPr>
          <w:rFonts w:hint="eastAsia" w:ascii="仿宋" w:hAnsi="仿宋" w:eastAsia="仿宋" w:cs="仿宋"/>
          <w:color w:val="auto"/>
          <w:kern w:val="2"/>
          <w:sz w:val="30"/>
          <w:szCs w:val="30"/>
          <w:highlight w:val="none"/>
          <w:lang w:val="en-US" w:eastAsia="zh-CN" w:bidi="ar-SA"/>
        </w:rPr>
        <w:t>全部结清，我司合同中的所有权利全部消灭，我司将不再以任何理由、任何方式就该项目的合作向贵司提出任何权利主张或追索其他任何费用，同时我司相应的义务和责任按照合同执行。</w:t>
      </w:r>
    </w:p>
    <w:p w14:paraId="5611C6DB">
      <w:pPr>
        <w:pStyle w:val="4"/>
        <w:spacing w:before="50" w:line="223" w:lineRule="auto"/>
        <w:ind w:left="619"/>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特此</w:t>
      </w:r>
      <w:r>
        <w:rPr>
          <w:rFonts w:hint="eastAsia" w:cs="仿宋"/>
          <w:color w:val="auto"/>
          <w:kern w:val="2"/>
          <w:sz w:val="30"/>
          <w:szCs w:val="30"/>
          <w:highlight w:val="none"/>
          <w:lang w:val="en-US" w:eastAsia="zh-CN" w:bidi="ar-SA"/>
        </w:rPr>
        <w:t>承诺</w:t>
      </w:r>
      <w:r>
        <w:rPr>
          <w:rFonts w:hint="eastAsia" w:ascii="仿宋" w:hAnsi="仿宋" w:eastAsia="仿宋" w:cs="仿宋"/>
          <w:color w:val="auto"/>
          <w:kern w:val="2"/>
          <w:sz w:val="30"/>
          <w:szCs w:val="30"/>
          <w:highlight w:val="none"/>
          <w:lang w:val="en-US" w:eastAsia="zh-CN" w:bidi="ar-SA"/>
        </w:rPr>
        <w:t>！</w:t>
      </w:r>
    </w:p>
    <w:p w14:paraId="1E45FF64">
      <w:pPr>
        <w:spacing w:line="261" w:lineRule="auto"/>
        <w:rPr>
          <w:rFonts w:ascii="Arial"/>
          <w:color w:val="auto"/>
          <w:sz w:val="20"/>
          <w:szCs w:val="22"/>
          <w:highlight w:val="none"/>
        </w:rPr>
      </w:pPr>
    </w:p>
    <w:p w14:paraId="12C8CC0B">
      <w:pPr>
        <w:spacing w:line="261" w:lineRule="auto"/>
        <w:rPr>
          <w:rFonts w:ascii="Arial"/>
          <w:color w:val="auto"/>
          <w:sz w:val="20"/>
          <w:szCs w:val="22"/>
          <w:highlight w:val="none"/>
        </w:rPr>
      </w:pPr>
    </w:p>
    <w:p w14:paraId="15E55E7D">
      <w:pPr>
        <w:pStyle w:val="4"/>
        <w:spacing w:before="98" w:line="221" w:lineRule="auto"/>
        <w:ind w:firstLine="4658" w:firstLineChars="1700"/>
        <w:rPr>
          <w:color w:val="auto"/>
          <w:sz w:val="28"/>
          <w:szCs w:val="28"/>
          <w:highlight w:val="none"/>
        </w:rPr>
      </w:pPr>
      <w:r>
        <w:rPr>
          <w:color w:val="auto"/>
          <w:spacing w:val="-3"/>
          <w:sz w:val="28"/>
          <w:szCs w:val="28"/>
          <w:highlight w:val="none"/>
        </w:rPr>
        <w:t>承诺单位（盖章</w:t>
      </w:r>
      <w:r>
        <w:rPr>
          <w:color w:val="auto"/>
          <w:sz w:val="28"/>
          <w:szCs w:val="28"/>
          <w:highlight w:val="none"/>
        </w:rPr>
        <w:t>）：</w:t>
      </w:r>
    </w:p>
    <w:p w14:paraId="291BB995">
      <w:pPr>
        <w:pStyle w:val="4"/>
        <w:spacing w:before="265" w:line="222" w:lineRule="auto"/>
        <w:jc w:val="center"/>
        <w:rPr>
          <w:color w:val="auto"/>
          <w:sz w:val="28"/>
          <w:szCs w:val="28"/>
          <w:highlight w:val="none"/>
        </w:rPr>
      </w:pPr>
      <w:r>
        <w:rPr>
          <w:rFonts w:hint="eastAsia"/>
          <w:color w:val="auto"/>
          <w:spacing w:val="-35"/>
          <w:sz w:val="28"/>
          <w:szCs w:val="28"/>
          <w:highlight w:val="none"/>
          <w:lang w:val="en-US" w:eastAsia="zh-CN"/>
        </w:rPr>
        <w:t xml:space="preserve">                                               </w:t>
      </w:r>
      <w:r>
        <w:rPr>
          <w:color w:val="auto"/>
          <w:spacing w:val="-35"/>
          <w:sz w:val="28"/>
          <w:szCs w:val="28"/>
          <w:highlight w:val="none"/>
        </w:rPr>
        <w:t>日</w:t>
      </w:r>
      <w:r>
        <w:rPr>
          <w:rFonts w:hint="eastAsia" w:ascii="仿宋" w:hAnsi="仿宋" w:eastAsia="仿宋" w:cs="仿宋"/>
          <w:color w:val="auto"/>
          <w:kern w:val="2"/>
          <w:sz w:val="28"/>
          <w:szCs w:val="28"/>
          <w:highlight w:val="none"/>
          <w:lang w:val="en-US" w:eastAsia="zh-CN" w:bidi="ar-SA"/>
        </w:rPr>
        <w:t xml:space="preserve">   期 ：</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年</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 xml:space="preserve"> 月  日</w:t>
      </w:r>
    </w:p>
    <w:p w14:paraId="06BA250E">
      <w:pPr>
        <w:spacing w:line="281" w:lineRule="auto"/>
        <w:rPr>
          <w:rFonts w:ascii="Arial"/>
          <w:color w:val="auto"/>
          <w:sz w:val="20"/>
          <w:szCs w:val="22"/>
          <w:highlight w:val="none"/>
        </w:rPr>
      </w:pPr>
    </w:p>
    <w:p w14:paraId="4690C419">
      <w:pPr>
        <w:spacing w:line="281" w:lineRule="auto"/>
        <w:rPr>
          <w:rFonts w:ascii="Arial"/>
          <w:color w:val="auto"/>
          <w:sz w:val="20"/>
          <w:szCs w:val="22"/>
          <w:highlight w:val="none"/>
        </w:rPr>
      </w:pPr>
    </w:p>
    <w:p w14:paraId="6D87BA42">
      <w:pPr>
        <w:spacing w:line="281" w:lineRule="auto"/>
        <w:rPr>
          <w:rFonts w:ascii="Arial"/>
          <w:color w:val="auto"/>
          <w:sz w:val="20"/>
          <w:szCs w:val="22"/>
          <w:highlight w:val="none"/>
        </w:rPr>
      </w:pPr>
      <w:r>
        <w:rPr>
          <w:color w:val="auto"/>
          <w:sz w:val="20"/>
          <w:szCs w:val="22"/>
          <w:highlight w:val="none"/>
        </w:rPr>
        <mc:AlternateContent>
          <mc:Choice Requires="wps">
            <w:drawing>
              <wp:anchor distT="0" distB="0" distL="114300" distR="114300" simplePos="0" relativeHeight="251664384" behindDoc="0" locked="0" layoutInCell="1" allowOverlap="1">
                <wp:simplePos x="0" y="0"/>
                <wp:positionH relativeFrom="column">
                  <wp:posOffset>4445</wp:posOffset>
                </wp:positionH>
                <wp:positionV relativeFrom="paragraph">
                  <wp:posOffset>29210</wp:posOffset>
                </wp:positionV>
                <wp:extent cx="6330950" cy="9525"/>
                <wp:effectExtent l="0" t="0" r="0" b="0"/>
                <wp:wrapNone/>
                <wp:docPr id="8" name="任意多边形 8"/>
                <wp:cNvGraphicFramePr/>
                <a:graphic xmlns:a="http://schemas.openxmlformats.org/drawingml/2006/main">
                  <a:graphicData uri="http://schemas.microsoft.com/office/word/2010/wordprocessingShape">
                    <wps:wsp>
                      <wps:cNvSpPr/>
                      <wps:spPr>
                        <a:xfrm>
                          <a:off x="0" y="0"/>
                          <a:ext cx="6330950" cy="9525"/>
                        </a:xfrm>
                        <a:custGeom>
                          <a:avLst/>
                          <a:gdLst/>
                          <a:ahLst/>
                          <a:cxnLst/>
                          <a:pathLst>
                            <a:path w="9970" h="15">
                              <a:moveTo>
                                <a:pt x="0" y="7"/>
                              </a:moveTo>
                              <a:lnTo>
                                <a:pt x="9969" y="7"/>
                              </a:lnTo>
                            </a:path>
                          </a:pathLst>
                        </a:custGeom>
                        <a:noFill/>
                        <a:ln w="9144"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35pt;margin-top:2.3pt;height:0.75pt;width:498.5pt;z-index:251664384;mso-width-relative:page;mso-height-relative:page;" filled="f" stroked="t" coordsize="9970,15" o:gfxdata="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Wo3v7UAAAABAEAAA8AAAAAAAAAAQAgAAAAIgAAAGRycy9kb3du&#10;cmV2LnhtbFBLAQIUABQAAAAIAIdO4kD1boBkPAIAAJUEAAAOAAAAAAAAAAEAIAAAACMBAABkcnMv&#10;ZTJvRG9jLnhtbFBLBQYAAAAABgAGAFkBAADRBQAAAAA=&#10;" path="m0,7l9969,7e">
                <v:fill on="f" focussize="0,0"/>
                <v:stroke weight="0.72pt" color="#000000" joinstyle="bevel" dashstyle="dash"/>
                <v:imagedata o:title=""/>
                <o:lock v:ext="edit" aspectratio="f"/>
              </v:shape>
            </w:pict>
          </mc:Fallback>
        </mc:AlternateContent>
      </w:r>
    </w:p>
    <w:p w14:paraId="359DC274">
      <w:pPr>
        <w:pStyle w:val="4"/>
        <w:spacing w:before="98" w:line="222" w:lineRule="auto"/>
        <w:ind w:left="21"/>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使用说明：</w:t>
      </w:r>
    </w:p>
    <w:p w14:paraId="5C82ACBB">
      <w:pPr>
        <w:pStyle w:val="4"/>
        <w:spacing w:before="263" w:line="220" w:lineRule="auto"/>
        <w:ind w:left="32"/>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1、本费用结清声明仅适用于“材料类”的购销合同。</w:t>
      </w:r>
    </w:p>
    <w:p w14:paraId="21B83172">
      <w:pPr>
        <w:pStyle w:val="4"/>
        <w:spacing w:before="266" w:line="302" w:lineRule="auto"/>
        <w:ind w:left="25" w:right="14" w:hanging="11"/>
        <w:rPr>
          <w:rFonts w:hint="default" w:ascii="仿宋" w:hAnsi="仿宋" w:eastAsia="仿宋" w:cs="仿宋"/>
          <w:b/>
          <w:bCs/>
          <w:color w:val="auto"/>
          <w:sz w:val="44"/>
          <w:szCs w:val="40"/>
          <w:highlight w:val="none"/>
          <w:lang w:val="en-US" w:eastAsia="zh-CN"/>
        </w:rPr>
      </w:pPr>
      <w:r>
        <w:rPr>
          <w:rFonts w:hint="eastAsia" w:ascii="仿宋" w:hAnsi="仿宋" w:eastAsia="仿宋" w:cs="仿宋"/>
          <w:color w:val="auto"/>
          <w:kern w:val="2"/>
          <w:sz w:val="24"/>
          <w:szCs w:val="24"/>
          <w:highlight w:val="none"/>
          <w:u w:val="none"/>
          <w:lang w:val="en-US" w:eastAsia="zh-CN" w:bidi="ar-SA"/>
        </w:rPr>
        <w:t>2、承诺方须在“中泰建安”支付该合同最后一笔款前完成本承诺书签章，且原件交给“中泰建安”作为支付最后一笔款的前提条件。</w:t>
      </w:r>
    </w:p>
    <w:p w14:paraId="1E240B7F">
      <w:pPr>
        <w:jc w:val="both"/>
        <w:rPr>
          <w:rFonts w:hint="eastAsia" w:ascii="仿宋" w:hAnsi="仿宋" w:eastAsia="仿宋" w:cs="仿宋"/>
          <w:b/>
          <w:bCs/>
          <w:color w:val="auto"/>
          <w:sz w:val="44"/>
          <w:szCs w:val="44"/>
          <w:highlight w:val="none"/>
          <w:lang w:val="en-US" w:eastAsia="zh-CN"/>
        </w:rPr>
        <w:sectPr>
          <w:footerReference r:id="rId6" w:type="default"/>
          <w:pgSz w:w="11906" w:h="16838"/>
          <w:pgMar w:top="1247" w:right="1304" w:bottom="1304" w:left="1304" w:header="737" w:footer="624"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548DDAE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rPr>
          <w:rFonts w:hint="eastAsia" w:ascii="仿宋" w:hAnsi="仿宋" w:eastAsia="仿宋" w:cs="仿宋"/>
          <w:b/>
          <w:bCs/>
          <w:color w:val="auto"/>
          <w:sz w:val="30"/>
          <w:highlight w:val="none"/>
          <w:lang w:val="en-US" w:eastAsia="zh-CN"/>
        </w:rPr>
      </w:pPr>
      <w:r>
        <w:rPr>
          <w:rFonts w:hint="eastAsia" w:ascii="仿宋" w:hAnsi="仿宋" w:eastAsia="仿宋" w:cs="仿宋"/>
          <w:b/>
          <w:bCs/>
          <w:color w:val="auto"/>
          <w:sz w:val="44"/>
          <w:szCs w:val="40"/>
          <w:highlight w:val="none"/>
          <w:lang w:val="en-US" w:eastAsia="zh-CN"/>
        </w:rPr>
        <w:t>附件二</w:t>
      </w:r>
    </w:p>
    <w:p w14:paraId="32536F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p>
    <w:p w14:paraId="04B8BF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p>
    <w:p w14:paraId="272319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延 迟 付 款 声 明 函</w:t>
      </w:r>
    </w:p>
    <w:p w14:paraId="76904D7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30"/>
          <w:szCs w:val="30"/>
          <w:highlight w:val="none"/>
          <w:lang w:val="en-US" w:eastAsia="zh-CN"/>
        </w:rPr>
      </w:pPr>
    </w:p>
    <w:p w14:paraId="79FADA95">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致东莞市中泰建安工程有限公司：</w:t>
      </w:r>
    </w:p>
    <w:p w14:paraId="5620FFDA">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u w:val="single"/>
          <w:lang w:val="en-US" w:eastAsia="zh-CN"/>
        </w:rPr>
        <w:t>对  年  月  日至  年  月  日送至贵司           项目/工程名称的     材料/设备（材料签收单单号：          ，货款金额：￥       元）</w:t>
      </w:r>
      <w:r>
        <w:rPr>
          <w:rFonts w:hint="eastAsia" w:ascii="仿宋" w:hAnsi="仿宋" w:eastAsia="仿宋" w:cs="仿宋"/>
          <w:color w:val="auto"/>
          <w:sz w:val="30"/>
          <w:szCs w:val="30"/>
          <w:highlight w:val="none"/>
          <w:u w:val="none"/>
          <w:lang w:val="en-US" w:eastAsia="zh-CN"/>
        </w:rPr>
        <w:t>，因</w:t>
      </w:r>
      <w:r>
        <w:rPr>
          <w:rFonts w:hint="eastAsia" w:ascii="仿宋" w:hAnsi="仿宋" w:eastAsia="仿宋" w:cs="仿宋"/>
          <w:color w:val="auto"/>
          <w:sz w:val="30"/>
          <w:szCs w:val="30"/>
          <w:highlight w:val="none"/>
          <w:lang w:val="en-US" w:eastAsia="zh-CN"/>
        </w:rPr>
        <w:t>我司</w:t>
      </w:r>
      <w:r>
        <w:rPr>
          <w:rFonts w:hint="eastAsia" w:ascii="仿宋" w:hAnsi="仿宋" w:eastAsia="仿宋" w:cs="仿宋"/>
          <w:color w:val="auto"/>
          <w:sz w:val="30"/>
          <w:szCs w:val="30"/>
          <w:highlight w:val="none"/>
          <w:u w:val="none"/>
          <w:lang w:val="en-US" w:eastAsia="zh-CN"/>
        </w:rPr>
        <w:t>原因导致无法</w:t>
      </w:r>
      <w:r>
        <w:rPr>
          <w:rFonts w:hint="eastAsia" w:ascii="仿宋" w:hAnsi="仿宋" w:eastAsia="仿宋" w:cs="仿宋"/>
          <w:color w:val="auto"/>
          <w:sz w:val="30"/>
          <w:szCs w:val="30"/>
          <w:highlight w:val="none"/>
          <w:lang w:val="en-US" w:eastAsia="zh-CN"/>
        </w:rPr>
        <w:t>按照贵我双方合同约定的时限与贵司完成对账并确定相应金额,属我司责任，与贵司无关。我司自愿接受按照合同约定延期收取该款项（即贵司有权延期付款），我司承担因此导致的所有责任和损失。</w:t>
      </w:r>
    </w:p>
    <w:p w14:paraId="38C72B56">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eastAsia" w:ascii="仿宋" w:hAnsi="仿宋" w:eastAsia="仿宋" w:cs="仿宋"/>
          <w:color w:val="auto"/>
          <w:highlight w:val="none"/>
          <w:lang w:val="en-US" w:eastAsia="zh-CN"/>
        </w:rPr>
      </w:pPr>
      <w:r>
        <w:rPr>
          <w:rFonts w:hint="eastAsia" w:ascii="仿宋" w:hAnsi="仿宋" w:eastAsia="仿宋" w:cs="仿宋"/>
          <w:color w:val="auto"/>
          <w:sz w:val="30"/>
          <w:szCs w:val="30"/>
          <w:highlight w:val="none"/>
          <w:lang w:val="en-US" w:eastAsia="zh-CN"/>
        </w:rPr>
        <w:t>特此声明。</w:t>
      </w:r>
    </w:p>
    <w:p w14:paraId="1F3DC57A">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both"/>
        <w:textAlignment w:val="auto"/>
        <w:rPr>
          <w:rFonts w:hint="eastAsia" w:ascii="仿宋" w:hAnsi="仿宋" w:eastAsia="仿宋" w:cs="仿宋"/>
          <w:color w:val="auto"/>
          <w:highlight w:val="none"/>
          <w:lang w:val="en-US" w:eastAsia="zh-CN"/>
        </w:rPr>
      </w:pPr>
    </w:p>
    <w:p w14:paraId="4DE5358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highlight w:val="none"/>
          <w:lang w:val="en-US" w:eastAsia="zh-CN"/>
        </w:rPr>
      </w:pPr>
    </w:p>
    <w:p w14:paraId="46355A54">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highlight w:val="none"/>
          <w:lang w:val="en-US" w:eastAsia="zh-CN"/>
        </w:rPr>
      </w:pPr>
    </w:p>
    <w:p w14:paraId="2F8A734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highlight w:val="none"/>
          <w:lang w:val="en-US" w:eastAsia="zh-CN"/>
        </w:rPr>
      </w:pPr>
    </w:p>
    <w:p w14:paraId="1BDC33C1">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声明单位：</w:t>
      </w:r>
    </w:p>
    <w:p w14:paraId="15DA9B3A">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负责人：</w:t>
      </w:r>
    </w:p>
    <w:p w14:paraId="6735A65E">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righ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（加盖公章及法定代表人或授权代表签字）     </w:t>
      </w:r>
    </w:p>
    <w:p w14:paraId="1B7192C2">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年   月   日</w:t>
      </w:r>
    </w:p>
    <w:p w14:paraId="31D6F10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35EEF64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8F1C3A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F27292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0A6B77D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21B6667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5CE0B413">
      <w:pPr>
        <w:keepNext/>
        <w:keepLines/>
        <w:widowControl w:val="0"/>
        <w:spacing w:before="120"/>
        <w:jc w:val="right"/>
        <w:outlineLvl w:val="0"/>
        <w:rPr>
          <w:rFonts w:hint="eastAsia" w:ascii="仿宋" w:hAnsi="仿宋" w:eastAsia="仿宋" w:cs="仿宋"/>
          <w:color w:val="auto"/>
          <w:highlight w:val="none"/>
        </w:rPr>
      </w:pPr>
      <w:bookmarkStart w:id="153" w:name="_Toc24436"/>
      <w:r>
        <w:rPr>
          <w:rFonts w:hint="eastAsia" w:ascii="仿宋" w:hAnsi="仿宋" w:eastAsia="仿宋" w:cs="仿宋"/>
          <w:b/>
          <w:bCs/>
          <w:color w:val="auto"/>
          <w:kern w:val="2"/>
          <w:sz w:val="44"/>
          <w:szCs w:val="48"/>
          <w:highlight w:val="none"/>
          <w:lang w:val="en-US" w:eastAsia="zh-CN" w:bidi="ar-SA"/>
        </w:rPr>
        <w:t>附件三</w:t>
      </w:r>
      <w:bookmarkEnd w:id="153"/>
    </w:p>
    <w:p w14:paraId="193A4393">
      <w:pPr>
        <w:tabs>
          <w:tab w:val="left" w:pos="720"/>
        </w:tabs>
        <w:adjustRightInd w:val="0"/>
        <w:snapToGrid w:val="0"/>
        <w:spacing w:line="360" w:lineRule="auto"/>
        <w:ind w:left="482" w:hanging="663" w:hangingChars="150"/>
        <w:jc w:val="center"/>
        <w:rPr>
          <w:rFonts w:hint="eastAsia" w:ascii="仿宋" w:hAnsi="仿宋" w:eastAsia="仿宋" w:cs="仿宋"/>
          <w:b/>
          <w:bCs w:val="0"/>
          <w:color w:val="auto"/>
          <w:sz w:val="44"/>
          <w:szCs w:val="44"/>
          <w:highlight w:val="none"/>
        </w:rPr>
      </w:pPr>
      <w:r>
        <w:rPr>
          <w:rFonts w:hint="eastAsia" w:ascii="仿宋" w:hAnsi="仿宋" w:eastAsia="仿宋" w:cs="仿宋"/>
          <w:b/>
          <w:bCs w:val="0"/>
          <w:color w:val="auto"/>
          <w:sz w:val="44"/>
          <w:szCs w:val="44"/>
          <w:highlight w:val="none"/>
        </w:rPr>
        <w:t>材料款申报</w:t>
      </w:r>
      <w:r>
        <w:rPr>
          <w:rFonts w:hint="eastAsia" w:ascii="仿宋" w:hAnsi="仿宋" w:eastAsia="仿宋" w:cs="仿宋"/>
          <w:b/>
          <w:bCs w:val="0"/>
          <w:color w:val="auto"/>
          <w:sz w:val="44"/>
          <w:szCs w:val="44"/>
          <w:highlight w:val="none"/>
          <w:lang w:val="en-US" w:eastAsia="zh-CN"/>
        </w:rPr>
        <w:t>审批</w:t>
      </w:r>
      <w:r>
        <w:rPr>
          <w:rFonts w:hint="eastAsia" w:ascii="仿宋" w:hAnsi="仿宋" w:eastAsia="仿宋" w:cs="仿宋"/>
          <w:b/>
          <w:bCs w:val="0"/>
          <w:color w:val="auto"/>
          <w:sz w:val="44"/>
          <w:szCs w:val="44"/>
          <w:highlight w:val="none"/>
        </w:rPr>
        <w:t>表</w:t>
      </w:r>
    </w:p>
    <w:tbl>
      <w:tblPr>
        <w:tblStyle w:val="12"/>
        <w:tblW w:w="0" w:type="auto"/>
        <w:tblInd w:w="5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3402"/>
        <w:gridCol w:w="1276"/>
        <w:gridCol w:w="3423"/>
      </w:tblGrid>
      <w:tr w14:paraId="798BF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val="0"/>
            <w:vAlign w:val="top"/>
          </w:tcPr>
          <w:p w14:paraId="4F6A3A97">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工程名称</w:t>
            </w:r>
          </w:p>
        </w:tc>
        <w:tc>
          <w:tcPr>
            <w:tcW w:w="3402" w:type="dxa"/>
            <w:noWrap w:val="0"/>
            <w:vAlign w:val="top"/>
          </w:tcPr>
          <w:p w14:paraId="4DC8A8E8">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1168DB87">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合同名称</w:t>
            </w:r>
          </w:p>
        </w:tc>
        <w:tc>
          <w:tcPr>
            <w:tcW w:w="3423" w:type="dxa"/>
            <w:noWrap w:val="0"/>
            <w:vAlign w:val="top"/>
          </w:tcPr>
          <w:p w14:paraId="745E1E1E">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086A5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val="0"/>
            <w:vAlign w:val="top"/>
          </w:tcPr>
          <w:p w14:paraId="422EB10C">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供货单位</w:t>
            </w:r>
          </w:p>
        </w:tc>
        <w:tc>
          <w:tcPr>
            <w:tcW w:w="3402" w:type="dxa"/>
            <w:noWrap w:val="0"/>
            <w:vAlign w:val="top"/>
          </w:tcPr>
          <w:p w14:paraId="225279E4">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13EA4291">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合同编号</w:t>
            </w:r>
          </w:p>
        </w:tc>
        <w:tc>
          <w:tcPr>
            <w:tcW w:w="3423" w:type="dxa"/>
            <w:noWrap w:val="0"/>
            <w:vAlign w:val="top"/>
          </w:tcPr>
          <w:p w14:paraId="4DC5441B">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71812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7" w:hRule="atLeast"/>
        </w:trPr>
        <w:tc>
          <w:tcPr>
            <w:tcW w:w="9377" w:type="dxa"/>
            <w:gridSpan w:val="4"/>
            <w:noWrap w:val="0"/>
            <w:vAlign w:val="top"/>
          </w:tcPr>
          <w:p w14:paraId="7A1C2734">
            <w:pPr>
              <w:tabs>
                <w:tab w:val="left" w:pos="720"/>
              </w:tabs>
              <w:adjustRightInd w:val="0"/>
              <w:snapToGrid w:val="0"/>
              <w:spacing w:line="360" w:lineRule="auto"/>
              <w:ind w:firstLine="120" w:firstLineChars="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材料申报内容：</w:t>
            </w:r>
          </w:p>
          <w:p w14:paraId="4A765757">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1375864A">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637CFA7">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BF1BCA1">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供货单位（章）：</w:t>
            </w:r>
          </w:p>
          <w:p w14:paraId="690836AE">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供货单位负责人：</w:t>
            </w:r>
          </w:p>
        </w:tc>
      </w:tr>
      <w:tr w14:paraId="49D22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9377" w:type="dxa"/>
            <w:gridSpan w:val="4"/>
            <w:noWrap w:val="0"/>
            <w:vAlign w:val="top"/>
          </w:tcPr>
          <w:p w14:paraId="28D13CC4">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仓管员①/经办人审核意见：</w:t>
            </w:r>
          </w:p>
          <w:p w14:paraId="3386D221">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p>
          <w:p w14:paraId="007F044E">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472DF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9377" w:type="dxa"/>
            <w:gridSpan w:val="4"/>
            <w:noWrap w:val="0"/>
            <w:vAlign w:val="top"/>
          </w:tcPr>
          <w:p w14:paraId="241CD40F">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仓管员②审核意见：</w:t>
            </w:r>
          </w:p>
          <w:p w14:paraId="33524E24">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20B7CEE">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 </w:t>
            </w:r>
          </w:p>
        </w:tc>
      </w:tr>
      <w:tr w14:paraId="20A56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9377" w:type="dxa"/>
            <w:gridSpan w:val="4"/>
            <w:noWrap w:val="0"/>
            <w:vAlign w:val="top"/>
          </w:tcPr>
          <w:p w14:paraId="6963B06C">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项目成本管理员审核意见：</w:t>
            </w:r>
          </w:p>
          <w:p w14:paraId="12B81FA2">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52A02D80">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46A2A3A">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1B73B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trPr>
        <w:tc>
          <w:tcPr>
            <w:tcW w:w="9377" w:type="dxa"/>
            <w:gridSpan w:val="4"/>
            <w:noWrap w:val="0"/>
            <w:vAlign w:val="top"/>
          </w:tcPr>
          <w:p w14:paraId="08ECB619">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项目经理审核意见：</w:t>
            </w:r>
          </w:p>
          <w:p w14:paraId="652723EB">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E5A5FD6">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4FECF339">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bl>
    <w:p w14:paraId="309D2216">
      <w:pPr>
        <w:tabs>
          <w:tab w:val="left" w:pos="720"/>
        </w:tabs>
        <w:adjustRightInd w:val="0"/>
        <w:snapToGrid w:val="0"/>
        <w:spacing w:line="360" w:lineRule="auto"/>
        <w:ind w:left="-630" w:leftChars="-300" w:right="-630" w:rightChars="-300" w:firstLine="1049" w:firstLineChars="583"/>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填表要求：1、此表由</w:t>
      </w:r>
      <w:r>
        <w:rPr>
          <w:rFonts w:hint="eastAsia" w:ascii="仿宋" w:hAnsi="仿宋" w:eastAsia="仿宋" w:cs="仿宋"/>
          <w:b w:val="0"/>
          <w:bCs/>
          <w:color w:val="auto"/>
          <w:sz w:val="18"/>
          <w:szCs w:val="18"/>
          <w:highlight w:val="none"/>
          <w:lang w:val="en-US" w:eastAsia="zh-CN"/>
        </w:rPr>
        <w:t>乙方</w:t>
      </w:r>
      <w:r>
        <w:rPr>
          <w:rFonts w:hint="eastAsia" w:ascii="仿宋" w:hAnsi="仿宋" w:eastAsia="仿宋" w:cs="仿宋"/>
          <w:b w:val="0"/>
          <w:bCs/>
          <w:color w:val="auto"/>
          <w:sz w:val="18"/>
          <w:szCs w:val="18"/>
          <w:highlight w:val="none"/>
        </w:rPr>
        <w:t>发起，如实填写，不允许涂改，如有涂改或虚报，此表无效。</w:t>
      </w:r>
    </w:p>
    <w:p w14:paraId="3BAEBD22">
      <w:pPr>
        <w:numPr>
          <w:ilvl w:val="0"/>
          <w:numId w:val="7"/>
        </w:numPr>
        <w:tabs>
          <w:tab w:val="left" w:pos="720"/>
        </w:tabs>
        <w:adjustRightInd w:val="0"/>
        <w:snapToGrid w:val="0"/>
        <w:spacing w:line="360" w:lineRule="auto"/>
        <w:ind w:left="-315" w:leftChars="-150" w:right="-630" w:rightChars="-300" w:firstLine="1575" w:firstLineChars="875"/>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此确认表作为向</w:t>
      </w:r>
      <w:r>
        <w:rPr>
          <w:rFonts w:hint="eastAsia" w:ascii="仿宋" w:hAnsi="仿宋" w:eastAsia="仿宋" w:cs="仿宋"/>
          <w:b w:val="0"/>
          <w:bCs/>
          <w:color w:val="auto"/>
          <w:sz w:val="18"/>
          <w:szCs w:val="18"/>
          <w:highlight w:val="none"/>
          <w:lang w:val="en-US" w:eastAsia="zh-CN"/>
        </w:rPr>
        <w:t>中泰建安</w:t>
      </w:r>
      <w:r>
        <w:rPr>
          <w:rFonts w:hint="eastAsia" w:ascii="仿宋" w:hAnsi="仿宋" w:eastAsia="仿宋" w:cs="仿宋"/>
          <w:b w:val="0"/>
          <w:bCs/>
          <w:color w:val="auto"/>
          <w:sz w:val="18"/>
          <w:szCs w:val="18"/>
          <w:highlight w:val="none"/>
        </w:rPr>
        <w:t>公司申报款项支付审批单的附件。</w:t>
      </w:r>
    </w:p>
    <w:p w14:paraId="1D5B213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267CA21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仿宋" w:hAnsi="仿宋" w:eastAsia="仿宋" w:cs="仿宋"/>
          <w:b/>
          <w:bCs/>
          <w:color w:val="auto"/>
          <w:sz w:val="30"/>
          <w:highlight w:val="none"/>
          <w:lang w:val="en-US" w:eastAsia="zh-CN"/>
        </w:rPr>
      </w:pPr>
    </w:p>
    <w:p w14:paraId="6243213F">
      <w:pPr>
        <w:jc w:val="right"/>
        <w:rPr>
          <w:rFonts w:hint="eastAsia" w:ascii="仿宋" w:hAnsi="仿宋" w:eastAsia="仿宋" w:cs="仿宋"/>
          <w:b/>
          <w:bCs/>
          <w:color w:val="auto"/>
          <w:sz w:val="44"/>
          <w:szCs w:val="44"/>
          <w:highlight w:val="none"/>
          <w:lang w:val="en-US" w:eastAsia="zh-CN"/>
        </w:rPr>
      </w:pPr>
    </w:p>
    <w:p w14:paraId="57473033">
      <w:pPr>
        <w:widowControl w:val="0"/>
        <w:numPr>
          <w:ilvl w:val="0"/>
          <w:numId w:val="0"/>
        </w:numPr>
        <w:tabs>
          <w:tab w:val="left" w:pos="720"/>
        </w:tabs>
        <w:adjustRightInd w:val="0"/>
        <w:snapToGrid w:val="0"/>
        <w:spacing w:line="360" w:lineRule="auto"/>
        <w:ind w:right="-630" w:rightChars="-300"/>
        <w:jc w:val="left"/>
        <w:rPr>
          <w:rFonts w:hint="eastAsia" w:ascii="仿宋" w:hAnsi="仿宋" w:eastAsia="仿宋" w:cs="仿宋"/>
          <w:b w:val="0"/>
          <w:bCs/>
          <w:color w:val="auto"/>
          <w:sz w:val="18"/>
          <w:szCs w:val="18"/>
          <w:highlight w:val="none"/>
        </w:rPr>
      </w:pP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6"/>
        <w:gridCol w:w="1483"/>
        <w:gridCol w:w="1116"/>
        <w:gridCol w:w="1116"/>
        <w:gridCol w:w="1569"/>
        <w:gridCol w:w="2017"/>
        <w:gridCol w:w="1116"/>
        <w:gridCol w:w="1148"/>
      </w:tblGrid>
      <w:tr w14:paraId="46EFD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nil"/>
              <w:left w:val="nil"/>
              <w:bottom w:val="nil"/>
              <w:right w:val="nil"/>
            </w:tcBorders>
            <w:noWrap/>
            <w:vAlign w:val="center"/>
          </w:tcPr>
          <w:p w14:paraId="31ABCD3A">
            <w:pPr>
              <w:keepNext w:val="0"/>
              <w:keepLines w:val="0"/>
              <w:widowControl/>
              <w:suppressLineNumbers w:val="0"/>
              <w:jc w:val="right"/>
              <w:textAlignment w:val="center"/>
              <w:rPr>
                <w:rFonts w:hint="eastAsia" w:ascii="仿宋" w:hAnsi="仿宋" w:eastAsia="仿宋" w:cs="仿宋"/>
                <w:b/>
                <w:bCs/>
                <w:i w:val="0"/>
                <w:iCs w:val="0"/>
                <w:color w:val="auto"/>
                <w:kern w:val="0"/>
                <w:sz w:val="44"/>
                <w:szCs w:val="44"/>
                <w:highlight w:val="none"/>
                <w:u w:val="none"/>
                <w:lang w:val="en-US" w:eastAsia="zh-CN" w:bidi="ar"/>
              </w:rPr>
            </w:pPr>
            <w:r>
              <w:rPr>
                <w:rFonts w:hint="eastAsia" w:ascii="仿宋" w:hAnsi="仿宋" w:eastAsia="仿宋" w:cs="仿宋"/>
                <w:b/>
                <w:bCs/>
                <w:i w:val="0"/>
                <w:iCs w:val="0"/>
                <w:color w:val="auto"/>
                <w:kern w:val="0"/>
                <w:sz w:val="44"/>
                <w:szCs w:val="44"/>
                <w:highlight w:val="none"/>
                <w:u w:val="none"/>
                <w:lang w:val="en-US" w:eastAsia="zh-CN" w:bidi="ar"/>
              </w:rPr>
              <w:t>附件四</w:t>
            </w:r>
          </w:p>
          <w:p w14:paraId="7325ADA1">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44"/>
                <w:szCs w:val="44"/>
                <w:highlight w:val="none"/>
                <w:u w:val="none"/>
                <w:lang w:val="en-US" w:eastAsia="zh-CN" w:bidi="ar"/>
              </w:rPr>
              <w:t>款项支付台账</w:t>
            </w:r>
          </w:p>
        </w:tc>
      </w:tr>
      <w:tr w14:paraId="29F17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3FB45F5B">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项目名称：</w:t>
            </w:r>
          </w:p>
        </w:tc>
      </w:tr>
      <w:tr w14:paraId="7E8CA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105B009E">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合同名称：</w:t>
            </w:r>
          </w:p>
        </w:tc>
      </w:tr>
      <w:tr w14:paraId="4BA91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6ACBB4F0">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付款公司名称：东莞市中泰建安工程有限公司</w:t>
            </w:r>
          </w:p>
        </w:tc>
      </w:tr>
      <w:tr w14:paraId="176DE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44D6AA2F">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序号</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14:paraId="247DE0DE">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收/付款日期</w:t>
            </w:r>
          </w:p>
          <w:p w14:paraId="4D710FB6">
            <w:pPr>
              <w:keepNext w:val="0"/>
              <w:keepLines w:val="0"/>
              <w:widowControl/>
              <w:suppressLineNumbers w:val="0"/>
              <w:jc w:val="center"/>
              <w:textAlignment w:val="center"/>
              <w:rPr>
                <w:rFonts w:hint="eastAsia" w:ascii="仿宋" w:hAnsi="仿宋" w:eastAsia="仿宋" w:cs="仿宋"/>
                <w:i w:val="0"/>
                <w:iCs w:val="0"/>
                <w:color w:val="auto"/>
                <w:kern w:val="0"/>
                <w:sz w:val="21"/>
                <w:szCs w:val="21"/>
                <w:highlight w:val="none"/>
                <w:u w:val="none"/>
                <w:lang w:val="en-US" w:eastAsia="zh-CN" w:bidi="ar"/>
              </w:rPr>
            </w:pPr>
          </w:p>
          <w:p w14:paraId="015417D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（年/月）</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15BF17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发票代码</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92AF98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发票号码</w:t>
            </w: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BD6D4C8">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当期应付金额</w:t>
            </w: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C34037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已支付金额</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14B659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未付金额</w:t>
            </w: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0955D4C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付款内容</w:t>
            </w:r>
          </w:p>
        </w:tc>
      </w:tr>
      <w:tr w14:paraId="66165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59AD976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21E29ECA">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9A9D21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6DAD310">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7B63CF2F">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7DA84BFF">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DF1EE09">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4014998C">
            <w:pPr>
              <w:jc w:val="center"/>
              <w:rPr>
                <w:rFonts w:hint="eastAsia" w:ascii="仿宋" w:hAnsi="仿宋" w:eastAsia="仿宋" w:cs="仿宋"/>
                <w:i w:val="0"/>
                <w:iCs w:val="0"/>
                <w:color w:val="auto"/>
                <w:sz w:val="22"/>
                <w:szCs w:val="22"/>
                <w:highlight w:val="none"/>
                <w:u w:val="none"/>
              </w:rPr>
            </w:pPr>
          </w:p>
        </w:tc>
      </w:tr>
      <w:tr w14:paraId="08542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48FEE43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40E3B6C5">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F6F9B7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1202A8A">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EB5BB64">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409CF0B2">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59B0186">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44055561">
            <w:pPr>
              <w:jc w:val="center"/>
              <w:rPr>
                <w:rFonts w:hint="eastAsia" w:ascii="仿宋" w:hAnsi="仿宋" w:eastAsia="仿宋" w:cs="仿宋"/>
                <w:i w:val="0"/>
                <w:iCs w:val="0"/>
                <w:color w:val="auto"/>
                <w:sz w:val="22"/>
                <w:szCs w:val="22"/>
                <w:highlight w:val="none"/>
                <w:u w:val="none"/>
              </w:rPr>
            </w:pPr>
          </w:p>
        </w:tc>
      </w:tr>
      <w:tr w14:paraId="6F72F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575DD6C8">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319E0DA3">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CEE13BF">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31C5D1C6">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43F78229">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041E48FD">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75A0E4C">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2322F4A4">
            <w:pPr>
              <w:jc w:val="center"/>
              <w:rPr>
                <w:rFonts w:hint="eastAsia" w:ascii="仿宋" w:hAnsi="仿宋" w:eastAsia="仿宋" w:cs="仿宋"/>
                <w:i w:val="0"/>
                <w:iCs w:val="0"/>
                <w:color w:val="auto"/>
                <w:sz w:val="22"/>
                <w:szCs w:val="22"/>
                <w:highlight w:val="none"/>
                <w:u w:val="none"/>
              </w:rPr>
            </w:pPr>
          </w:p>
        </w:tc>
      </w:tr>
      <w:tr w14:paraId="2BB04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740A6D8B">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11BE616C">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D632967">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DB39056">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1210EE1">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9CFE28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190DA95D">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115E4F8E">
            <w:pPr>
              <w:jc w:val="center"/>
              <w:rPr>
                <w:rFonts w:hint="eastAsia" w:ascii="仿宋" w:hAnsi="仿宋" w:eastAsia="仿宋" w:cs="仿宋"/>
                <w:i w:val="0"/>
                <w:iCs w:val="0"/>
                <w:color w:val="auto"/>
                <w:sz w:val="22"/>
                <w:szCs w:val="22"/>
                <w:highlight w:val="none"/>
                <w:u w:val="none"/>
              </w:rPr>
            </w:pPr>
          </w:p>
        </w:tc>
      </w:tr>
      <w:tr w14:paraId="6531C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368B517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17BCC396">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64DDF3E">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536E6C2">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0E0A2CEA">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9637C86">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2214AF1">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2B5D4FF7">
            <w:pPr>
              <w:jc w:val="center"/>
              <w:rPr>
                <w:rFonts w:hint="eastAsia" w:ascii="仿宋" w:hAnsi="仿宋" w:eastAsia="仿宋" w:cs="仿宋"/>
                <w:i w:val="0"/>
                <w:iCs w:val="0"/>
                <w:color w:val="auto"/>
                <w:sz w:val="22"/>
                <w:szCs w:val="22"/>
                <w:highlight w:val="none"/>
                <w:u w:val="none"/>
              </w:rPr>
            </w:pPr>
          </w:p>
        </w:tc>
      </w:tr>
      <w:tr w14:paraId="60F1F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135A6FC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7EA8C204">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F0D43FD">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75068CE">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235F19EA">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6F259DFA">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45A2AA1">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52E64F6E">
            <w:pPr>
              <w:jc w:val="center"/>
              <w:rPr>
                <w:rFonts w:hint="eastAsia" w:ascii="仿宋" w:hAnsi="仿宋" w:eastAsia="仿宋" w:cs="仿宋"/>
                <w:i w:val="0"/>
                <w:iCs w:val="0"/>
                <w:color w:val="auto"/>
                <w:sz w:val="22"/>
                <w:szCs w:val="22"/>
                <w:highlight w:val="none"/>
                <w:u w:val="none"/>
              </w:rPr>
            </w:pPr>
          </w:p>
        </w:tc>
      </w:tr>
      <w:tr w14:paraId="4690B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22" w:type="pct"/>
            <w:gridSpan w:val="2"/>
            <w:tcBorders>
              <w:top w:val="nil"/>
              <w:left w:val="nil"/>
              <w:bottom w:val="nil"/>
              <w:right w:val="nil"/>
            </w:tcBorders>
            <w:noWrap/>
            <w:vAlign w:val="center"/>
          </w:tcPr>
          <w:p w14:paraId="684FE76F">
            <w:pPr>
              <w:jc w:val="left"/>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制表人：</w:t>
            </w:r>
          </w:p>
        </w:tc>
        <w:tc>
          <w:tcPr>
            <w:tcW w:w="535" w:type="pct"/>
            <w:tcBorders>
              <w:top w:val="nil"/>
              <w:left w:val="nil"/>
              <w:bottom w:val="nil"/>
              <w:right w:val="nil"/>
            </w:tcBorders>
            <w:noWrap/>
            <w:vAlign w:val="center"/>
          </w:tcPr>
          <w:p w14:paraId="4A2D0C26">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24DFADE2">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36447588">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27DFC641">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制表日期：</w:t>
            </w:r>
          </w:p>
        </w:tc>
        <w:tc>
          <w:tcPr>
            <w:tcW w:w="535" w:type="pct"/>
            <w:tcBorders>
              <w:top w:val="nil"/>
              <w:left w:val="nil"/>
              <w:bottom w:val="nil"/>
              <w:right w:val="nil"/>
            </w:tcBorders>
            <w:noWrap/>
            <w:vAlign w:val="center"/>
          </w:tcPr>
          <w:p w14:paraId="0B76479A">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center"/>
          </w:tcPr>
          <w:p w14:paraId="2CD73262">
            <w:pPr>
              <w:jc w:val="center"/>
              <w:rPr>
                <w:rFonts w:hint="eastAsia" w:ascii="仿宋" w:hAnsi="仿宋" w:eastAsia="仿宋" w:cs="仿宋"/>
                <w:i w:val="0"/>
                <w:iCs w:val="0"/>
                <w:color w:val="auto"/>
                <w:sz w:val="22"/>
                <w:szCs w:val="22"/>
                <w:highlight w:val="none"/>
                <w:u w:val="none"/>
              </w:rPr>
            </w:pPr>
          </w:p>
        </w:tc>
      </w:tr>
      <w:tr w14:paraId="30931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bottom"/>
          </w:tcPr>
          <w:p w14:paraId="037A409B">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18118F5D">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141EFC5E">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EE6BCAE">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1FB1952B">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518A9A6C">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B2A1BBA">
            <w:pPr>
              <w:jc w:val="cente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center"/>
          </w:tcPr>
          <w:p w14:paraId="383BC52A">
            <w:pPr>
              <w:jc w:val="center"/>
              <w:rPr>
                <w:rFonts w:hint="eastAsia" w:ascii="仿宋" w:hAnsi="仿宋" w:eastAsia="仿宋" w:cs="仿宋"/>
                <w:i w:val="0"/>
                <w:iCs w:val="0"/>
                <w:color w:val="auto"/>
                <w:sz w:val="22"/>
                <w:szCs w:val="22"/>
                <w:highlight w:val="none"/>
                <w:u w:val="none"/>
              </w:rPr>
            </w:pPr>
          </w:p>
        </w:tc>
      </w:tr>
      <w:tr w14:paraId="5F6EC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bottom"/>
          </w:tcPr>
          <w:p w14:paraId="7F97F686">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3A4D2C99">
            <w:pP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03AE0BEC">
            <w:pP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6EF3F98">
            <w:pP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2462F545">
            <w:pP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3D4F6889">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收款公司名称：</w:t>
            </w:r>
          </w:p>
        </w:tc>
        <w:tc>
          <w:tcPr>
            <w:tcW w:w="535" w:type="pct"/>
            <w:tcBorders>
              <w:top w:val="nil"/>
              <w:left w:val="nil"/>
              <w:bottom w:val="nil"/>
              <w:right w:val="nil"/>
            </w:tcBorders>
            <w:noWrap/>
            <w:vAlign w:val="center"/>
          </w:tcPr>
          <w:p w14:paraId="3A059DC9">
            <w:pP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11DC7394">
            <w:pPr>
              <w:rPr>
                <w:rFonts w:hint="eastAsia" w:ascii="仿宋" w:hAnsi="仿宋" w:eastAsia="仿宋" w:cs="仿宋"/>
                <w:i w:val="0"/>
                <w:iCs w:val="0"/>
                <w:color w:val="auto"/>
                <w:sz w:val="22"/>
                <w:szCs w:val="22"/>
                <w:highlight w:val="none"/>
                <w:u w:val="none"/>
              </w:rPr>
            </w:pPr>
          </w:p>
        </w:tc>
      </w:tr>
      <w:tr w14:paraId="186E6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0" w:type="pct"/>
            <w:tcBorders>
              <w:top w:val="nil"/>
              <w:left w:val="nil"/>
              <w:bottom w:val="nil"/>
              <w:right w:val="nil"/>
            </w:tcBorders>
            <w:noWrap/>
            <w:vAlign w:val="bottom"/>
          </w:tcPr>
          <w:p w14:paraId="3A295437">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0811B1B8">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263A0E59">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DF19B9D">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22375500">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034B1AD4">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（加盖公章）</w:t>
            </w:r>
          </w:p>
        </w:tc>
        <w:tc>
          <w:tcPr>
            <w:tcW w:w="535" w:type="pct"/>
            <w:tcBorders>
              <w:top w:val="nil"/>
              <w:left w:val="nil"/>
              <w:bottom w:val="nil"/>
              <w:right w:val="nil"/>
            </w:tcBorders>
            <w:noWrap/>
            <w:vAlign w:val="center"/>
          </w:tcPr>
          <w:p w14:paraId="3926A3C6">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481DADE1">
            <w:pPr>
              <w:rPr>
                <w:rFonts w:hint="eastAsia" w:ascii="仿宋" w:hAnsi="仿宋" w:eastAsia="仿宋" w:cs="仿宋"/>
                <w:i w:val="0"/>
                <w:iCs w:val="0"/>
                <w:color w:val="auto"/>
                <w:sz w:val="22"/>
                <w:szCs w:val="22"/>
                <w:highlight w:val="none"/>
                <w:u w:val="none"/>
              </w:rPr>
            </w:pPr>
          </w:p>
        </w:tc>
      </w:tr>
      <w:tr w14:paraId="6E8B6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center"/>
          </w:tcPr>
          <w:p w14:paraId="6B713172">
            <w:pPr>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6552A03A">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964E668">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3154D5FD">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3FEB91D9">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2AD287E3">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收款公司负责人：</w:t>
            </w:r>
          </w:p>
        </w:tc>
        <w:tc>
          <w:tcPr>
            <w:tcW w:w="535" w:type="pct"/>
            <w:tcBorders>
              <w:top w:val="nil"/>
              <w:left w:val="nil"/>
              <w:bottom w:val="nil"/>
              <w:right w:val="nil"/>
            </w:tcBorders>
            <w:noWrap/>
            <w:vAlign w:val="center"/>
          </w:tcPr>
          <w:p w14:paraId="4C581337">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551F869A">
            <w:pPr>
              <w:rPr>
                <w:rFonts w:hint="eastAsia" w:ascii="仿宋" w:hAnsi="仿宋" w:eastAsia="仿宋" w:cs="仿宋"/>
                <w:i w:val="0"/>
                <w:iCs w:val="0"/>
                <w:color w:val="auto"/>
                <w:sz w:val="22"/>
                <w:szCs w:val="22"/>
                <w:highlight w:val="none"/>
                <w:u w:val="none"/>
              </w:rPr>
            </w:pPr>
          </w:p>
        </w:tc>
      </w:tr>
      <w:tr w14:paraId="1265B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10" w:type="pct"/>
            <w:tcBorders>
              <w:top w:val="nil"/>
              <w:left w:val="nil"/>
              <w:bottom w:val="nil"/>
              <w:right w:val="nil"/>
            </w:tcBorders>
            <w:noWrap/>
            <w:vAlign w:val="center"/>
          </w:tcPr>
          <w:p w14:paraId="46342130">
            <w:pPr>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5DC27F0D">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390EFC84">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1555221">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00A909B9">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5B731B55">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（签名）</w:t>
            </w:r>
          </w:p>
        </w:tc>
        <w:tc>
          <w:tcPr>
            <w:tcW w:w="535" w:type="pct"/>
            <w:tcBorders>
              <w:top w:val="nil"/>
              <w:left w:val="nil"/>
              <w:bottom w:val="nil"/>
              <w:right w:val="nil"/>
            </w:tcBorders>
            <w:noWrap/>
            <w:vAlign w:val="center"/>
          </w:tcPr>
          <w:p w14:paraId="6E3177D8">
            <w:pPr>
              <w:jc w:val="cente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15B3A0E7">
            <w:pPr>
              <w:rPr>
                <w:rFonts w:hint="eastAsia" w:ascii="仿宋" w:hAnsi="仿宋" w:eastAsia="仿宋" w:cs="仿宋"/>
                <w:i w:val="0"/>
                <w:iCs w:val="0"/>
                <w:color w:val="auto"/>
                <w:sz w:val="22"/>
                <w:szCs w:val="22"/>
                <w:highlight w:val="none"/>
                <w:u w:val="none"/>
              </w:rPr>
            </w:pPr>
          </w:p>
        </w:tc>
      </w:tr>
    </w:tbl>
    <w:p w14:paraId="5359D812">
      <w:pPr>
        <w:pStyle w:val="11"/>
        <w:tabs>
          <w:tab w:val="clear" w:pos="-116"/>
          <w:tab w:val="clear" w:pos="420"/>
        </w:tabs>
        <w:rPr>
          <w:rFonts w:hint="eastAsia" w:ascii="仿宋" w:hAnsi="仿宋" w:eastAsia="仿宋" w:cs="仿宋"/>
          <w:bCs/>
          <w:color w:val="auto"/>
          <w:kern w:val="0"/>
          <w:sz w:val="24"/>
          <w:szCs w:val="24"/>
          <w:highlight w:val="none"/>
          <w:lang w:val="en-US" w:eastAsia="zh-CN"/>
        </w:rPr>
      </w:pPr>
    </w:p>
    <w:p w14:paraId="68BC8E88">
      <w:pPr>
        <w:jc w:val="right"/>
        <w:rPr>
          <w:rFonts w:hint="eastAsia" w:ascii="仿宋" w:hAnsi="仿宋" w:eastAsia="仿宋" w:cs="仿宋"/>
          <w:b/>
          <w:bCs/>
          <w:color w:val="auto"/>
          <w:sz w:val="44"/>
          <w:szCs w:val="44"/>
          <w:highlight w:val="none"/>
          <w:lang w:val="en-US" w:eastAsia="zh-CN"/>
        </w:rPr>
      </w:pPr>
    </w:p>
    <w:p w14:paraId="278A7835">
      <w:pPr>
        <w:jc w:val="right"/>
        <w:rPr>
          <w:rFonts w:hint="eastAsia" w:ascii="仿宋" w:hAnsi="仿宋" w:eastAsia="仿宋" w:cs="仿宋"/>
          <w:b/>
          <w:bCs/>
          <w:color w:val="auto"/>
          <w:sz w:val="44"/>
          <w:szCs w:val="44"/>
          <w:highlight w:val="none"/>
          <w:lang w:val="en-US" w:eastAsia="zh-CN"/>
        </w:rPr>
      </w:pPr>
    </w:p>
    <w:p w14:paraId="46C6569E">
      <w:pPr>
        <w:jc w:val="right"/>
        <w:rPr>
          <w:rFonts w:hint="eastAsia" w:ascii="仿宋" w:hAnsi="仿宋" w:eastAsia="仿宋" w:cs="仿宋"/>
          <w:b/>
          <w:bCs/>
          <w:color w:val="auto"/>
          <w:sz w:val="44"/>
          <w:szCs w:val="44"/>
          <w:highlight w:val="none"/>
          <w:lang w:val="en-US" w:eastAsia="zh-CN"/>
        </w:rPr>
      </w:pPr>
    </w:p>
    <w:p w14:paraId="69663C29">
      <w:pPr>
        <w:jc w:val="right"/>
        <w:rPr>
          <w:rFonts w:hint="eastAsia" w:ascii="仿宋" w:hAnsi="仿宋" w:eastAsia="仿宋" w:cs="仿宋"/>
          <w:b/>
          <w:bCs/>
          <w:color w:val="auto"/>
          <w:sz w:val="44"/>
          <w:szCs w:val="44"/>
          <w:highlight w:val="none"/>
          <w:lang w:val="en-US" w:eastAsia="zh-CN"/>
        </w:rPr>
      </w:pPr>
    </w:p>
    <w:p w14:paraId="198CE7CE">
      <w:pPr>
        <w:jc w:val="right"/>
        <w:rPr>
          <w:rFonts w:hint="eastAsia" w:ascii="仿宋" w:hAnsi="仿宋" w:eastAsia="仿宋" w:cs="仿宋"/>
          <w:b/>
          <w:bCs/>
          <w:color w:val="auto"/>
          <w:sz w:val="44"/>
          <w:szCs w:val="44"/>
          <w:highlight w:val="none"/>
          <w:lang w:val="en-US" w:eastAsia="zh-CN"/>
        </w:rPr>
      </w:pPr>
    </w:p>
    <w:p w14:paraId="2333D64C">
      <w:pPr>
        <w:jc w:val="right"/>
        <w:rPr>
          <w:rFonts w:hint="eastAsia" w:ascii="仿宋" w:hAnsi="仿宋" w:eastAsia="仿宋" w:cs="仿宋"/>
          <w:b/>
          <w:bCs/>
          <w:color w:val="auto"/>
          <w:sz w:val="44"/>
          <w:szCs w:val="44"/>
          <w:highlight w:val="none"/>
          <w:lang w:val="en-US" w:eastAsia="zh-CN"/>
        </w:rPr>
      </w:pPr>
    </w:p>
    <w:p w14:paraId="13181FE4">
      <w:pPr>
        <w:jc w:val="right"/>
        <w:rPr>
          <w:rFonts w:hint="eastAsia" w:ascii="仿宋" w:hAnsi="仿宋" w:eastAsia="仿宋" w:cs="仿宋"/>
          <w:b/>
          <w:bCs/>
          <w:color w:val="auto"/>
          <w:sz w:val="44"/>
          <w:szCs w:val="44"/>
          <w:highlight w:val="none"/>
          <w:lang w:val="en-US" w:eastAsia="zh-CN"/>
        </w:rPr>
      </w:pPr>
    </w:p>
    <w:p w14:paraId="155AF669">
      <w:pPr>
        <w:pageBreakBefore w:val="0"/>
        <w:wordWrap/>
        <w:topLinePunct w:val="0"/>
        <w:bidi w:val="0"/>
        <w:spacing w:line="360" w:lineRule="auto"/>
        <w:jc w:val="right"/>
        <w:rPr>
          <w:rFonts w:hint="eastAsia" w:ascii="仿宋" w:hAnsi="仿宋" w:eastAsia="仿宋" w:cs="仿宋"/>
          <w:b/>
          <w:bCs/>
          <w:color w:val="auto"/>
          <w:sz w:val="44"/>
          <w:szCs w:val="44"/>
          <w:highlight w:val="none"/>
          <w:lang w:val="en-US" w:eastAsia="zh-CN"/>
        </w:rPr>
        <w:sectPr>
          <w:footerReference r:id="rId7" w:type="default"/>
          <w:pgSz w:w="11906" w:h="16838"/>
          <w:pgMar w:top="1134" w:right="850" w:bottom="567" w:left="850" w:header="737" w:footer="624" w:gutter="0"/>
          <w:pgBorders>
            <w:top w:val="none" w:sz="0" w:space="0"/>
            <w:left w:val="none" w:sz="0" w:space="0"/>
            <w:bottom w:val="none" w:sz="0" w:space="0"/>
            <w:right w:val="none" w:sz="0" w:space="0"/>
          </w:pgBorders>
          <w:pgNumType w:fmt="decimal" w:start="22"/>
          <w:cols w:space="720" w:num="1"/>
          <w:rtlGutter w:val="0"/>
          <w:docGrid w:type="lines" w:linePitch="312" w:charSpace="0"/>
        </w:sectPr>
      </w:pPr>
    </w:p>
    <w:p w14:paraId="14D75F7D">
      <w:pPr>
        <w:spacing w:before="63" w:line="219" w:lineRule="auto"/>
        <w:jc w:val="right"/>
        <w:rPr>
          <w:rFonts w:ascii="宋体" w:hAnsi="宋体" w:eastAsia="宋体" w:cs="宋体"/>
          <w:color w:val="auto"/>
          <w:spacing w:val="-13"/>
          <w:sz w:val="40"/>
          <w:szCs w:val="40"/>
          <w:highlight w:val="none"/>
          <w14:textOutline w14:w="5803" w14:cap="flat" w14:cmpd="sng">
            <w14:solidFill>
              <w14:srgbClr w14:val="000000"/>
            </w14:solidFill>
            <w14:prstDash w14:val="solid"/>
            <w14:miter w14:val="0"/>
          </w14:textOutline>
        </w:rPr>
      </w:pPr>
      <w:r>
        <w:rPr>
          <w:rFonts w:hint="eastAsia" w:ascii="仿宋" w:hAnsi="仿宋" w:eastAsia="仿宋" w:cs="仿宋"/>
          <w:b/>
          <w:bCs/>
          <w:i w:val="0"/>
          <w:iCs w:val="0"/>
          <w:color w:val="auto"/>
          <w:kern w:val="0"/>
          <w:sz w:val="44"/>
          <w:szCs w:val="44"/>
          <w:highlight w:val="none"/>
          <w:u w:val="none"/>
          <w:lang w:val="en-US" w:eastAsia="zh-CN" w:bidi="ar"/>
        </w:rPr>
        <w:t>附件五</w:t>
      </w:r>
    </w:p>
    <w:p w14:paraId="039890A9">
      <w:pPr>
        <w:widowControl/>
        <w:kinsoku w:val="0"/>
        <w:autoSpaceDE w:val="0"/>
        <w:autoSpaceDN w:val="0"/>
        <w:adjustRightInd w:val="0"/>
        <w:snapToGrid w:val="0"/>
        <w:spacing w:before="26" w:line="240" w:lineRule="auto"/>
        <w:jc w:val="left"/>
        <w:textAlignment w:val="baseline"/>
        <w:rPr>
          <w:rFonts w:ascii="Arial" w:hAnsi="Arial" w:eastAsia="Arial" w:cs="Arial"/>
          <w:snapToGrid w:val="0"/>
          <w:color w:val="auto"/>
          <w:kern w:val="0"/>
          <w:szCs w:val="21"/>
          <w:lang w:eastAsia="en-US"/>
        </w:rPr>
      </w:pPr>
    </w:p>
    <w:p w14:paraId="21B4A114">
      <w:pPr>
        <w:widowControl/>
        <w:kinsoku w:val="0"/>
        <w:autoSpaceDE w:val="0"/>
        <w:autoSpaceDN w:val="0"/>
        <w:adjustRightInd w:val="0"/>
        <w:snapToGrid w:val="0"/>
        <w:spacing w:before="25" w:line="240" w:lineRule="auto"/>
        <w:jc w:val="center"/>
        <w:textAlignment w:val="baseline"/>
        <w:rPr>
          <w:rFonts w:hint="eastAsia" w:ascii="Arial" w:hAnsi="Arial" w:eastAsia="宋体" w:cs="Arial"/>
          <w:snapToGrid w:val="0"/>
          <w:color w:val="auto"/>
          <w:kern w:val="0"/>
          <w:szCs w:val="21"/>
          <w:lang w:val="en-US" w:eastAsia="zh-CN"/>
        </w:rPr>
      </w:pPr>
      <w:r>
        <w:rPr>
          <w:rFonts w:hint="eastAsia" w:ascii="Arial" w:hAnsi="Arial" w:eastAsia="宋体" w:cs="Arial"/>
          <w:snapToGrid w:val="0"/>
          <w:color w:val="auto"/>
          <w:kern w:val="0"/>
          <w:sz w:val="48"/>
          <w:szCs w:val="48"/>
          <w:lang w:val="en-US" w:eastAsia="zh-CN"/>
        </w:rPr>
        <w:t>东莞市中泰建安工程有限公司</w:t>
      </w:r>
    </w:p>
    <w:p w14:paraId="4EB52C62">
      <w:pPr>
        <w:keepNext w:val="0"/>
        <w:keepLines w:val="0"/>
        <w:pageBreakBefore w:val="0"/>
        <w:widowControl/>
        <w:kinsoku w:val="0"/>
        <w:wordWrap/>
        <w:overflowPunct/>
        <w:topLinePunct w:val="0"/>
        <w:autoSpaceDE w:val="0"/>
        <w:autoSpaceDN w:val="0"/>
        <w:bidi w:val="0"/>
        <w:adjustRightInd w:val="0"/>
        <w:snapToGrid w:val="0"/>
        <w:spacing w:line="240" w:lineRule="auto"/>
        <w:ind w:firstLine="2924"/>
        <w:jc w:val="right"/>
        <w:textAlignment w:val="baseline"/>
        <w:rPr>
          <w:rFonts w:hint="eastAsia" w:ascii="宋体" w:hAnsi="宋体" w:eastAsia="宋体" w:cs="宋体"/>
          <w:snapToGrid w:val="0"/>
          <w:color w:val="auto"/>
          <w:spacing w:val="-7"/>
          <w:kern w:val="0"/>
          <w:sz w:val="36"/>
          <w:szCs w:val="36"/>
          <w:lang w:val="en-US" w:eastAsia="zh-CN"/>
        </w:rPr>
      </w:pPr>
      <w:r>
        <w:rPr>
          <w:rFonts w:hint="eastAsia" w:ascii="Arial" w:hAnsi="Arial" w:eastAsia="宋体" w:cs="Arial"/>
          <w:snapToGrid w:val="0"/>
          <w:color w:val="auto"/>
          <w:kern w:val="0"/>
          <w:position w:val="-21"/>
          <w:szCs w:val="21"/>
          <w:lang w:val="en-US" w:eastAsia="zh-CN"/>
        </w:rPr>
        <w:t xml:space="preserve">                </w:t>
      </w:r>
      <w:r>
        <w:rPr>
          <w:rFonts w:hint="eastAsia" w:ascii="Arial" w:hAnsi="Arial" w:eastAsia="宋体" w:cs="Arial"/>
          <w:snapToGrid w:val="0"/>
          <w:color w:val="auto"/>
          <w:kern w:val="0"/>
          <w:position w:val="-21"/>
          <w:sz w:val="32"/>
          <w:szCs w:val="32"/>
          <w:lang w:val="en-US" w:eastAsia="zh-CN"/>
        </w:rPr>
        <w:t xml:space="preserve">                                                 受控                                       </w:t>
      </w:r>
    </w:p>
    <w:p w14:paraId="378E44B2">
      <w:pPr>
        <w:keepNext w:val="0"/>
        <w:keepLines w:val="0"/>
        <w:pageBreakBefore w:val="0"/>
        <w:widowControl/>
        <w:kinsoku w:val="0"/>
        <w:wordWrap/>
        <w:overflowPunct/>
        <w:topLinePunct w:val="0"/>
        <w:autoSpaceDE w:val="0"/>
        <w:autoSpaceDN w:val="0"/>
        <w:bidi w:val="0"/>
        <w:adjustRightInd w:val="0"/>
        <w:snapToGrid w:val="0"/>
        <w:spacing w:before="194" w:line="240" w:lineRule="auto"/>
        <w:ind w:left="6612"/>
        <w:jc w:val="left"/>
        <w:textAlignment w:val="baseline"/>
        <w:outlineLvl w:val="0"/>
        <w:rPr>
          <w:rFonts w:hint="eastAsia" w:ascii="宋体" w:hAnsi="宋体" w:eastAsia="宋体" w:cs="宋体"/>
          <w:snapToGrid w:val="0"/>
          <w:color w:val="auto"/>
          <w:spacing w:val="-7"/>
          <w:kern w:val="0"/>
          <w:sz w:val="36"/>
          <w:szCs w:val="36"/>
          <w:lang w:val="en-US" w:eastAsia="zh-CN" w:bidi="ar-SA"/>
        </w:rPr>
      </w:pPr>
      <w:r>
        <w:rPr>
          <w:rFonts w:hint="eastAsia" w:ascii="宋体" w:hAnsi="宋体" w:eastAsia="宋体" w:cs="宋体"/>
          <w:snapToGrid w:val="0"/>
          <w:color w:val="auto"/>
          <w:spacing w:val="-7"/>
          <w:kern w:val="0"/>
          <w:sz w:val="36"/>
          <w:szCs w:val="36"/>
          <w:lang w:val="en-US" w:eastAsia="zh-CN" w:bidi="ar-SA"/>
        </w:rPr>
        <w:t xml:space="preserve">                                    </w:t>
      </w:r>
      <w:bookmarkStart w:id="154" w:name="_Toc1556"/>
      <w:r>
        <w:rPr>
          <w:rFonts w:hint="eastAsia" w:ascii="宋体" w:hAnsi="宋体" w:eastAsia="宋体" w:cs="宋体"/>
          <w:snapToGrid w:val="0"/>
          <w:color w:val="auto"/>
          <w:spacing w:val="-7"/>
          <w:kern w:val="0"/>
          <w:sz w:val="36"/>
          <w:szCs w:val="36"/>
          <w:lang w:val="en-US" w:eastAsia="zh-CN" w:bidi="ar-SA"/>
        </w:rPr>
        <w:t>No.</w:t>
      </w:r>
      <w:bookmarkEnd w:id="154"/>
      <w:r>
        <w:rPr>
          <w:rFonts w:hint="eastAsia" w:ascii="宋体" w:hAnsi="宋体" w:eastAsia="宋体" w:cs="宋体"/>
          <w:snapToGrid w:val="0"/>
          <w:color w:val="auto"/>
          <w:spacing w:val="-7"/>
          <w:kern w:val="0"/>
          <w:sz w:val="36"/>
          <w:szCs w:val="36"/>
          <w:lang w:val="en-US" w:eastAsia="zh-CN" w:bidi="ar-SA"/>
        </w:rPr>
        <w:t xml:space="preserve"> </w:t>
      </w:r>
    </w:p>
    <w:p w14:paraId="02CE7DD8">
      <w:pPr>
        <w:keepNext w:val="0"/>
        <w:keepLines w:val="0"/>
        <w:pageBreakBefore w:val="0"/>
        <w:widowControl/>
        <w:kinsoku w:val="0"/>
        <w:wordWrap/>
        <w:overflowPunct/>
        <w:topLinePunct w:val="0"/>
        <w:autoSpaceDE w:val="0"/>
        <w:autoSpaceDN w:val="0"/>
        <w:bidi w:val="0"/>
        <w:adjustRightInd w:val="0"/>
        <w:snapToGrid w:val="0"/>
        <w:spacing w:before="194" w:line="360" w:lineRule="auto"/>
        <w:jc w:val="center"/>
        <w:textAlignment w:val="baseline"/>
        <w:outlineLvl w:val="0"/>
        <w:rPr>
          <w:rFonts w:hint="eastAsia" w:ascii="宋体" w:hAnsi="宋体" w:eastAsia="宋体" w:cs="宋体"/>
          <w:snapToGrid w:val="0"/>
          <w:color w:val="auto"/>
          <w:kern w:val="0"/>
          <w:sz w:val="36"/>
          <w:szCs w:val="36"/>
          <w:lang w:val="en-US" w:eastAsia="en-US" w:bidi="ar-SA"/>
        </w:rPr>
      </w:pPr>
      <w:bookmarkStart w:id="155" w:name="_Toc926"/>
      <w:r>
        <w:rPr>
          <w:rFonts w:hint="eastAsia" w:ascii="宋体" w:hAnsi="宋体" w:eastAsia="宋体" w:cs="宋体"/>
          <w:snapToGrid w:val="0"/>
          <w:color w:val="auto"/>
          <w:spacing w:val="-7"/>
          <w:kern w:val="0"/>
          <w:sz w:val="36"/>
          <w:szCs w:val="36"/>
          <w:lang w:val="en-US" w:eastAsia="zh-CN" w:bidi="ar-SA"/>
        </w:rPr>
        <w:t xml:space="preserve">材  料  </w:t>
      </w:r>
      <w:r>
        <w:rPr>
          <w:rFonts w:hint="eastAsia" w:ascii="宋体" w:hAnsi="宋体" w:eastAsia="宋体" w:cs="宋体"/>
          <w:snapToGrid w:val="0"/>
          <w:color w:val="auto"/>
          <w:spacing w:val="-7"/>
          <w:kern w:val="0"/>
          <w:sz w:val="36"/>
          <w:szCs w:val="36"/>
          <w:lang w:val="en-US" w:eastAsia="en-US" w:bidi="ar-SA"/>
        </w:rPr>
        <w:t>签</w:t>
      </w:r>
      <w:r>
        <w:rPr>
          <w:rFonts w:hint="eastAsia" w:ascii="宋体" w:hAnsi="宋体" w:eastAsia="宋体" w:cs="宋体"/>
          <w:snapToGrid w:val="0"/>
          <w:color w:val="auto"/>
          <w:spacing w:val="82"/>
          <w:kern w:val="0"/>
          <w:sz w:val="36"/>
          <w:szCs w:val="36"/>
          <w:lang w:val="en-US" w:eastAsia="en-US" w:bidi="ar-SA"/>
        </w:rPr>
        <w:t xml:space="preserve"> </w:t>
      </w:r>
      <w:r>
        <w:rPr>
          <w:rFonts w:hint="eastAsia" w:ascii="宋体" w:hAnsi="宋体" w:eastAsia="宋体" w:cs="宋体"/>
          <w:snapToGrid w:val="0"/>
          <w:color w:val="auto"/>
          <w:spacing w:val="-7"/>
          <w:kern w:val="0"/>
          <w:sz w:val="36"/>
          <w:szCs w:val="36"/>
          <w:lang w:val="en-US" w:eastAsia="en-US" w:bidi="ar-SA"/>
        </w:rPr>
        <w:t>收</w:t>
      </w:r>
      <w:r>
        <w:rPr>
          <w:rFonts w:hint="eastAsia" w:ascii="宋体" w:hAnsi="宋体" w:eastAsia="宋体" w:cs="宋体"/>
          <w:snapToGrid w:val="0"/>
          <w:color w:val="auto"/>
          <w:spacing w:val="53"/>
          <w:kern w:val="0"/>
          <w:sz w:val="36"/>
          <w:szCs w:val="36"/>
          <w:lang w:val="en-US" w:eastAsia="en-US" w:bidi="ar-SA"/>
        </w:rPr>
        <w:t xml:space="preserve"> </w:t>
      </w:r>
      <w:r>
        <w:rPr>
          <w:rFonts w:hint="eastAsia" w:ascii="宋体" w:hAnsi="宋体" w:eastAsia="宋体" w:cs="宋体"/>
          <w:snapToGrid w:val="0"/>
          <w:color w:val="auto"/>
          <w:spacing w:val="-7"/>
          <w:kern w:val="0"/>
          <w:sz w:val="36"/>
          <w:szCs w:val="36"/>
          <w:lang w:val="en-US" w:eastAsia="en-US" w:bidi="ar-SA"/>
        </w:rPr>
        <w:t>单</w:t>
      </w:r>
      <w:bookmarkEnd w:id="155"/>
    </w:p>
    <w:p w14:paraId="6FFC9908">
      <w:pPr>
        <w:keepNext w:val="0"/>
        <w:keepLines w:val="0"/>
        <w:pageBreakBefore w:val="0"/>
        <w:widowControl/>
        <w:kinsoku w:val="0"/>
        <w:wordWrap/>
        <w:overflowPunct/>
        <w:topLinePunct w:val="0"/>
        <w:autoSpaceDE w:val="0"/>
        <w:autoSpaceDN w:val="0"/>
        <w:bidi w:val="0"/>
        <w:adjustRightInd w:val="0"/>
        <w:snapToGrid w:val="0"/>
        <w:spacing w:before="7" w:line="360" w:lineRule="auto"/>
        <w:ind w:left="251"/>
        <w:jc w:val="left"/>
        <w:textAlignment w:val="baseline"/>
        <w:rPr>
          <w:rFonts w:hint="eastAsia" w:ascii="宋体" w:hAnsi="宋体" w:eastAsia="宋体" w:cs="宋体"/>
          <w:snapToGrid w:val="0"/>
          <w:color w:val="auto"/>
          <w:kern w:val="0"/>
          <w:sz w:val="24"/>
          <w:szCs w:val="24"/>
          <w:lang w:val="en-US" w:eastAsia="en-US" w:bidi="ar-SA"/>
        </w:rPr>
      </w:pPr>
      <w:r>
        <w:rPr>
          <w:color w:val="auto"/>
          <w:sz w:val="24"/>
        </w:rPr>
        <mc:AlternateContent>
          <mc:Choice Requires="wps">
            <w:drawing>
              <wp:anchor distT="0" distB="0" distL="114300" distR="114300" simplePos="0" relativeHeight="251665408" behindDoc="0" locked="0" layoutInCell="1" allowOverlap="1">
                <wp:simplePos x="0" y="0"/>
                <wp:positionH relativeFrom="column">
                  <wp:posOffset>9439275</wp:posOffset>
                </wp:positionH>
                <wp:positionV relativeFrom="paragraph">
                  <wp:posOffset>213995</wp:posOffset>
                </wp:positionV>
                <wp:extent cx="390525" cy="3390900"/>
                <wp:effectExtent l="0" t="0" r="9525" b="0"/>
                <wp:wrapNone/>
                <wp:docPr id="4" name="文本框 4"/>
                <wp:cNvGraphicFramePr/>
                <a:graphic xmlns:a="http://schemas.openxmlformats.org/drawingml/2006/main">
                  <a:graphicData uri="http://schemas.microsoft.com/office/word/2010/wordprocessingShape">
                    <wps:wsp>
                      <wps:cNvSpPr txBox="1"/>
                      <wps:spPr>
                        <a:xfrm>
                          <a:off x="9799320" y="3115310"/>
                          <a:ext cx="390525" cy="33909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E14B7D">
                            <w:pPr>
                              <w:pStyle w:val="4"/>
                              <w:spacing w:before="20" w:line="209" w:lineRule="auto"/>
                              <w:ind w:left="20"/>
                              <w:rPr>
                                <w:color w:val="auto"/>
                                <w:sz w:val="21"/>
                                <w:szCs w:val="21"/>
                              </w:rPr>
                            </w:pPr>
                            <w:r>
                              <w:rPr>
                                <w:color w:val="auto"/>
                                <w:spacing w:val="35"/>
                                <w:sz w:val="21"/>
                                <w:szCs w:val="21"/>
                              </w:rPr>
                              <w:t>一存根（白）二</w:t>
                            </w:r>
                            <w:r>
                              <w:rPr>
                                <w:color w:val="auto"/>
                                <w:spacing w:val="63"/>
                                <w:sz w:val="21"/>
                                <w:szCs w:val="21"/>
                              </w:rPr>
                              <w:t xml:space="preserve"> </w:t>
                            </w:r>
                            <w:r>
                              <w:rPr>
                                <w:color w:val="auto"/>
                                <w:spacing w:val="35"/>
                                <w:sz w:val="21"/>
                                <w:szCs w:val="21"/>
                              </w:rPr>
                              <w:t>财务（红）三</w:t>
                            </w:r>
                            <w:r>
                              <w:rPr>
                                <w:color w:val="auto"/>
                                <w:spacing w:val="62"/>
                                <w:sz w:val="21"/>
                                <w:szCs w:val="21"/>
                              </w:rPr>
                              <w:t xml:space="preserve"> </w:t>
                            </w:r>
                            <w:r>
                              <w:rPr>
                                <w:color w:val="auto"/>
                                <w:spacing w:val="35"/>
                                <w:sz w:val="21"/>
                                <w:szCs w:val="21"/>
                              </w:rPr>
                              <w:t>顾客（绿）</w:t>
                            </w:r>
                          </w:p>
                          <w:p w14:paraId="5A0EA451"/>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43.25pt;margin-top:16.85pt;height:267pt;width:30.75pt;z-index:251665408;mso-width-relative:page;mso-height-relative:page;" filled="f" stroked="f" coordsize="21600,21600" o:gfxdata="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OOykNrbAAAADAEAAA8AAAAA&#10;AAAAAQAgAAAAIgAAAGRycy9kb3ducmV2LnhtbFBLAQIUABQAAAAIAIdO4kDTngztSgIAAHQEAAAO&#10;AAAAAAAAAAEAIAAAACoBAABkcnMvZTJvRG9jLnhtbFBLBQYAAAAABgAGAFkBAADmBQAAAAA=&#10;">
                <v:fill on="f" focussize="0,0"/>
                <v:stroke on="f" weight="0.5pt"/>
                <v:imagedata o:title=""/>
                <o:lock v:ext="edit" aspectratio="f"/>
                <v:textbox style="layout-flow:vertical-ideographic;">
                  <w:txbxContent>
                    <w:p w14:paraId="5CE14B7D">
                      <w:pPr>
                        <w:pStyle w:val="4"/>
                        <w:spacing w:before="20" w:line="209" w:lineRule="auto"/>
                        <w:ind w:left="20"/>
                        <w:rPr>
                          <w:color w:val="auto"/>
                          <w:sz w:val="21"/>
                          <w:szCs w:val="21"/>
                        </w:rPr>
                      </w:pPr>
                      <w:r>
                        <w:rPr>
                          <w:color w:val="auto"/>
                          <w:spacing w:val="35"/>
                          <w:sz w:val="21"/>
                          <w:szCs w:val="21"/>
                        </w:rPr>
                        <w:t>一存根（白）二</w:t>
                      </w:r>
                      <w:r>
                        <w:rPr>
                          <w:color w:val="auto"/>
                          <w:spacing w:val="63"/>
                          <w:sz w:val="21"/>
                          <w:szCs w:val="21"/>
                        </w:rPr>
                        <w:t xml:space="preserve"> </w:t>
                      </w:r>
                      <w:r>
                        <w:rPr>
                          <w:color w:val="auto"/>
                          <w:spacing w:val="35"/>
                          <w:sz w:val="21"/>
                          <w:szCs w:val="21"/>
                        </w:rPr>
                        <w:t>财务（红）三</w:t>
                      </w:r>
                      <w:r>
                        <w:rPr>
                          <w:color w:val="auto"/>
                          <w:spacing w:val="62"/>
                          <w:sz w:val="21"/>
                          <w:szCs w:val="21"/>
                        </w:rPr>
                        <w:t xml:space="preserve"> </w:t>
                      </w:r>
                      <w:r>
                        <w:rPr>
                          <w:color w:val="auto"/>
                          <w:spacing w:val="35"/>
                          <w:sz w:val="21"/>
                          <w:szCs w:val="21"/>
                        </w:rPr>
                        <w:t>顾客（绿）</w:t>
                      </w:r>
                    </w:p>
                    <w:p w14:paraId="5A0EA451"/>
                  </w:txbxContent>
                </v:textbox>
              </v:shape>
            </w:pict>
          </mc:Fallback>
        </mc:AlternateContent>
      </w:r>
      <w:r>
        <w:rPr>
          <w:rFonts w:hint="eastAsia" w:ascii="宋体" w:hAnsi="宋体" w:eastAsia="宋体" w:cs="宋体"/>
          <w:snapToGrid w:val="0"/>
          <w:color w:val="auto"/>
          <w:spacing w:val="1"/>
          <w:kern w:val="0"/>
          <w:sz w:val="24"/>
          <w:szCs w:val="24"/>
          <w:lang w:val="en-US" w:eastAsia="zh-CN" w:bidi="ar-SA"/>
        </w:rPr>
        <w:t>RM-17-A</w:t>
      </w:r>
      <w:r>
        <w:rPr>
          <w:rFonts w:hint="eastAsia" w:ascii="宋体" w:hAnsi="宋体" w:eastAsia="宋体" w:cs="宋体"/>
          <w:snapToGrid w:val="0"/>
          <w:color w:val="auto"/>
          <w:spacing w:val="1"/>
          <w:kern w:val="0"/>
          <w:sz w:val="24"/>
          <w:szCs w:val="24"/>
          <w:lang w:val="en-US" w:eastAsia="en-US" w:bidi="ar-SA"/>
        </w:rPr>
        <w:t xml:space="preserve">                         </w:t>
      </w:r>
      <w:r>
        <w:rPr>
          <w:rFonts w:hint="eastAsia" w:ascii="宋体" w:hAnsi="宋体" w:eastAsia="宋体" w:cs="宋体"/>
          <w:snapToGrid w:val="0"/>
          <w:color w:val="auto"/>
          <w:kern w:val="0"/>
          <w:sz w:val="24"/>
          <w:szCs w:val="24"/>
          <w:lang w:val="en-US" w:eastAsia="en-US" w:bidi="ar-SA"/>
        </w:rPr>
        <w:t xml:space="preserve">              </w:t>
      </w:r>
      <w:r>
        <w:rPr>
          <w:rFonts w:hint="eastAsia" w:ascii="宋体" w:hAnsi="宋体" w:eastAsia="宋体" w:cs="宋体"/>
          <w:snapToGrid w:val="0"/>
          <w:color w:val="auto"/>
          <w:kern w:val="0"/>
          <w:sz w:val="24"/>
          <w:szCs w:val="24"/>
          <w:lang w:val="en-US" w:eastAsia="zh-CN" w:bidi="ar-SA"/>
        </w:rPr>
        <w:t xml:space="preserve">    20  年    月   日</w:t>
      </w:r>
      <w:r>
        <w:rPr>
          <w:rFonts w:hint="eastAsia" w:ascii="宋体" w:hAnsi="宋体" w:eastAsia="宋体" w:cs="宋体"/>
          <w:snapToGrid w:val="0"/>
          <w:color w:val="auto"/>
          <w:kern w:val="0"/>
          <w:sz w:val="24"/>
          <w:szCs w:val="24"/>
          <w:lang w:val="en-US" w:eastAsia="en-US" w:bidi="ar-SA"/>
        </w:rPr>
        <w:t xml:space="preserve">                              </w:t>
      </w:r>
    </w:p>
    <w:tbl>
      <w:tblPr>
        <w:tblStyle w:val="17"/>
        <w:tblW w:w="1415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97"/>
        <w:gridCol w:w="2389"/>
        <w:gridCol w:w="1932"/>
        <w:gridCol w:w="1737"/>
        <w:gridCol w:w="1275"/>
        <w:gridCol w:w="2827"/>
      </w:tblGrid>
      <w:tr w14:paraId="4CE497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97" w:type="dxa"/>
            <w:vAlign w:val="top"/>
          </w:tcPr>
          <w:p w14:paraId="0B3D3028">
            <w:pPr>
              <w:widowControl/>
              <w:kinsoku w:val="0"/>
              <w:autoSpaceDE w:val="0"/>
              <w:autoSpaceDN w:val="0"/>
              <w:adjustRightInd w:val="0"/>
              <w:snapToGrid w:val="0"/>
              <w:spacing w:before="263" w:line="220"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7"/>
                <w:kern w:val="0"/>
                <w:sz w:val="24"/>
                <w:szCs w:val="24"/>
                <w:lang w:eastAsia="en-US"/>
              </w:rPr>
              <w:t>工</w:t>
            </w:r>
            <w:r>
              <w:rPr>
                <w:rFonts w:hint="eastAsia" w:ascii="宋体" w:hAnsi="宋体" w:eastAsia="宋体" w:cs="宋体"/>
                <w:snapToGrid w:val="0"/>
                <w:color w:val="auto"/>
                <w:spacing w:val="7"/>
                <w:kern w:val="0"/>
                <w:sz w:val="24"/>
                <w:szCs w:val="24"/>
                <w:lang w:val="en-US" w:eastAsia="zh-CN"/>
              </w:rPr>
              <w:t>地</w:t>
            </w:r>
            <w:r>
              <w:rPr>
                <w:rFonts w:hint="eastAsia" w:ascii="宋体" w:hAnsi="宋体" w:eastAsia="宋体" w:cs="宋体"/>
                <w:snapToGrid w:val="0"/>
                <w:color w:val="auto"/>
                <w:spacing w:val="7"/>
                <w:kern w:val="0"/>
                <w:sz w:val="24"/>
                <w:szCs w:val="24"/>
                <w:lang w:eastAsia="en-US"/>
              </w:rPr>
              <w:t>名称</w:t>
            </w:r>
          </w:p>
        </w:tc>
        <w:tc>
          <w:tcPr>
            <w:tcW w:w="2389" w:type="dxa"/>
            <w:vAlign w:val="top"/>
          </w:tcPr>
          <w:p w14:paraId="793A374E">
            <w:pPr>
              <w:widowControl/>
              <w:kinsoku w:val="0"/>
              <w:autoSpaceDE w:val="0"/>
              <w:autoSpaceDN w:val="0"/>
              <w:adjustRightInd w:val="0"/>
              <w:snapToGrid w:val="0"/>
              <w:spacing w:before="262" w:line="219"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7"/>
                <w:kern w:val="0"/>
                <w:sz w:val="24"/>
                <w:szCs w:val="24"/>
                <w:lang w:eastAsia="en-US"/>
              </w:rPr>
              <w:t>材料名称</w:t>
            </w:r>
          </w:p>
        </w:tc>
        <w:tc>
          <w:tcPr>
            <w:tcW w:w="1932" w:type="dxa"/>
            <w:vAlign w:val="top"/>
          </w:tcPr>
          <w:p w14:paraId="31EA1343">
            <w:pPr>
              <w:widowControl/>
              <w:kinsoku w:val="0"/>
              <w:autoSpaceDE w:val="0"/>
              <w:autoSpaceDN w:val="0"/>
              <w:adjustRightInd w:val="0"/>
              <w:snapToGrid w:val="0"/>
              <w:spacing w:before="263" w:line="220"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单位</w:t>
            </w:r>
          </w:p>
        </w:tc>
        <w:tc>
          <w:tcPr>
            <w:tcW w:w="1737" w:type="dxa"/>
            <w:vAlign w:val="top"/>
          </w:tcPr>
          <w:p w14:paraId="72ABEA93">
            <w:pPr>
              <w:widowControl/>
              <w:kinsoku w:val="0"/>
              <w:autoSpaceDE w:val="0"/>
              <w:autoSpaceDN w:val="0"/>
              <w:adjustRightInd w:val="0"/>
              <w:snapToGrid w:val="0"/>
              <w:spacing w:before="263" w:line="219" w:lineRule="auto"/>
              <w:jc w:val="center"/>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数量</w:t>
            </w:r>
          </w:p>
        </w:tc>
        <w:tc>
          <w:tcPr>
            <w:tcW w:w="1275" w:type="dxa"/>
            <w:vAlign w:val="top"/>
          </w:tcPr>
          <w:p w14:paraId="2697A372">
            <w:pPr>
              <w:widowControl/>
              <w:kinsoku w:val="0"/>
              <w:autoSpaceDE w:val="0"/>
              <w:autoSpaceDN w:val="0"/>
              <w:adjustRightInd w:val="0"/>
              <w:snapToGrid w:val="0"/>
              <w:spacing w:before="263" w:line="218" w:lineRule="auto"/>
              <w:ind w:left="413"/>
              <w:jc w:val="left"/>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单价</w:t>
            </w:r>
          </w:p>
        </w:tc>
        <w:tc>
          <w:tcPr>
            <w:tcW w:w="2827" w:type="dxa"/>
            <w:vAlign w:val="top"/>
          </w:tcPr>
          <w:p w14:paraId="354A5B39">
            <w:pPr>
              <w:widowControl/>
              <w:kinsoku w:val="0"/>
              <w:autoSpaceDE w:val="0"/>
              <w:autoSpaceDN w:val="0"/>
              <w:adjustRightInd w:val="0"/>
              <w:snapToGrid w:val="0"/>
              <w:spacing w:before="262" w:line="221" w:lineRule="auto"/>
              <w:ind w:left="1209"/>
              <w:jc w:val="left"/>
              <w:textAlignment w:val="baseline"/>
              <w:rPr>
                <w:rFonts w:hint="eastAsia" w:ascii="宋体" w:hAnsi="宋体" w:eastAsia="宋体" w:cs="宋体"/>
                <w:snapToGrid w:val="0"/>
                <w:color w:val="auto"/>
                <w:kern w:val="0"/>
                <w:sz w:val="24"/>
                <w:szCs w:val="24"/>
                <w:lang w:eastAsia="en-US"/>
              </w:rPr>
            </w:pPr>
            <w:r>
              <w:rPr>
                <w:rFonts w:hint="eastAsia" w:ascii="宋体" w:hAnsi="宋体" w:eastAsia="宋体" w:cs="宋体"/>
                <w:snapToGrid w:val="0"/>
                <w:color w:val="auto"/>
                <w:spacing w:val="1"/>
                <w:kern w:val="0"/>
                <w:sz w:val="24"/>
                <w:szCs w:val="24"/>
                <w:lang w:eastAsia="en-US"/>
              </w:rPr>
              <w:t>备注</w:t>
            </w:r>
          </w:p>
        </w:tc>
      </w:tr>
      <w:tr w14:paraId="20167D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97" w:type="dxa"/>
            <w:vAlign w:val="top"/>
          </w:tcPr>
          <w:p w14:paraId="576F088B">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89" w:type="dxa"/>
            <w:vAlign w:val="top"/>
          </w:tcPr>
          <w:p w14:paraId="5F2FF528">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32" w:type="dxa"/>
            <w:vAlign w:val="top"/>
          </w:tcPr>
          <w:p w14:paraId="3C760D69">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37" w:type="dxa"/>
            <w:vAlign w:val="top"/>
          </w:tcPr>
          <w:p w14:paraId="44EB2D39">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75" w:type="dxa"/>
            <w:vAlign w:val="top"/>
          </w:tcPr>
          <w:p w14:paraId="3574D570">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27" w:type="dxa"/>
            <w:vAlign w:val="top"/>
          </w:tcPr>
          <w:p w14:paraId="3719248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231A34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97" w:type="dxa"/>
            <w:vAlign w:val="top"/>
          </w:tcPr>
          <w:p w14:paraId="69955093">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89" w:type="dxa"/>
            <w:vAlign w:val="top"/>
          </w:tcPr>
          <w:p w14:paraId="39DA5657">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32" w:type="dxa"/>
            <w:vAlign w:val="top"/>
          </w:tcPr>
          <w:p w14:paraId="739160EC">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37" w:type="dxa"/>
            <w:vAlign w:val="top"/>
          </w:tcPr>
          <w:p w14:paraId="3B025002">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75" w:type="dxa"/>
            <w:vAlign w:val="top"/>
          </w:tcPr>
          <w:p w14:paraId="51217EBC">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27" w:type="dxa"/>
            <w:vAlign w:val="top"/>
          </w:tcPr>
          <w:p w14:paraId="322E56E3">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61899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97" w:type="dxa"/>
            <w:vAlign w:val="top"/>
          </w:tcPr>
          <w:p w14:paraId="3650D5BF">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89" w:type="dxa"/>
            <w:vAlign w:val="top"/>
          </w:tcPr>
          <w:p w14:paraId="593CF856">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32" w:type="dxa"/>
            <w:vAlign w:val="top"/>
          </w:tcPr>
          <w:p w14:paraId="1E988477">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37" w:type="dxa"/>
            <w:vAlign w:val="top"/>
          </w:tcPr>
          <w:p w14:paraId="581D33F6">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75" w:type="dxa"/>
            <w:vAlign w:val="top"/>
          </w:tcPr>
          <w:p w14:paraId="31D2FC8F">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27" w:type="dxa"/>
            <w:vAlign w:val="top"/>
          </w:tcPr>
          <w:p w14:paraId="585A7F64">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2C0AFC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jc w:val="center"/>
        </w:trPr>
        <w:tc>
          <w:tcPr>
            <w:tcW w:w="3997" w:type="dxa"/>
            <w:vAlign w:val="top"/>
          </w:tcPr>
          <w:p w14:paraId="70A184D3">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89" w:type="dxa"/>
            <w:vAlign w:val="top"/>
          </w:tcPr>
          <w:p w14:paraId="618C07D2">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32" w:type="dxa"/>
            <w:vAlign w:val="top"/>
          </w:tcPr>
          <w:p w14:paraId="28AB00A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37" w:type="dxa"/>
            <w:vAlign w:val="top"/>
          </w:tcPr>
          <w:p w14:paraId="61BE1D96">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75" w:type="dxa"/>
            <w:vAlign w:val="top"/>
          </w:tcPr>
          <w:p w14:paraId="2404F04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27" w:type="dxa"/>
            <w:vAlign w:val="top"/>
          </w:tcPr>
          <w:p w14:paraId="68E8011F">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r w14:paraId="261DE0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jc w:val="center"/>
        </w:trPr>
        <w:tc>
          <w:tcPr>
            <w:tcW w:w="3997" w:type="dxa"/>
            <w:vAlign w:val="top"/>
          </w:tcPr>
          <w:p w14:paraId="3FEBF4DC">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389" w:type="dxa"/>
            <w:vAlign w:val="top"/>
          </w:tcPr>
          <w:p w14:paraId="2B2E7530">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932" w:type="dxa"/>
            <w:vAlign w:val="top"/>
          </w:tcPr>
          <w:p w14:paraId="36006952">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737" w:type="dxa"/>
            <w:vAlign w:val="top"/>
          </w:tcPr>
          <w:p w14:paraId="7A1912F4">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1275" w:type="dxa"/>
            <w:vAlign w:val="top"/>
          </w:tcPr>
          <w:p w14:paraId="617191AB">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c>
          <w:tcPr>
            <w:tcW w:w="2827" w:type="dxa"/>
            <w:vAlign w:val="top"/>
          </w:tcPr>
          <w:p w14:paraId="3CBCD2EA">
            <w:pPr>
              <w:kinsoku w:val="0"/>
              <w:autoSpaceDE w:val="0"/>
              <w:autoSpaceDN w:val="0"/>
              <w:adjustRightInd w:val="0"/>
              <w:snapToGrid w:val="0"/>
              <w:spacing w:line="240" w:lineRule="auto"/>
              <w:jc w:val="left"/>
              <w:textAlignment w:val="baseline"/>
              <w:rPr>
                <w:rFonts w:hint="eastAsia" w:ascii="宋体" w:hAnsi="宋体" w:eastAsia="宋体" w:cs="宋体"/>
                <w:snapToGrid w:val="0"/>
                <w:color w:val="auto"/>
                <w:kern w:val="0"/>
                <w:sz w:val="21"/>
                <w:szCs w:val="21"/>
                <w:lang w:val="en-US" w:eastAsia="en-US" w:bidi="ar-SA"/>
              </w:rPr>
            </w:pPr>
          </w:p>
        </w:tc>
      </w:tr>
    </w:tbl>
    <w:p w14:paraId="6E5687FB">
      <w:pPr>
        <w:widowControl/>
        <w:kinsoku w:val="0"/>
        <w:autoSpaceDE w:val="0"/>
        <w:autoSpaceDN w:val="0"/>
        <w:adjustRightInd w:val="0"/>
        <w:snapToGrid w:val="0"/>
        <w:spacing w:line="371" w:lineRule="auto"/>
        <w:jc w:val="left"/>
        <w:textAlignment w:val="baseline"/>
        <w:rPr>
          <w:rFonts w:hint="eastAsia" w:ascii="宋体" w:hAnsi="宋体" w:eastAsia="宋体" w:cs="宋体"/>
          <w:snapToGrid w:val="0"/>
          <w:color w:val="auto"/>
          <w:kern w:val="0"/>
          <w:sz w:val="21"/>
          <w:szCs w:val="21"/>
          <w:lang w:eastAsia="en-US"/>
        </w:rPr>
      </w:pPr>
    </w:p>
    <w:p w14:paraId="7C2804C0">
      <w:pPr>
        <w:kinsoku w:val="0"/>
        <w:autoSpaceDE w:val="0"/>
        <w:autoSpaceDN w:val="0"/>
        <w:adjustRightInd w:val="0"/>
        <w:snapToGrid w:val="0"/>
        <w:spacing w:before="79" w:line="184" w:lineRule="auto"/>
        <w:ind w:left="87"/>
        <w:jc w:val="left"/>
        <w:textAlignment w:val="baseline"/>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spacing w:val="9"/>
          <w:kern w:val="0"/>
          <w:sz w:val="24"/>
          <w:szCs w:val="24"/>
          <w:lang w:val="en-US" w:eastAsia="en-US" w:bidi="ar-SA"/>
        </w:rPr>
        <w:t>工地负责人：</w:t>
      </w:r>
      <w:r>
        <w:rPr>
          <w:rFonts w:hint="eastAsia" w:ascii="宋体" w:hAnsi="宋体" w:eastAsia="宋体" w:cs="宋体"/>
          <w:snapToGrid w:val="0"/>
          <w:color w:val="auto"/>
          <w:kern w:val="0"/>
          <w:sz w:val="24"/>
          <w:szCs w:val="24"/>
          <w:lang w:val="en-US" w:eastAsia="en-US" w:bidi="ar-SA"/>
        </w:rPr>
        <w:t xml:space="preserve">                                 </w:t>
      </w:r>
      <w:r>
        <w:rPr>
          <w:rFonts w:hint="eastAsia" w:ascii="宋体" w:hAnsi="宋体" w:eastAsia="宋体" w:cs="宋体"/>
          <w:snapToGrid w:val="0"/>
          <w:color w:val="auto"/>
          <w:spacing w:val="9"/>
          <w:kern w:val="0"/>
          <w:sz w:val="24"/>
          <w:szCs w:val="24"/>
          <w:lang w:val="en-US" w:eastAsia="en-US" w:bidi="ar-SA"/>
        </w:rPr>
        <w:t>签收人：</w:t>
      </w:r>
      <w:r>
        <w:rPr>
          <w:rFonts w:hint="eastAsia" w:ascii="宋体" w:hAnsi="宋体" w:eastAsia="宋体" w:cs="宋体"/>
          <w:snapToGrid w:val="0"/>
          <w:color w:val="auto"/>
          <w:spacing w:val="2"/>
          <w:kern w:val="0"/>
          <w:sz w:val="24"/>
          <w:szCs w:val="24"/>
          <w:lang w:val="en-US" w:eastAsia="en-US" w:bidi="ar-SA"/>
        </w:rPr>
        <w:t xml:space="preserve">                                </w:t>
      </w:r>
      <w:r>
        <w:rPr>
          <w:rFonts w:hint="eastAsia" w:ascii="宋体" w:hAnsi="宋体" w:eastAsia="宋体" w:cs="宋体"/>
          <w:snapToGrid w:val="0"/>
          <w:color w:val="auto"/>
          <w:spacing w:val="1"/>
          <w:kern w:val="0"/>
          <w:sz w:val="24"/>
          <w:szCs w:val="24"/>
          <w:lang w:val="en-US" w:eastAsia="en-US" w:bidi="ar-SA"/>
        </w:rPr>
        <w:t xml:space="preserve">    </w:t>
      </w:r>
      <w:r>
        <w:rPr>
          <w:rFonts w:hint="eastAsia" w:ascii="宋体" w:hAnsi="宋体" w:eastAsia="宋体" w:cs="宋体"/>
          <w:snapToGrid w:val="0"/>
          <w:color w:val="auto"/>
          <w:spacing w:val="9"/>
          <w:kern w:val="0"/>
          <w:sz w:val="24"/>
          <w:szCs w:val="24"/>
          <w:lang w:val="en-US" w:eastAsia="en-US" w:bidi="ar-SA"/>
        </w:rPr>
        <w:t>送货单位及经</w:t>
      </w:r>
      <w:r>
        <w:rPr>
          <w:rFonts w:hint="eastAsia" w:ascii="宋体" w:hAnsi="宋体" w:eastAsia="宋体" w:cs="宋体"/>
          <w:snapToGrid w:val="0"/>
          <w:color w:val="auto"/>
          <w:spacing w:val="9"/>
          <w:kern w:val="0"/>
          <w:sz w:val="24"/>
          <w:szCs w:val="24"/>
          <w:lang w:val="en-US" w:eastAsia="zh-CN" w:bidi="ar-SA"/>
        </w:rPr>
        <w:t>手</w:t>
      </w:r>
      <w:r>
        <w:rPr>
          <w:rFonts w:hint="eastAsia" w:ascii="宋体" w:hAnsi="宋体" w:eastAsia="宋体" w:cs="宋体"/>
          <w:snapToGrid w:val="0"/>
          <w:color w:val="auto"/>
          <w:spacing w:val="9"/>
          <w:kern w:val="0"/>
          <w:sz w:val="24"/>
          <w:szCs w:val="24"/>
          <w:lang w:val="en-US" w:eastAsia="en-US" w:bidi="ar-SA"/>
        </w:rPr>
        <w:t>人</w:t>
      </w:r>
      <w:r>
        <w:rPr>
          <w:rFonts w:hint="eastAsia" w:ascii="宋体" w:hAnsi="宋体" w:eastAsia="宋体" w:cs="宋体"/>
          <w:snapToGrid w:val="0"/>
          <w:color w:val="auto"/>
          <w:spacing w:val="9"/>
          <w:kern w:val="0"/>
          <w:sz w:val="24"/>
          <w:szCs w:val="24"/>
          <w:lang w:val="en-US" w:eastAsia="zh-CN" w:bidi="ar-SA"/>
        </w:rPr>
        <w:t>：</w:t>
      </w:r>
    </w:p>
    <w:p w14:paraId="696EDEF8">
      <w:pPr>
        <w:spacing w:before="63" w:line="219" w:lineRule="auto"/>
        <w:jc w:val="right"/>
        <w:rPr>
          <w:rFonts w:hint="eastAsia" w:ascii="宋体" w:hAnsi="宋体" w:eastAsia="宋体" w:cs="宋体"/>
          <w:color w:val="auto"/>
          <w:spacing w:val="-13"/>
          <w:sz w:val="40"/>
          <w:szCs w:val="40"/>
          <w:highlight w:val="none"/>
          <w:lang w:val="en-US" w:eastAsia="zh-CN"/>
          <w14:textOutline w14:w="5803" w14:cap="flat" w14:cmpd="sng">
            <w14:solidFill>
              <w14:srgbClr w14:val="000000"/>
            </w14:solidFill>
            <w14:prstDash w14:val="solid"/>
            <w14:miter w14:val="0"/>
          </w14:textOutline>
        </w:rPr>
      </w:pPr>
      <w:r>
        <w:rPr>
          <w:rFonts w:hint="eastAsia" w:ascii="仿宋" w:hAnsi="仿宋" w:eastAsia="仿宋" w:cs="仿宋"/>
          <w:b/>
          <w:bCs/>
          <w:i w:val="0"/>
          <w:iCs w:val="0"/>
          <w:color w:val="auto"/>
          <w:kern w:val="0"/>
          <w:sz w:val="44"/>
          <w:szCs w:val="44"/>
          <w:highlight w:val="none"/>
          <w:u w:val="none"/>
          <w:lang w:val="en-US" w:eastAsia="zh-CN" w:bidi="ar"/>
        </w:rPr>
        <w:t>附件六</w:t>
      </w:r>
    </w:p>
    <w:p w14:paraId="2D5322AA">
      <w:pPr>
        <w:pStyle w:val="4"/>
        <w:tabs>
          <w:tab w:val="left" w:pos="5740"/>
        </w:tabs>
        <w:spacing w:before="111" w:line="184" w:lineRule="auto"/>
        <w:ind w:left="4625"/>
        <w:outlineLvl w:val="0"/>
        <w:rPr>
          <w:rFonts w:hint="eastAsia" w:ascii="宋体" w:hAnsi="宋体" w:eastAsia="宋体" w:cs="宋体"/>
          <w:b/>
          <w:bCs/>
          <w:color w:val="auto"/>
          <w:sz w:val="44"/>
          <w:szCs w:val="40"/>
          <w:highlight w:val="none"/>
          <w:lang w:val="en-US" w:eastAsia="zh-CN"/>
        </w:rPr>
      </w:pPr>
      <w:r>
        <w:rPr>
          <w:rFonts w:hint="eastAsia" w:ascii="宋体" w:hAnsi="宋体" w:eastAsia="宋体" w:cs="宋体"/>
          <w:color w:val="auto"/>
          <w:sz w:val="32"/>
          <w:szCs w:val="32"/>
          <w:highlight w:val="none"/>
          <w:u w:val="single" w:color="auto"/>
        </w:rPr>
        <w:tab/>
      </w:r>
      <w:r>
        <w:rPr>
          <w:rFonts w:hint="eastAsia" w:ascii="宋体" w:hAnsi="宋体" w:eastAsia="宋体" w:cs="宋体"/>
          <w:color w:val="auto"/>
          <w:sz w:val="32"/>
          <w:szCs w:val="32"/>
          <w:highlight w:val="none"/>
          <w:u w:val="single" w:color="auto"/>
          <w:lang w:val="en-US" w:eastAsia="zh-CN"/>
        </w:rPr>
        <w:t xml:space="preserve">     </w:t>
      </w:r>
      <w:bookmarkStart w:id="156" w:name="_Toc4207"/>
      <w:r>
        <w:rPr>
          <w:rFonts w:hint="eastAsia" w:ascii="宋体" w:hAnsi="宋体" w:eastAsia="宋体" w:cs="宋体"/>
          <w:b/>
          <w:bCs/>
          <w:color w:val="auto"/>
          <w:sz w:val="32"/>
          <w:szCs w:val="32"/>
          <w:highlight w:val="none"/>
        </w:rPr>
        <w:t>有限公司</w:t>
      </w:r>
      <w:r>
        <w:rPr>
          <w:rFonts w:hint="eastAsia" w:ascii="宋体" w:hAnsi="宋体" w:eastAsia="宋体" w:cs="宋体"/>
          <w:b/>
          <w:bCs/>
          <w:color w:val="auto"/>
          <w:sz w:val="32"/>
          <w:szCs w:val="32"/>
          <w:highlight w:val="none"/>
          <w:u w:val="single" w:color="auto"/>
        </w:rPr>
        <w:t xml:space="preserve">      </w:t>
      </w:r>
      <w:r>
        <w:rPr>
          <w:rFonts w:hint="eastAsia" w:ascii="宋体" w:hAnsi="宋体" w:eastAsia="宋体" w:cs="宋体"/>
          <w:b/>
          <w:bCs/>
          <w:color w:val="auto"/>
          <w:sz w:val="32"/>
          <w:szCs w:val="32"/>
          <w:highlight w:val="none"/>
        </w:rPr>
        <w:t>年</w:t>
      </w:r>
      <w:r>
        <w:rPr>
          <w:rFonts w:hint="eastAsia" w:ascii="宋体" w:hAnsi="宋体" w:eastAsia="宋体" w:cs="宋体"/>
          <w:b/>
          <w:bCs/>
          <w:color w:val="auto"/>
          <w:spacing w:val="4"/>
          <w:sz w:val="32"/>
          <w:szCs w:val="32"/>
          <w:highlight w:val="none"/>
          <w:u w:val="single" w:color="auto"/>
        </w:rPr>
        <w:t xml:space="preserve">   </w:t>
      </w:r>
      <w:r>
        <w:rPr>
          <w:rFonts w:hint="eastAsia" w:ascii="宋体" w:hAnsi="宋体" w:eastAsia="宋体" w:cs="宋体"/>
          <w:b/>
          <w:bCs/>
          <w:color w:val="auto"/>
          <w:spacing w:val="-72"/>
          <w:sz w:val="32"/>
          <w:szCs w:val="32"/>
          <w:highlight w:val="none"/>
        </w:rPr>
        <w:t xml:space="preserve"> </w:t>
      </w:r>
      <w:r>
        <w:rPr>
          <w:rFonts w:hint="eastAsia" w:ascii="宋体" w:hAnsi="宋体" w:eastAsia="宋体" w:cs="宋体"/>
          <w:b/>
          <w:bCs/>
          <w:color w:val="auto"/>
          <w:sz w:val="32"/>
          <w:szCs w:val="32"/>
          <w:highlight w:val="none"/>
        </w:rPr>
        <w:t>月对账单</w:t>
      </w:r>
      <w:bookmarkEnd w:id="156"/>
    </w:p>
    <w:p w14:paraId="21393385">
      <w:pPr>
        <w:rPr>
          <w:rFonts w:hint="default"/>
          <w:color w:val="auto"/>
          <w:highlight w:val="none"/>
          <w:lang w:val="en-US" w:eastAsia="zh-CN"/>
        </w:rPr>
      </w:pPr>
    </w:p>
    <w:p w14:paraId="6F38D15A">
      <w:pPr>
        <w:pStyle w:val="4"/>
        <w:spacing w:before="35" w:line="309" w:lineRule="exact"/>
        <w:ind w:left="67"/>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项目名称：</w:t>
      </w:r>
    </w:p>
    <w:p w14:paraId="0035E82E">
      <w:pPr>
        <w:pStyle w:val="4"/>
        <w:spacing w:before="35" w:line="309" w:lineRule="exact"/>
        <w:ind w:left="67"/>
        <w:rPr>
          <w:rFonts w:hint="eastAsia" w:ascii="宋体" w:hAnsi="宋体" w:eastAsia="宋体" w:cs="宋体"/>
          <w:color w:val="auto"/>
          <w:spacing w:val="8"/>
          <w:position w:val="10"/>
          <w:sz w:val="20"/>
          <w:szCs w:val="20"/>
          <w:highlight w:val="none"/>
        </w:rPr>
      </w:pPr>
    </w:p>
    <w:p w14:paraId="7B3CD830">
      <w:pPr>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收货单位：</w:t>
      </w:r>
    </w:p>
    <w:tbl>
      <w:tblPr>
        <w:tblStyle w:val="17"/>
        <w:tblW w:w="14142" w:type="dxa"/>
        <w:tblInd w:w="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7"/>
        <w:gridCol w:w="831"/>
        <w:gridCol w:w="930"/>
        <w:gridCol w:w="931"/>
        <w:gridCol w:w="900"/>
        <w:gridCol w:w="1065"/>
        <w:gridCol w:w="854"/>
        <w:gridCol w:w="1201"/>
        <w:gridCol w:w="846"/>
        <w:gridCol w:w="916"/>
        <w:gridCol w:w="1142"/>
        <w:gridCol w:w="1142"/>
        <w:gridCol w:w="2777"/>
      </w:tblGrid>
      <w:tr w14:paraId="72DC3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607" w:type="dxa"/>
            <w:vAlign w:val="top"/>
          </w:tcPr>
          <w:p w14:paraId="3B205852">
            <w:pPr>
              <w:spacing w:before="154" w:line="191" w:lineRule="auto"/>
              <w:ind w:left="124"/>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序号</w:t>
            </w:r>
          </w:p>
        </w:tc>
        <w:tc>
          <w:tcPr>
            <w:tcW w:w="831" w:type="dxa"/>
            <w:vAlign w:val="top"/>
          </w:tcPr>
          <w:p w14:paraId="31F71AED">
            <w:pPr>
              <w:spacing w:before="154" w:line="191" w:lineRule="auto"/>
              <w:ind w:left="38"/>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送货日期</w:t>
            </w:r>
          </w:p>
        </w:tc>
        <w:tc>
          <w:tcPr>
            <w:tcW w:w="930" w:type="dxa"/>
            <w:vAlign w:val="top"/>
          </w:tcPr>
          <w:p w14:paraId="6959D44A">
            <w:pPr>
              <w:spacing w:before="154" w:line="191" w:lineRule="auto"/>
              <w:ind w:left="41"/>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送货单号</w:t>
            </w:r>
          </w:p>
        </w:tc>
        <w:tc>
          <w:tcPr>
            <w:tcW w:w="931" w:type="dxa"/>
            <w:vAlign w:val="top"/>
          </w:tcPr>
          <w:p w14:paraId="7C1CD322">
            <w:pPr>
              <w:spacing w:before="154" w:line="191" w:lineRule="auto"/>
              <w:ind w:left="4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签收单号</w:t>
            </w:r>
          </w:p>
        </w:tc>
        <w:tc>
          <w:tcPr>
            <w:tcW w:w="900" w:type="dxa"/>
            <w:vAlign w:val="top"/>
          </w:tcPr>
          <w:p w14:paraId="4F7126CC">
            <w:pPr>
              <w:spacing w:before="154" w:line="191" w:lineRule="auto"/>
              <w:ind w:left="43"/>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过磅单号</w:t>
            </w:r>
          </w:p>
        </w:tc>
        <w:tc>
          <w:tcPr>
            <w:tcW w:w="1065" w:type="dxa"/>
            <w:vAlign w:val="top"/>
          </w:tcPr>
          <w:p w14:paraId="64AAD8CB">
            <w:pPr>
              <w:spacing w:before="156" w:line="190" w:lineRule="auto"/>
              <w:ind w:firstLine="188" w:firstLineChars="100"/>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货物名称</w:t>
            </w:r>
          </w:p>
        </w:tc>
        <w:tc>
          <w:tcPr>
            <w:tcW w:w="854" w:type="dxa"/>
            <w:vAlign w:val="top"/>
          </w:tcPr>
          <w:p w14:paraId="217E8B44">
            <w:pPr>
              <w:spacing w:before="154" w:line="191" w:lineRule="auto"/>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5"/>
                <w:sz w:val="17"/>
                <w:szCs w:val="17"/>
                <w:highlight w:val="none"/>
              </w:rPr>
              <w:t>品牌</w:t>
            </w:r>
          </w:p>
        </w:tc>
        <w:tc>
          <w:tcPr>
            <w:tcW w:w="1201" w:type="dxa"/>
            <w:vAlign w:val="top"/>
          </w:tcPr>
          <w:p w14:paraId="6509D375">
            <w:pPr>
              <w:spacing w:before="154" w:line="191" w:lineRule="auto"/>
              <w:ind w:left="23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规格型号</w:t>
            </w:r>
          </w:p>
        </w:tc>
        <w:tc>
          <w:tcPr>
            <w:tcW w:w="846" w:type="dxa"/>
            <w:vAlign w:val="top"/>
          </w:tcPr>
          <w:p w14:paraId="04F4F7D9">
            <w:pPr>
              <w:spacing w:before="154" w:line="191" w:lineRule="auto"/>
              <w:ind w:left="59"/>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单位</w:t>
            </w:r>
          </w:p>
        </w:tc>
        <w:tc>
          <w:tcPr>
            <w:tcW w:w="916" w:type="dxa"/>
            <w:vAlign w:val="top"/>
          </w:tcPr>
          <w:p w14:paraId="391205F8">
            <w:pPr>
              <w:spacing w:before="156" w:line="190" w:lineRule="auto"/>
              <w:ind w:left="281"/>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数量</w:t>
            </w:r>
          </w:p>
        </w:tc>
        <w:tc>
          <w:tcPr>
            <w:tcW w:w="1142" w:type="dxa"/>
            <w:vAlign w:val="top"/>
          </w:tcPr>
          <w:p w14:paraId="711DE285">
            <w:pPr>
              <w:spacing w:before="154" w:line="191" w:lineRule="auto"/>
              <w:ind w:left="397"/>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单价</w:t>
            </w:r>
          </w:p>
        </w:tc>
        <w:tc>
          <w:tcPr>
            <w:tcW w:w="1142" w:type="dxa"/>
            <w:vAlign w:val="top"/>
          </w:tcPr>
          <w:p w14:paraId="26AEB46D">
            <w:pPr>
              <w:spacing w:before="156" w:line="190" w:lineRule="auto"/>
              <w:ind w:left="39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金额</w:t>
            </w:r>
          </w:p>
        </w:tc>
        <w:tc>
          <w:tcPr>
            <w:tcW w:w="2777" w:type="dxa"/>
            <w:vAlign w:val="top"/>
          </w:tcPr>
          <w:p w14:paraId="6CE68D3E">
            <w:pPr>
              <w:spacing w:before="154" w:line="191" w:lineRule="auto"/>
              <w:ind w:left="1213"/>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备注</w:t>
            </w:r>
          </w:p>
        </w:tc>
      </w:tr>
      <w:tr w14:paraId="6C4C9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7A7CAAE5">
            <w:pPr>
              <w:spacing w:before="163" w:line="180" w:lineRule="auto"/>
              <w:ind w:left="270"/>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1</w:t>
            </w:r>
          </w:p>
        </w:tc>
        <w:tc>
          <w:tcPr>
            <w:tcW w:w="831" w:type="dxa"/>
            <w:vAlign w:val="top"/>
          </w:tcPr>
          <w:p w14:paraId="0BB7B36D">
            <w:pPr>
              <w:pStyle w:val="18"/>
              <w:rPr>
                <w:color w:val="auto"/>
                <w:highlight w:val="none"/>
              </w:rPr>
            </w:pPr>
          </w:p>
        </w:tc>
        <w:tc>
          <w:tcPr>
            <w:tcW w:w="930" w:type="dxa"/>
            <w:vAlign w:val="top"/>
          </w:tcPr>
          <w:p w14:paraId="603D032C">
            <w:pPr>
              <w:pStyle w:val="18"/>
              <w:rPr>
                <w:color w:val="auto"/>
                <w:highlight w:val="none"/>
              </w:rPr>
            </w:pPr>
          </w:p>
        </w:tc>
        <w:tc>
          <w:tcPr>
            <w:tcW w:w="931" w:type="dxa"/>
            <w:vAlign w:val="top"/>
          </w:tcPr>
          <w:p w14:paraId="20470B34">
            <w:pPr>
              <w:pStyle w:val="18"/>
              <w:rPr>
                <w:color w:val="auto"/>
                <w:highlight w:val="none"/>
              </w:rPr>
            </w:pPr>
          </w:p>
        </w:tc>
        <w:tc>
          <w:tcPr>
            <w:tcW w:w="900" w:type="dxa"/>
            <w:vAlign w:val="top"/>
          </w:tcPr>
          <w:p w14:paraId="522D3062">
            <w:pPr>
              <w:pStyle w:val="18"/>
              <w:rPr>
                <w:color w:val="auto"/>
                <w:highlight w:val="none"/>
              </w:rPr>
            </w:pPr>
          </w:p>
        </w:tc>
        <w:tc>
          <w:tcPr>
            <w:tcW w:w="1065" w:type="dxa"/>
            <w:vAlign w:val="top"/>
          </w:tcPr>
          <w:p w14:paraId="339DC3D6">
            <w:pPr>
              <w:pStyle w:val="18"/>
              <w:rPr>
                <w:color w:val="auto"/>
                <w:highlight w:val="none"/>
              </w:rPr>
            </w:pPr>
          </w:p>
        </w:tc>
        <w:tc>
          <w:tcPr>
            <w:tcW w:w="854" w:type="dxa"/>
            <w:vAlign w:val="top"/>
          </w:tcPr>
          <w:p w14:paraId="4D117909">
            <w:pPr>
              <w:pStyle w:val="18"/>
              <w:rPr>
                <w:color w:val="auto"/>
                <w:highlight w:val="none"/>
              </w:rPr>
            </w:pPr>
          </w:p>
        </w:tc>
        <w:tc>
          <w:tcPr>
            <w:tcW w:w="1201" w:type="dxa"/>
            <w:vAlign w:val="top"/>
          </w:tcPr>
          <w:p w14:paraId="63BB0A58">
            <w:pPr>
              <w:pStyle w:val="18"/>
              <w:rPr>
                <w:color w:val="auto"/>
                <w:highlight w:val="none"/>
              </w:rPr>
            </w:pPr>
          </w:p>
        </w:tc>
        <w:tc>
          <w:tcPr>
            <w:tcW w:w="846" w:type="dxa"/>
            <w:vAlign w:val="top"/>
          </w:tcPr>
          <w:p w14:paraId="0481F1F6">
            <w:pPr>
              <w:pStyle w:val="18"/>
              <w:rPr>
                <w:color w:val="auto"/>
                <w:highlight w:val="none"/>
              </w:rPr>
            </w:pPr>
          </w:p>
        </w:tc>
        <w:tc>
          <w:tcPr>
            <w:tcW w:w="916" w:type="dxa"/>
            <w:vAlign w:val="top"/>
          </w:tcPr>
          <w:p w14:paraId="6DA6887A">
            <w:pPr>
              <w:pStyle w:val="18"/>
              <w:rPr>
                <w:color w:val="auto"/>
                <w:highlight w:val="none"/>
              </w:rPr>
            </w:pPr>
          </w:p>
        </w:tc>
        <w:tc>
          <w:tcPr>
            <w:tcW w:w="1142" w:type="dxa"/>
            <w:vAlign w:val="top"/>
          </w:tcPr>
          <w:p w14:paraId="782DD181">
            <w:pPr>
              <w:pStyle w:val="18"/>
              <w:rPr>
                <w:color w:val="auto"/>
                <w:highlight w:val="none"/>
              </w:rPr>
            </w:pPr>
          </w:p>
        </w:tc>
        <w:tc>
          <w:tcPr>
            <w:tcW w:w="1142" w:type="dxa"/>
            <w:vAlign w:val="top"/>
          </w:tcPr>
          <w:p w14:paraId="2D4EB6B8">
            <w:pPr>
              <w:pStyle w:val="18"/>
              <w:rPr>
                <w:color w:val="auto"/>
                <w:highlight w:val="none"/>
              </w:rPr>
            </w:pPr>
          </w:p>
        </w:tc>
        <w:tc>
          <w:tcPr>
            <w:tcW w:w="2777" w:type="dxa"/>
            <w:vAlign w:val="top"/>
          </w:tcPr>
          <w:p w14:paraId="50EA689F">
            <w:pPr>
              <w:pStyle w:val="18"/>
              <w:rPr>
                <w:color w:val="auto"/>
                <w:highlight w:val="none"/>
              </w:rPr>
            </w:pPr>
          </w:p>
        </w:tc>
      </w:tr>
      <w:tr w14:paraId="4057F8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4DA12A7D">
            <w:pPr>
              <w:spacing w:before="164"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2</w:t>
            </w:r>
          </w:p>
        </w:tc>
        <w:tc>
          <w:tcPr>
            <w:tcW w:w="831" w:type="dxa"/>
            <w:vAlign w:val="top"/>
          </w:tcPr>
          <w:p w14:paraId="75FDF941">
            <w:pPr>
              <w:pStyle w:val="18"/>
              <w:rPr>
                <w:color w:val="auto"/>
                <w:highlight w:val="none"/>
              </w:rPr>
            </w:pPr>
          </w:p>
        </w:tc>
        <w:tc>
          <w:tcPr>
            <w:tcW w:w="930" w:type="dxa"/>
            <w:vAlign w:val="top"/>
          </w:tcPr>
          <w:p w14:paraId="53E4735A">
            <w:pPr>
              <w:pStyle w:val="18"/>
              <w:rPr>
                <w:color w:val="auto"/>
                <w:highlight w:val="none"/>
              </w:rPr>
            </w:pPr>
          </w:p>
        </w:tc>
        <w:tc>
          <w:tcPr>
            <w:tcW w:w="931" w:type="dxa"/>
            <w:vAlign w:val="top"/>
          </w:tcPr>
          <w:p w14:paraId="1DE7F7F7">
            <w:pPr>
              <w:pStyle w:val="18"/>
              <w:rPr>
                <w:color w:val="auto"/>
                <w:highlight w:val="none"/>
              </w:rPr>
            </w:pPr>
          </w:p>
        </w:tc>
        <w:tc>
          <w:tcPr>
            <w:tcW w:w="900" w:type="dxa"/>
            <w:vAlign w:val="top"/>
          </w:tcPr>
          <w:p w14:paraId="1743607C">
            <w:pPr>
              <w:pStyle w:val="18"/>
              <w:rPr>
                <w:color w:val="auto"/>
                <w:highlight w:val="none"/>
              </w:rPr>
            </w:pPr>
          </w:p>
        </w:tc>
        <w:tc>
          <w:tcPr>
            <w:tcW w:w="1065" w:type="dxa"/>
            <w:vAlign w:val="top"/>
          </w:tcPr>
          <w:p w14:paraId="6970864B">
            <w:pPr>
              <w:pStyle w:val="18"/>
              <w:rPr>
                <w:color w:val="auto"/>
                <w:highlight w:val="none"/>
              </w:rPr>
            </w:pPr>
          </w:p>
        </w:tc>
        <w:tc>
          <w:tcPr>
            <w:tcW w:w="854" w:type="dxa"/>
            <w:vAlign w:val="top"/>
          </w:tcPr>
          <w:p w14:paraId="38A1AA3F">
            <w:pPr>
              <w:pStyle w:val="18"/>
              <w:rPr>
                <w:color w:val="auto"/>
                <w:highlight w:val="none"/>
              </w:rPr>
            </w:pPr>
          </w:p>
        </w:tc>
        <w:tc>
          <w:tcPr>
            <w:tcW w:w="1201" w:type="dxa"/>
            <w:vAlign w:val="top"/>
          </w:tcPr>
          <w:p w14:paraId="334A6646">
            <w:pPr>
              <w:pStyle w:val="18"/>
              <w:rPr>
                <w:color w:val="auto"/>
                <w:highlight w:val="none"/>
              </w:rPr>
            </w:pPr>
          </w:p>
        </w:tc>
        <w:tc>
          <w:tcPr>
            <w:tcW w:w="846" w:type="dxa"/>
            <w:vAlign w:val="top"/>
          </w:tcPr>
          <w:p w14:paraId="382B4C85">
            <w:pPr>
              <w:pStyle w:val="18"/>
              <w:rPr>
                <w:color w:val="auto"/>
                <w:highlight w:val="none"/>
              </w:rPr>
            </w:pPr>
          </w:p>
        </w:tc>
        <w:tc>
          <w:tcPr>
            <w:tcW w:w="916" w:type="dxa"/>
            <w:vAlign w:val="top"/>
          </w:tcPr>
          <w:p w14:paraId="116B7568">
            <w:pPr>
              <w:pStyle w:val="18"/>
              <w:rPr>
                <w:color w:val="auto"/>
                <w:highlight w:val="none"/>
              </w:rPr>
            </w:pPr>
          </w:p>
        </w:tc>
        <w:tc>
          <w:tcPr>
            <w:tcW w:w="1142" w:type="dxa"/>
            <w:vAlign w:val="top"/>
          </w:tcPr>
          <w:p w14:paraId="1D0F30AD">
            <w:pPr>
              <w:pStyle w:val="18"/>
              <w:rPr>
                <w:color w:val="auto"/>
                <w:highlight w:val="none"/>
              </w:rPr>
            </w:pPr>
          </w:p>
        </w:tc>
        <w:tc>
          <w:tcPr>
            <w:tcW w:w="1142" w:type="dxa"/>
            <w:vAlign w:val="top"/>
          </w:tcPr>
          <w:p w14:paraId="0ECAD5DB">
            <w:pPr>
              <w:pStyle w:val="18"/>
              <w:rPr>
                <w:color w:val="auto"/>
                <w:highlight w:val="none"/>
              </w:rPr>
            </w:pPr>
          </w:p>
        </w:tc>
        <w:tc>
          <w:tcPr>
            <w:tcW w:w="2777" w:type="dxa"/>
            <w:vAlign w:val="top"/>
          </w:tcPr>
          <w:p w14:paraId="2A44380E">
            <w:pPr>
              <w:pStyle w:val="18"/>
              <w:rPr>
                <w:color w:val="auto"/>
                <w:highlight w:val="none"/>
              </w:rPr>
            </w:pPr>
          </w:p>
        </w:tc>
      </w:tr>
      <w:tr w14:paraId="78F244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0134F2E8">
            <w:pPr>
              <w:spacing w:before="165" w:line="180" w:lineRule="auto"/>
              <w:ind w:left="264"/>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3</w:t>
            </w:r>
          </w:p>
        </w:tc>
        <w:tc>
          <w:tcPr>
            <w:tcW w:w="831" w:type="dxa"/>
            <w:vAlign w:val="top"/>
          </w:tcPr>
          <w:p w14:paraId="4553363A">
            <w:pPr>
              <w:pStyle w:val="18"/>
              <w:rPr>
                <w:color w:val="auto"/>
                <w:highlight w:val="none"/>
              </w:rPr>
            </w:pPr>
          </w:p>
        </w:tc>
        <w:tc>
          <w:tcPr>
            <w:tcW w:w="930" w:type="dxa"/>
            <w:vAlign w:val="top"/>
          </w:tcPr>
          <w:p w14:paraId="13A92823">
            <w:pPr>
              <w:pStyle w:val="18"/>
              <w:rPr>
                <w:color w:val="auto"/>
                <w:highlight w:val="none"/>
              </w:rPr>
            </w:pPr>
          </w:p>
        </w:tc>
        <w:tc>
          <w:tcPr>
            <w:tcW w:w="931" w:type="dxa"/>
            <w:vAlign w:val="top"/>
          </w:tcPr>
          <w:p w14:paraId="5BA8F752">
            <w:pPr>
              <w:pStyle w:val="18"/>
              <w:rPr>
                <w:color w:val="auto"/>
                <w:highlight w:val="none"/>
              </w:rPr>
            </w:pPr>
          </w:p>
        </w:tc>
        <w:tc>
          <w:tcPr>
            <w:tcW w:w="900" w:type="dxa"/>
            <w:vAlign w:val="top"/>
          </w:tcPr>
          <w:p w14:paraId="70919771">
            <w:pPr>
              <w:pStyle w:val="18"/>
              <w:rPr>
                <w:color w:val="auto"/>
                <w:highlight w:val="none"/>
              </w:rPr>
            </w:pPr>
          </w:p>
        </w:tc>
        <w:tc>
          <w:tcPr>
            <w:tcW w:w="1065" w:type="dxa"/>
            <w:vAlign w:val="top"/>
          </w:tcPr>
          <w:p w14:paraId="336FA160">
            <w:pPr>
              <w:pStyle w:val="18"/>
              <w:rPr>
                <w:color w:val="auto"/>
                <w:highlight w:val="none"/>
              </w:rPr>
            </w:pPr>
          </w:p>
        </w:tc>
        <w:tc>
          <w:tcPr>
            <w:tcW w:w="854" w:type="dxa"/>
            <w:vAlign w:val="top"/>
          </w:tcPr>
          <w:p w14:paraId="48A16BE3">
            <w:pPr>
              <w:pStyle w:val="18"/>
              <w:rPr>
                <w:color w:val="auto"/>
                <w:highlight w:val="none"/>
              </w:rPr>
            </w:pPr>
          </w:p>
        </w:tc>
        <w:tc>
          <w:tcPr>
            <w:tcW w:w="1201" w:type="dxa"/>
            <w:vAlign w:val="top"/>
          </w:tcPr>
          <w:p w14:paraId="1BE417F4">
            <w:pPr>
              <w:pStyle w:val="18"/>
              <w:rPr>
                <w:color w:val="auto"/>
                <w:highlight w:val="none"/>
              </w:rPr>
            </w:pPr>
          </w:p>
        </w:tc>
        <w:tc>
          <w:tcPr>
            <w:tcW w:w="846" w:type="dxa"/>
            <w:vAlign w:val="top"/>
          </w:tcPr>
          <w:p w14:paraId="3F65B032">
            <w:pPr>
              <w:pStyle w:val="18"/>
              <w:rPr>
                <w:color w:val="auto"/>
                <w:highlight w:val="none"/>
              </w:rPr>
            </w:pPr>
          </w:p>
        </w:tc>
        <w:tc>
          <w:tcPr>
            <w:tcW w:w="916" w:type="dxa"/>
            <w:vAlign w:val="top"/>
          </w:tcPr>
          <w:p w14:paraId="014C3F19">
            <w:pPr>
              <w:pStyle w:val="18"/>
              <w:rPr>
                <w:color w:val="auto"/>
                <w:highlight w:val="none"/>
              </w:rPr>
            </w:pPr>
          </w:p>
        </w:tc>
        <w:tc>
          <w:tcPr>
            <w:tcW w:w="1142" w:type="dxa"/>
            <w:vAlign w:val="top"/>
          </w:tcPr>
          <w:p w14:paraId="320D1BA1">
            <w:pPr>
              <w:pStyle w:val="18"/>
              <w:rPr>
                <w:color w:val="auto"/>
                <w:highlight w:val="none"/>
              </w:rPr>
            </w:pPr>
          </w:p>
        </w:tc>
        <w:tc>
          <w:tcPr>
            <w:tcW w:w="1142" w:type="dxa"/>
            <w:vAlign w:val="top"/>
          </w:tcPr>
          <w:p w14:paraId="4FA03F28">
            <w:pPr>
              <w:pStyle w:val="18"/>
              <w:rPr>
                <w:color w:val="auto"/>
                <w:highlight w:val="none"/>
              </w:rPr>
            </w:pPr>
          </w:p>
        </w:tc>
        <w:tc>
          <w:tcPr>
            <w:tcW w:w="2777" w:type="dxa"/>
            <w:vAlign w:val="top"/>
          </w:tcPr>
          <w:p w14:paraId="04C4ABFC">
            <w:pPr>
              <w:pStyle w:val="18"/>
              <w:rPr>
                <w:color w:val="auto"/>
                <w:highlight w:val="none"/>
              </w:rPr>
            </w:pPr>
          </w:p>
        </w:tc>
      </w:tr>
      <w:tr w14:paraId="7C303F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59FC208D">
            <w:pPr>
              <w:spacing w:before="169" w:line="178" w:lineRule="auto"/>
              <w:ind w:left="253"/>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4"/>
                <w:sz w:val="17"/>
                <w:szCs w:val="17"/>
                <w:highlight w:val="none"/>
              </w:rPr>
              <w:t>4</w:t>
            </w:r>
          </w:p>
        </w:tc>
        <w:tc>
          <w:tcPr>
            <w:tcW w:w="831" w:type="dxa"/>
            <w:vAlign w:val="top"/>
          </w:tcPr>
          <w:p w14:paraId="77A73FB2">
            <w:pPr>
              <w:pStyle w:val="18"/>
              <w:rPr>
                <w:color w:val="auto"/>
                <w:highlight w:val="none"/>
              </w:rPr>
            </w:pPr>
          </w:p>
        </w:tc>
        <w:tc>
          <w:tcPr>
            <w:tcW w:w="930" w:type="dxa"/>
            <w:vAlign w:val="top"/>
          </w:tcPr>
          <w:p w14:paraId="43B06DE4">
            <w:pPr>
              <w:pStyle w:val="18"/>
              <w:rPr>
                <w:color w:val="auto"/>
                <w:highlight w:val="none"/>
              </w:rPr>
            </w:pPr>
          </w:p>
        </w:tc>
        <w:tc>
          <w:tcPr>
            <w:tcW w:w="931" w:type="dxa"/>
            <w:vAlign w:val="top"/>
          </w:tcPr>
          <w:p w14:paraId="57CF7607">
            <w:pPr>
              <w:pStyle w:val="18"/>
              <w:rPr>
                <w:color w:val="auto"/>
                <w:highlight w:val="none"/>
              </w:rPr>
            </w:pPr>
          </w:p>
        </w:tc>
        <w:tc>
          <w:tcPr>
            <w:tcW w:w="900" w:type="dxa"/>
            <w:vAlign w:val="top"/>
          </w:tcPr>
          <w:p w14:paraId="3823B7C1">
            <w:pPr>
              <w:pStyle w:val="18"/>
              <w:rPr>
                <w:color w:val="auto"/>
                <w:highlight w:val="none"/>
              </w:rPr>
            </w:pPr>
          </w:p>
        </w:tc>
        <w:tc>
          <w:tcPr>
            <w:tcW w:w="1065" w:type="dxa"/>
            <w:vAlign w:val="top"/>
          </w:tcPr>
          <w:p w14:paraId="7397CB5C">
            <w:pPr>
              <w:pStyle w:val="18"/>
              <w:rPr>
                <w:color w:val="auto"/>
                <w:highlight w:val="none"/>
              </w:rPr>
            </w:pPr>
          </w:p>
        </w:tc>
        <w:tc>
          <w:tcPr>
            <w:tcW w:w="854" w:type="dxa"/>
            <w:vAlign w:val="top"/>
          </w:tcPr>
          <w:p w14:paraId="0E5E8BC2">
            <w:pPr>
              <w:pStyle w:val="18"/>
              <w:rPr>
                <w:color w:val="auto"/>
                <w:highlight w:val="none"/>
              </w:rPr>
            </w:pPr>
          </w:p>
        </w:tc>
        <w:tc>
          <w:tcPr>
            <w:tcW w:w="1201" w:type="dxa"/>
            <w:vAlign w:val="top"/>
          </w:tcPr>
          <w:p w14:paraId="2423B02F">
            <w:pPr>
              <w:pStyle w:val="18"/>
              <w:rPr>
                <w:color w:val="auto"/>
                <w:highlight w:val="none"/>
              </w:rPr>
            </w:pPr>
          </w:p>
        </w:tc>
        <w:tc>
          <w:tcPr>
            <w:tcW w:w="846" w:type="dxa"/>
            <w:vAlign w:val="top"/>
          </w:tcPr>
          <w:p w14:paraId="0444CECC">
            <w:pPr>
              <w:pStyle w:val="18"/>
              <w:rPr>
                <w:color w:val="auto"/>
                <w:highlight w:val="none"/>
              </w:rPr>
            </w:pPr>
          </w:p>
        </w:tc>
        <w:tc>
          <w:tcPr>
            <w:tcW w:w="916" w:type="dxa"/>
            <w:vAlign w:val="top"/>
          </w:tcPr>
          <w:p w14:paraId="1E359037">
            <w:pPr>
              <w:pStyle w:val="18"/>
              <w:rPr>
                <w:color w:val="auto"/>
                <w:highlight w:val="none"/>
              </w:rPr>
            </w:pPr>
          </w:p>
        </w:tc>
        <w:tc>
          <w:tcPr>
            <w:tcW w:w="1142" w:type="dxa"/>
            <w:vAlign w:val="top"/>
          </w:tcPr>
          <w:p w14:paraId="300828DA">
            <w:pPr>
              <w:pStyle w:val="18"/>
              <w:rPr>
                <w:color w:val="auto"/>
                <w:highlight w:val="none"/>
              </w:rPr>
            </w:pPr>
          </w:p>
        </w:tc>
        <w:tc>
          <w:tcPr>
            <w:tcW w:w="1142" w:type="dxa"/>
            <w:vAlign w:val="top"/>
          </w:tcPr>
          <w:p w14:paraId="16C1C87F">
            <w:pPr>
              <w:pStyle w:val="18"/>
              <w:rPr>
                <w:color w:val="auto"/>
                <w:highlight w:val="none"/>
              </w:rPr>
            </w:pPr>
          </w:p>
        </w:tc>
        <w:tc>
          <w:tcPr>
            <w:tcW w:w="2777" w:type="dxa"/>
            <w:vAlign w:val="top"/>
          </w:tcPr>
          <w:p w14:paraId="1F396A84">
            <w:pPr>
              <w:pStyle w:val="18"/>
              <w:rPr>
                <w:color w:val="auto"/>
                <w:highlight w:val="none"/>
              </w:rPr>
            </w:pPr>
          </w:p>
        </w:tc>
      </w:tr>
      <w:tr w14:paraId="3F3A1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6BF37A0F">
            <w:pPr>
              <w:spacing w:before="169" w:line="178" w:lineRule="auto"/>
              <w:ind w:left="267"/>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5</w:t>
            </w:r>
          </w:p>
        </w:tc>
        <w:tc>
          <w:tcPr>
            <w:tcW w:w="831" w:type="dxa"/>
            <w:vAlign w:val="top"/>
          </w:tcPr>
          <w:p w14:paraId="69D9BE7B">
            <w:pPr>
              <w:pStyle w:val="18"/>
              <w:rPr>
                <w:color w:val="auto"/>
                <w:highlight w:val="none"/>
              </w:rPr>
            </w:pPr>
          </w:p>
        </w:tc>
        <w:tc>
          <w:tcPr>
            <w:tcW w:w="930" w:type="dxa"/>
            <w:vAlign w:val="top"/>
          </w:tcPr>
          <w:p w14:paraId="0F476BC9">
            <w:pPr>
              <w:pStyle w:val="18"/>
              <w:rPr>
                <w:color w:val="auto"/>
                <w:highlight w:val="none"/>
              </w:rPr>
            </w:pPr>
          </w:p>
        </w:tc>
        <w:tc>
          <w:tcPr>
            <w:tcW w:w="931" w:type="dxa"/>
            <w:vAlign w:val="top"/>
          </w:tcPr>
          <w:p w14:paraId="1F3E454A">
            <w:pPr>
              <w:pStyle w:val="18"/>
              <w:rPr>
                <w:color w:val="auto"/>
                <w:highlight w:val="none"/>
              </w:rPr>
            </w:pPr>
          </w:p>
        </w:tc>
        <w:tc>
          <w:tcPr>
            <w:tcW w:w="900" w:type="dxa"/>
            <w:vAlign w:val="top"/>
          </w:tcPr>
          <w:p w14:paraId="452EB026">
            <w:pPr>
              <w:pStyle w:val="18"/>
              <w:rPr>
                <w:color w:val="auto"/>
                <w:highlight w:val="none"/>
              </w:rPr>
            </w:pPr>
          </w:p>
        </w:tc>
        <w:tc>
          <w:tcPr>
            <w:tcW w:w="1065" w:type="dxa"/>
            <w:vAlign w:val="top"/>
          </w:tcPr>
          <w:p w14:paraId="3B6CA2CD">
            <w:pPr>
              <w:pStyle w:val="18"/>
              <w:rPr>
                <w:color w:val="auto"/>
                <w:highlight w:val="none"/>
              </w:rPr>
            </w:pPr>
          </w:p>
        </w:tc>
        <w:tc>
          <w:tcPr>
            <w:tcW w:w="854" w:type="dxa"/>
            <w:vAlign w:val="top"/>
          </w:tcPr>
          <w:p w14:paraId="7C2A1D15">
            <w:pPr>
              <w:pStyle w:val="18"/>
              <w:rPr>
                <w:color w:val="auto"/>
                <w:highlight w:val="none"/>
              </w:rPr>
            </w:pPr>
          </w:p>
        </w:tc>
        <w:tc>
          <w:tcPr>
            <w:tcW w:w="1201" w:type="dxa"/>
            <w:vAlign w:val="top"/>
          </w:tcPr>
          <w:p w14:paraId="76A498A3">
            <w:pPr>
              <w:pStyle w:val="18"/>
              <w:rPr>
                <w:color w:val="auto"/>
                <w:highlight w:val="none"/>
              </w:rPr>
            </w:pPr>
          </w:p>
        </w:tc>
        <w:tc>
          <w:tcPr>
            <w:tcW w:w="846" w:type="dxa"/>
            <w:vAlign w:val="top"/>
          </w:tcPr>
          <w:p w14:paraId="2BA22CFB">
            <w:pPr>
              <w:pStyle w:val="18"/>
              <w:rPr>
                <w:color w:val="auto"/>
                <w:highlight w:val="none"/>
              </w:rPr>
            </w:pPr>
          </w:p>
        </w:tc>
        <w:tc>
          <w:tcPr>
            <w:tcW w:w="916" w:type="dxa"/>
            <w:vAlign w:val="top"/>
          </w:tcPr>
          <w:p w14:paraId="6331C936">
            <w:pPr>
              <w:pStyle w:val="18"/>
              <w:rPr>
                <w:color w:val="auto"/>
                <w:highlight w:val="none"/>
              </w:rPr>
            </w:pPr>
          </w:p>
        </w:tc>
        <w:tc>
          <w:tcPr>
            <w:tcW w:w="1142" w:type="dxa"/>
            <w:vAlign w:val="top"/>
          </w:tcPr>
          <w:p w14:paraId="331CC394">
            <w:pPr>
              <w:pStyle w:val="18"/>
              <w:rPr>
                <w:color w:val="auto"/>
                <w:highlight w:val="none"/>
              </w:rPr>
            </w:pPr>
          </w:p>
        </w:tc>
        <w:tc>
          <w:tcPr>
            <w:tcW w:w="1142" w:type="dxa"/>
            <w:vAlign w:val="top"/>
          </w:tcPr>
          <w:p w14:paraId="64DF87B2">
            <w:pPr>
              <w:pStyle w:val="18"/>
              <w:rPr>
                <w:color w:val="auto"/>
                <w:highlight w:val="none"/>
              </w:rPr>
            </w:pPr>
          </w:p>
        </w:tc>
        <w:tc>
          <w:tcPr>
            <w:tcW w:w="2777" w:type="dxa"/>
            <w:vAlign w:val="top"/>
          </w:tcPr>
          <w:p w14:paraId="6414A6A3">
            <w:pPr>
              <w:pStyle w:val="18"/>
              <w:rPr>
                <w:color w:val="auto"/>
                <w:highlight w:val="none"/>
              </w:rPr>
            </w:pPr>
          </w:p>
        </w:tc>
      </w:tr>
      <w:tr w14:paraId="28ED35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6B461CC1">
            <w:pPr>
              <w:spacing w:before="168"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6</w:t>
            </w:r>
          </w:p>
        </w:tc>
        <w:tc>
          <w:tcPr>
            <w:tcW w:w="831" w:type="dxa"/>
            <w:vAlign w:val="top"/>
          </w:tcPr>
          <w:p w14:paraId="0EEA2870">
            <w:pPr>
              <w:pStyle w:val="18"/>
              <w:rPr>
                <w:color w:val="auto"/>
                <w:highlight w:val="none"/>
              </w:rPr>
            </w:pPr>
          </w:p>
        </w:tc>
        <w:tc>
          <w:tcPr>
            <w:tcW w:w="930" w:type="dxa"/>
            <w:vAlign w:val="top"/>
          </w:tcPr>
          <w:p w14:paraId="341C7A26">
            <w:pPr>
              <w:pStyle w:val="18"/>
              <w:rPr>
                <w:color w:val="auto"/>
                <w:highlight w:val="none"/>
              </w:rPr>
            </w:pPr>
          </w:p>
        </w:tc>
        <w:tc>
          <w:tcPr>
            <w:tcW w:w="931" w:type="dxa"/>
            <w:vAlign w:val="top"/>
          </w:tcPr>
          <w:p w14:paraId="1BE735C6">
            <w:pPr>
              <w:pStyle w:val="18"/>
              <w:rPr>
                <w:color w:val="auto"/>
                <w:highlight w:val="none"/>
              </w:rPr>
            </w:pPr>
          </w:p>
        </w:tc>
        <w:tc>
          <w:tcPr>
            <w:tcW w:w="900" w:type="dxa"/>
            <w:vAlign w:val="top"/>
          </w:tcPr>
          <w:p w14:paraId="0713DD5F">
            <w:pPr>
              <w:pStyle w:val="18"/>
              <w:rPr>
                <w:color w:val="auto"/>
                <w:highlight w:val="none"/>
              </w:rPr>
            </w:pPr>
          </w:p>
        </w:tc>
        <w:tc>
          <w:tcPr>
            <w:tcW w:w="1065" w:type="dxa"/>
            <w:vAlign w:val="top"/>
          </w:tcPr>
          <w:p w14:paraId="195A7037">
            <w:pPr>
              <w:pStyle w:val="18"/>
              <w:rPr>
                <w:color w:val="auto"/>
                <w:highlight w:val="none"/>
              </w:rPr>
            </w:pPr>
          </w:p>
        </w:tc>
        <w:tc>
          <w:tcPr>
            <w:tcW w:w="854" w:type="dxa"/>
            <w:vAlign w:val="top"/>
          </w:tcPr>
          <w:p w14:paraId="1E164385">
            <w:pPr>
              <w:pStyle w:val="18"/>
              <w:rPr>
                <w:color w:val="auto"/>
                <w:highlight w:val="none"/>
              </w:rPr>
            </w:pPr>
          </w:p>
        </w:tc>
        <w:tc>
          <w:tcPr>
            <w:tcW w:w="1201" w:type="dxa"/>
            <w:vAlign w:val="top"/>
          </w:tcPr>
          <w:p w14:paraId="4F8F284E">
            <w:pPr>
              <w:pStyle w:val="18"/>
              <w:rPr>
                <w:color w:val="auto"/>
                <w:highlight w:val="none"/>
              </w:rPr>
            </w:pPr>
          </w:p>
        </w:tc>
        <w:tc>
          <w:tcPr>
            <w:tcW w:w="846" w:type="dxa"/>
            <w:vAlign w:val="top"/>
          </w:tcPr>
          <w:p w14:paraId="7846C9AE">
            <w:pPr>
              <w:pStyle w:val="18"/>
              <w:rPr>
                <w:color w:val="auto"/>
                <w:highlight w:val="none"/>
              </w:rPr>
            </w:pPr>
          </w:p>
        </w:tc>
        <w:tc>
          <w:tcPr>
            <w:tcW w:w="916" w:type="dxa"/>
            <w:vAlign w:val="top"/>
          </w:tcPr>
          <w:p w14:paraId="1CE3A782">
            <w:pPr>
              <w:pStyle w:val="18"/>
              <w:rPr>
                <w:color w:val="auto"/>
                <w:highlight w:val="none"/>
              </w:rPr>
            </w:pPr>
          </w:p>
        </w:tc>
        <w:tc>
          <w:tcPr>
            <w:tcW w:w="1142" w:type="dxa"/>
            <w:vAlign w:val="top"/>
          </w:tcPr>
          <w:p w14:paraId="69F152E0">
            <w:pPr>
              <w:pStyle w:val="18"/>
              <w:rPr>
                <w:color w:val="auto"/>
                <w:highlight w:val="none"/>
              </w:rPr>
            </w:pPr>
          </w:p>
        </w:tc>
        <w:tc>
          <w:tcPr>
            <w:tcW w:w="1142" w:type="dxa"/>
            <w:vAlign w:val="top"/>
          </w:tcPr>
          <w:p w14:paraId="1773DC38">
            <w:pPr>
              <w:pStyle w:val="18"/>
              <w:rPr>
                <w:color w:val="auto"/>
                <w:highlight w:val="none"/>
              </w:rPr>
            </w:pPr>
          </w:p>
        </w:tc>
        <w:tc>
          <w:tcPr>
            <w:tcW w:w="2777" w:type="dxa"/>
            <w:vAlign w:val="top"/>
          </w:tcPr>
          <w:p w14:paraId="6F8DF750">
            <w:pPr>
              <w:pStyle w:val="18"/>
              <w:rPr>
                <w:color w:val="auto"/>
                <w:highlight w:val="none"/>
              </w:rPr>
            </w:pPr>
          </w:p>
        </w:tc>
      </w:tr>
      <w:tr w14:paraId="102FBF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5B77B997">
            <w:pPr>
              <w:spacing w:before="171" w:line="178" w:lineRule="auto"/>
              <w:ind w:left="261"/>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7</w:t>
            </w:r>
          </w:p>
        </w:tc>
        <w:tc>
          <w:tcPr>
            <w:tcW w:w="831" w:type="dxa"/>
            <w:vAlign w:val="top"/>
          </w:tcPr>
          <w:p w14:paraId="1DA074D3">
            <w:pPr>
              <w:pStyle w:val="18"/>
              <w:rPr>
                <w:color w:val="auto"/>
                <w:highlight w:val="none"/>
              </w:rPr>
            </w:pPr>
          </w:p>
        </w:tc>
        <w:tc>
          <w:tcPr>
            <w:tcW w:w="930" w:type="dxa"/>
            <w:vAlign w:val="top"/>
          </w:tcPr>
          <w:p w14:paraId="52184E29">
            <w:pPr>
              <w:pStyle w:val="18"/>
              <w:rPr>
                <w:color w:val="auto"/>
                <w:highlight w:val="none"/>
              </w:rPr>
            </w:pPr>
          </w:p>
        </w:tc>
        <w:tc>
          <w:tcPr>
            <w:tcW w:w="931" w:type="dxa"/>
            <w:vAlign w:val="top"/>
          </w:tcPr>
          <w:p w14:paraId="5DDB5A3A">
            <w:pPr>
              <w:pStyle w:val="18"/>
              <w:rPr>
                <w:color w:val="auto"/>
                <w:highlight w:val="none"/>
              </w:rPr>
            </w:pPr>
          </w:p>
        </w:tc>
        <w:tc>
          <w:tcPr>
            <w:tcW w:w="900" w:type="dxa"/>
            <w:vAlign w:val="top"/>
          </w:tcPr>
          <w:p w14:paraId="5459D4A2">
            <w:pPr>
              <w:pStyle w:val="18"/>
              <w:rPr>
                <w:color w:val="auto"/>
                <w:highlight w:val="none"/>
              </w:rPr>
            </w:pPr>
          </w:p>
        </w:tc>
        <w:tc>
          <w:tcPr>
            <w:tcW w:w="1065" w:type="dxa"/>
            <w:vAlign w:val="top"/>
          </w:tcPr>
          <w:p w14:paraId="268939E4">
            <w:pPr>
              <w:pStyle w:val="18"/>
              <w:rPr>
                <w:color w:val="auto"/>
                <w:highlight w:val="none"/>
              </w:rPr>
            </w:pPr>
          </w:p>
        </w:tc>
        <w:tc>
          <w:tcPr>
            <w:tcW w:w="854" w:type="dxa"/>
            <w:vAlign w:val="top"/>
          </w:tcPr>
          <w:p w14:paraId="3D78EB14">
            <w:pPr>
              <w:pStyle w:val="18"/>
              <w:rPr>
                <w:color w:val="auto"/>
                <w:highlight w:val="none"/>
              </w:rPr>
            </w:pPr>
          </w:p>
        </w:tc>
        <w:tc>
          <w:tcPr>
            <w:tcW w:w="1201" w:type="dxa"/>
            <w:vAlign w:val="top"/>
          </w:tcPr>
          <w:p w14:paraId="718579B9">
            <w:pPr>
              <w:pStyle w:val="18"/>
              <w:rPr>
                <w:color w:val="auto"/>
                <w:highlight w:val="none"/>
              </w:rPr>
            </w:pPr>
          </w:p>
        </w:tc>
        <w:tc>
          <w:tcPr>
            <w:tcW w:w="846" w:type="dxa"/>
            <w:vAlign w:val="top"/>
          </w:tcPr>
          <w:p w14:paraId="62F5519C">
            <w:pPr>
              <w:pStyle w:val="18"/>
              <w:rPr>
                <w:color w:val="auto"/>
                <w:highlight w:val="none"/>
              </w:rPr>
            </w:pPr>
          </w:p>
        </w:tc>
        <w:tc>
          <w:tcPr>
            <w:tcW w:w="916" w:type="dxa"/>
            <w:vAlign w:val="top"/>
          </w:tcPr>
          <w:p w14:paraId="09B7E6E1">
            <w:pPr>
              <w:pStyle w:val="18"/>
              <w:rPr>
                <w:color w:val="auto"/>
                <w:highlight w:val="none"/>
              </w:rPr>
            </w:pPr>
          </w:p>
        </w:tc>
        <w:tc>
          <w:tcPr>
            <w:tcW w:w="1142" w:type="dxa"/>
            <w:vAlign w:val="top"/>
          </w:tcPr>
          <w:p w14:paraId="02F65C74">
            <w:pPr>
              <w:pStyle w:val="18"/>
              <w:rPr>
                <w:color w:val="auto"/>
                <w:highlight w:val="none"/>
              </w:rPr>
            </w:pPr>
          </w:p>
        </w:tc>
        <w:tc>
          <w:tcPr>
            <w:tcW w:w="1142" w:type="dxa"/>
            <w:vAlign w:val="top"/>
          </w:tcPr>
          <w:p w14:paraId="032B5E96">
            <w:pPr>
              <w:pStyle w:val="18"/>
              <w:rPr>
                <w:color w:val="auto"/>
                <w:highlight w:val="none"/>
              </w:rPr>
            </w:pPr>
          </w:p>
        </w:tc>
        <w:tc>
          <w:tcPr>
            <w:tcW w:w="2777" w:type="dxa"/>
            <w:vAlign w:val="top"/>
          </w:tcPr>
          <w:p w14:paraId="281DF251">
            <w:pPr>
              <w:pStyle w:val="18"/>
              <w:rPr>
                <w:color w:val="auto"/>
                <w:highlight w:val="none"/>
              </w:rPr>
            </w:pPr>
          </w:p>
        </w:tc>
      </w:tr>
      <w:tr w14:paraId="7871B6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573B4BD3">
            <w:pPr>
              <w:spacing w:before="290" w:line="99" w:lineRule="exact"/>
              <w:ind w:left="249"/>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2"/>
                <w:position w:val="2"/>
                <w:sz w:val="17"/>
                <w:szCs w:val="17"/>
                <w:highlight w:val="none"/>
              </w:rPr>
              <w:t>...</w:t>
            </w:r>
          </w:p>
        </w:tc>
        <w:tc>
          <w:tcPr>
            <w:tcW w:w="831" w:type="dxa"/>
            <w:vAlign w:val="top"/>
          </w:tcPr>
          <w:p w14:paraId="2D9F9578">
            <w:pPr>
              <w:pStyle w:val="18"/>
              <w:rPr>
                <w:color w:val="auto"/>
                <w:highlight w:val="none"/>
              </w:rPr>
            </w:pPr>
          </w:p>
        </w:tc>
        <w:tc>
          <w:tcPr>
            <w:tcW w:w="930" w:type="dxa"/>
            <w:vAlign w:val="top"/>
          </w:tcPr>
          <w:p w14:paraId="5F9C88D2">
            <w:pPr>
              <w:pStyle w:val="18"/>
              <w:rPr>
                <w:color w:val="auto"/>
                <w:highlight w:val="none"/>
              </w:rPr>
            </w:pPr>
          </w:p>
        </w:tc>
        <w:tc>
          <w:tcPr>
            <w:tcW w:w="931" w:type="dxa"/>
            <w:vAlign w:val="top"/>
          </w:tcPr>
          <w:p w14:paraId="1AC4482B">
            <w:pPr>
              <w:pStyle w:val="18"/>
              <w:rPr>
                <w:color w:val="auto"/>
                <w:highlight w:val="none"/>
              </w:rPr>
            </w:pPr>
          </w:p>
        </w:tc>
        <w:tc>
          <w:tcPr>
            <w:tcW w:w="900" w:type="dxa"/>
            <w:vAlign w:val="top"/>
          </w:tcPr>
          <w:p w14:paraId="7128A5A8">
            <w:pPr>
              <w:pStyle w:val="18"/>
              <w:rPr>
                <w:color w:val="auto"/>
                <w:highlight w:val="none"/>
              </w:rPr>
            </w:pPr>
          </w:p>
        </w:tc>
        <w:tc>
          <w:tcPr>
            <w:tcW w:w="1065" w:type="dxa"/>
            <w:vAlign w:val="top"/>
          </w:tcPr>
          <w:p w14:paraId="5BF75689">
            <w:pPr>
              <w:pStyle w:val="18"/>
              <w:rPr>
                <w:color w:val="auto"/>
                <w:highlight w:val="none"/>
              </w:rPr>
            </w:pPr>
          </w:p>
        </w:tc>
        <w:tc>
          <w:tcPr>
            <w:tcW w:w="854" w:type="dxa"/>
            <w:vAlign w:val="top"/>
          </w:tcPr>
          <w:p w14:paraId="012E89D3">
            <w:pPr>
              <w:pStyle w:val="18"/>
              <w:rPr>
                <w:color w:val="auto"/>
                <w:highlight w:val="none"/>
              </w:rPr>
            </w:pPr>
          </w:p>
        </w:tc>
        <w:tc>
          <w:tcPr>
            <w:tcW w:w="1201" w:type="dxa"/>
            <w:vAlign w:val="top"/>
          </w:tcPr>
          <w:p w14:paraId="3E56B68C">
            <w:pPr>
              <w:pStyle w:val="18"/>
              <w:rPr>
                <w:color w:val="auto"/>
                <w:highlight w:val="none"/>
              </w:rPr>
            </w:pPr>
          </w:p>
        </w:tc>
        <w:tc>
          <w:tcPr>
            <w:tcW w:w="846" w:type="dxa"/>
            <w:vAlign w:val="top"/>
          </w:tcPr>
          <w:p w14:paraId="257BBDC2">
            <w:pPr>
              <w:pStyle w:val="18"/>
              <w:rPr>
                <w:color w:val="auto"/>
                <w:highlight w:val="none"/>
              </w:rPr>
            </w:pPr>
          </w:p>
        </w:tc>
        <w:tc>
          <w:tcPr>
            <w:tcW w:w="916" w:type="dxa"/>
            <w:vAlign w:val="top"/>
          </w:tcPr>
          <w:p w14:paraId="0CA79186">
            <w:pPr>
              <w:pStyle w:val="18"/>
              <w:rPr>
                <w:color w:val="auto"/>
                <w:highlight w:val="none"/>
              </w:rPr>
            </w:pPr>
          </w:p>
        </w:tc>
        <w:tc>
          <w:tcPr>
            <w:tcW w:w="1142" w:type="dxa"/>
            <w:vAlign w:val="top"/>
          </w:tcPr>
          <w:p w14:paraId="28C5927F">
            <w:pPr>
              <w:pStyle w:val="18"/>
              <w:rPr>
                <w:color w:val="auto"/>
                <w:highlight w:val="none"/>
              </w:rPr>
            </w:pPr>
          </w:p>
        </w:tc>
        <w:tc>
          <w:tcPr>
            <w:tcW w:w="1142" w:type="dxa"/>
            <w:vAlign w:val="top"/>
          </w:tcPr>
          <w:p w14:paraId="44161428">
            <w:pPr>
              <w:pStyle w:val="18"/>
              <w:rPr>
                <w:color w:val="auto"/>
                <w:highlight w:val="none"/>
              </w:rPr>
            </w:pPr>
          </w:p>
        </w:tc>
        <w:tc>
          <w:tcPr>
            <w:tcW w:w="2777" w:type="dxa"/>
            <w:vAlign w:val="top"/>
          </w:tcPr>
          <w:p w14:paraId="2A616AE3">
            <w:pPr>
              <w:pStyle w:val="18"/>
              <w:rPr>
                <w:color w:val="auto"/>
                <w:highlight w:val="none"/>
              </w:rPr>
            </w:pPr>
          </w:p>
        </w:tc>
      </w:tr>
      <w:tr w14:paraId="4D08B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2A6C28E2">
            <w:pPr>
              <w:pStyle w:val="18"/>
              <w:rPr>
                <w:color w:val="auto"/>
                <w:highlight w:val="none"/>
              </w:rPr>
            </w:pPr>
          </w:p>
        </w:tc>
        <w:tc>
          <w:tcPr>
            <w:tcW w:w="831" w:type="dxa"/>
            <w:vAlign w:val="top"/>
          </w:tcPr>
          <w:p w14:paraId="199E04EC">
            <w:pPr>
              <w:pStyle w:val="18"/>
              <w:rPr>
                <w:color w:val="auto"/>
                <w:highlight w:val="none"/>
              </w:rPr>
            </w:pPr>
          </w:p>
        </w:tc>
        <w:tc>
          <w:tcPr>
            <w:tcW w:w="930" w:type="dxa"/>
            <w:vAlign w:val="top"/>
          </w:tcPr>
          <w:p w14:paraId="566F216F">
            <w:pPr>
              <w:pStyle w:val="18"/>
              <w:rPr>
                <w:color w:val="auto"/>
                <w:highlight w:val="none"/>
              </w:rPr>
            </w:pPr>
          </w:p>
        </w:tc>
        <w:tc>
          <w:tcPr>
            <w:tcW w:w="931" w:type="dxa"/>
            <w:vAlign w:val="top"/>
          </w:tcPr>
          <w:p w14:paraId="5E1E2121">
            <w:pPr>
              <w:pStyle w:val="18"/>
              <w:rPr>
                <w:color w:val="auto"/>
                <w:highlight w:val="none"/>
              </w:rPr>
            </w:pPr>
          </w:p>
        </w:tc>
        <w:tc>
          <w:tcPr>
            <w:tcW w:w="900" w:type="dxa"/>
            <w:vAlign w:val="top"/>
          </w:tcPr>
          <w:p w14:paraId="25213862">
            <w:pPr>
              <w:pStyle w:val="18"/>
              <w:rPr>
                <w:color w:val="auto"/>
                <w:highlight w:val="none"/>
              </w:rPr>
            </w:pPr>
          </w:p>
        </w:tc>
        <w:tc>
          <w:tcPr>
            <w:tcW w:w="1065" w:type="dxa"/>
            <w:vAlign w:val="top"/>
          </w:tcPr>
          <w:p w14:paraId="2446FD2F">
            <w:pPr>
              <w:pStyle w:val="18"/>
              <w:rPr>
                <w:color w:val="auto"/>
                <w:highlight w:val="none"/>
              </w:rPr>
            </w:pPr>
          </w:p>
        </w:tc>
        <w:tc>
          <w:tcPr>
            <w:tcW w:w="854" w:type="dxa"/>
            <w:vAlign w:val="top"/>
          </w:tcPr>
          <w:p w14:paraId="1F424619">
            <w:pPr>
              <w:pStyle w:val="18"/>
              <w:rPr>
                <w:color w:val="auto"/>
                <w:highlight w:val="none"/>
              </w:rPr>
            </w:pPr>
          </w:p>
        </w:tc>
        <w:tc>
          <w:tcPr>
            <w:tcW w:w="1201" w:type="dxa"/>
            <w:vAlign w:val="top"/>
          </w:tcPr>
          <w:p w14:paraId="3FB96205">
            <w:pPr>
              <w:pStyle w:val="18"/>
              <w:rPr>
                <w:color w:val="auto"/>
                <w:highlight w:val="none"/>
              </w:rPr>
            </w:pPr>
          </w:p>
        </w:tc>
        <w:tc>
          <w:tcPr>
            <w:tcW w:w="846" w:type="dxa"/>
            <w:vAlign w:val="top"/>
          </w:tcPr>
          <w:p w14:paraId="0BC5617E">
            <w:pPr>
              <w:pStyle w:val="18"/>
              <w:rPr>
                <w:color w:val="auto"/>
                <w:highlight w:val="none"/>
              </w:rPr>
            </w:pPr>
          </w:p>
        </w:tc>
        <w:tc>
          <w:tcPr>
            <w:tcW w:w="916" w:type="dxa"/>
            <w:vAlign w:val="top"/>
          </w:tcPr>
          <w:p w14:paraId="546FE5E8">
            <w:pPr>
              <w:pStyle w:val="18"/>
              <w:rPr>
                <w:color w:val="auto"/>
                <w:highlight w:val="none"/>
              </w:rPr>
            </w:pPr>
          </w:p>
        </w:tc>
        <w:tc>
          <w:tcPr>
            <w:tcW w:w="1142" w:type="dxa"/>
            <w:vAlign w:val="top"/>
          </w:tcPr>
          <w:p w14:paraId="1A77B061">
            <w:pPr>
              <w:pStyle w:val="18"/>
              <w:rPr>
                <w:color w:val="auto"/>
                <w:highlight w:val="none"/>
              </w:rPr>
            </w:pPr>
          </w:p>
        </w:tc>
        <w:tc>
          <w:tcPr>
            <w:tcW w:w="1142" w:type="dxa"/>
            <w:vAlign w:val="top"/>
          </w:tcPr>
          <w:p w14:paraId="019A7C07">
            <w:pPr>
              <w:pStyle w:val="18"/>
              <w:rPr>
                <w:color w:val="auto"/>
                <w:highlight w:val="none"/>
              </w:rPr>
            </w:pPr>
          </w:p>
        </w:tc>
        <w:tc>
          <w:tcPr>
            <w:tcW w:w="2777" w:type="dxa"/>
            <w:vAlign w:val="top"/>
          </w:tcPr>
          <w:p w14:paraId="3DDF1953">
            <w:pPr>
              <w:pStyle w:val="18"/>
              <w:rPr>
                <w:color w:val="auto"/>
                <w:highlight w:val="none"/>
              </w:rPr>
            </w:pPr>
          </w:p>
        </w:tc>
      </w:tr>
      <w:tr w14:paraId="01C099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607" w:type="dxa"/>
            <w:vAlign w:val="top"/>
          </w:tcPr>
          <w:p w14:paraId="27CBD1FF">
            <w:pPr>
              <w:spacing w:before="158" w:line="190" w:lineRule="auto"/>
              <w:ind w:left="124"/>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合计</w:t>
            </w:r>
          </w:p>
        </w:tc>
        <w:tc>
          <w:tcPr>
            <w:tcW w:w="831" w:type="dxa"/>
            <w:vAlign w:val="top"/>
          </w:tcPr>
          <w:p w14:paraId="1B607E13">
            <w:pPr>
              <w:pStyle w:val="18"/>
              <w:rPr>
                <w:color w:val="auto"/>
                <w:highlight w:val="none"/>
              </w:rPr>
            </w:pPr>
          </w:p>
        </w:tc>
        <w:tc>
          <w:tcPr>
            <w:tcW w:w="930" w:type="dxa"/>
            <w:vAlign w:val="top"/>
          </w:tcPr>
          <w:p w14:paraId="0321B4CA">
            <w:pPr>
              <w:pStyle w:val="18"/>
              <w:rPr>
                <w:color w:val="auto"/>
                <w:highlight w:val="none"/>
              </w:rPr>
            </w:pPr>
          </w:p>
        </w:tc>
        <w:tc>
          <w:tcPr>
            <w:tcW w:w="931" w:type="dxa"/>
            <w:vAlign w:val="top"/>
          </w:tcPr>
          <w:p w14:paraId="36CA6C1E">
            <w:pPr>
              <w:pStyle w:val="18"/>
              <w:rPr>
                <w:color w:val="auto"/>
                <w:highlight w:val="none"/>
              </w:rPr>
            </w:pPr>
          </w:p>
        </w:tc>
        <w:tc>
          <w:tcPr>
            <w:tcW w:w="900" w:type="dxa"/>
            <w:vAlign w:val="top"/>
          </w:tcPr>
          <w:p w14:paraId="74528BE2">
            <w:pPr>
              <w:pStyle w:val="18"/>
              <w:rPr>
                <w:color w:val="auto"/>
                <w:highlight w:val="none"/>
              </w:rPr>
            </w:pPr>
          </w:p>
        </w:tc>
        <w:tc>
          <w:tcPr>
            <w:tcW w:w="1065" w:type="dxa"/>
            <w:vAlign w:val="top"/>
          </w:tcPr>
          <w:p w14:paraId="13CB7637">
            <w:pPr>
              <w:pStyle w:val="18"/>
              <w:rPr>
                <w:color w:val="auto"/>
                <w:highlight w:val="none"/>
              </w:rPr>
            </w:pPr>
          </w:p>
        </w:tc>
        <w:tc>
          <w:tcPr>
            <w:tcW w:w="854" w:type="dxa"/>
            <w:vAlign w:val="top"/>
          </w:tcPr>
          <w:p w14:paraId="4DF2DF69">
            <w:pPr>
              <w:pStyle w:val="18"/>
              <w:rPr>
                <w:color w:val="auto"/>
                <w:highlight w:val="none"/>
              </w:rPr>
            </w:pPr>
          </w:p>
        </w:tc>
        <w:tc>
          <w:tcPr>
            <w:tcW w:w="1201" w:type="dxa"/>
            <w:vAlign w:val="top"/>
          </w:tcPr>
          <w:p w14:paraId="30378D8D">
            <w:pPr>
              <w:pStyle w:val="18"/>
              <w:rPr>
                <w:color w:val="auto"/>
                <w:highlight w:val="none"/>
              </w:rPr>
            </w:pPr>
          </w:p>
        </w:tc>
        <w:tc>
          <w:tcPr>
            <w:tcW w:w="846" w:type="dxa"/>
            <w:vAlign w:val="top"/>
          </w:tcPr>
          <w:p w14:paraId="253822EC">
            <w:pPr>
              <w:pStyle w:val="18"/>
              <w:rPr>
                <w:color w:val="auto"/>
                <w:highlight w:val="none"/>
              </w:rPr>
            </w:pPr>
          </w:p>
        </w:tc>
        <w:tc>
          <w:tcPr>
            <w:tcW w:w="916" w:type="dxa"/>
            <w:vAlign w:val="top"/>
          </w:tcPr>
          <w:p w14:paraId="1404CC93">
            <w:pPr>
              <w:pStyle w:val="18"/>
              <w:rPr>
                <w:color w:val="auto"/>
                <w:highlight w:val="none"/>
              </w:rPr>
            </w:pPr>
          </w:p>
        </w:tc>
        <w:tc>
          <w:tcPr>
            <w:tcW w:w="1142" w:type="dxa"/>
            <w:vAlign w:val="top"/>
          </w:tcPr>
          <w:p w14:paraId="673C54F9">
            <w:pPr>
              <w:pStyle w:val="18"/>
              <w:rPr>
                <w:color w:val="auto"/>
                <w:highlight w:val="none"/>
              </w:rPr>
            </w:pPr>
          </w:p>
        </w:tc>
        <w:tc>
          <w:tcPr>
            <w:tcW w:w="1142" w:type="dxa"/>
            <w:vAlign w:val="top"/>
          </w:tcPr>
          <w:p w14:paraId="3292927E">
            <w:pPr>
              <w:pStyle w:val="18"/>
              <w:rPr>
                <w:color w:val="auto"/>
                <w:highlight w:val="none"/>
              </w:rPr>
            </w:pPr>
          </w:p>
        </w:tc>
        <w:tc>
          <w:tcPr>
            <w:tcW w:w="2777" w:type="dxa"/>
            <w:vAlign w:val="top"/>
          </w:tcPr>
          <w:p w14:paraId="38A26358">
            <w:pPr>
              <w:pStyle w:val="18"/>
              <w:rPr>
                <w:color w:val="auto"/>
                <w:highlight w:val="none"/>
              </w:rPr>
            </w:pPr>
          </w:p>
        </w:tc>
      </w:tr>
    </w:tbl>
    <w:p w14:paraId="62410C44">
      <w:pPr>
        <w:pStyle w:val="4"/>
        <w:spacing w:before="46" w:line="534" w:lineRule="exact"/>
        <w:ind w:left="68"/>
        <w:rPr>
          <w:rFonts w:hint="default" w:ascii="宋体" w:hAnsi="宋体" w:eastAsia="宋体" w:cs="宋体"/>
          <w:color w:val="auto"/>
          <w:spacing w:val="8"/>
          <w:position w:val="10"/>
          <w:sz w:val="20"/>
          <w:szCs w:val="20"/>
          <w:highlight w:val="none"/>
          <w:lang w:val="en-US" w:eastAsia="zh-CN"/>
        </w:rPr>
      </w:pPr>
      <w:r>
        <w:rPr>
          <w:rFonts w:hint="eastAsia" w:ascii="宋体" w:hAnsi="宋体" w:eastAsia="宋体" w:cs="宋体"/>
          <w:color w:val="auto"/>
          <w:spacing w:val="3"/>
          <w:position w:val="29"/>
          <w:sz w:val="18"/>
          <w:szCs w:val="18"/>
          <w:highlight w:val="none"/>
        </w:rPr>
        <w:t>说明：供应商根据对账需求可增加表头内容，不得删减表头内</w:t>
      </w:r>
      <w:r>
        <w:rPr>
          <w:rFonts w:hint="eastAsia" w:ascii="宋体" w:hAnsi="宋体" w:eastAsia="宋体" w:cs="宋体"/>
          <w:color w:val="auto"/>
          <w:spacing w:val="2"/>
          <w:position w:val="29"/>
          <w:sz w:val="18"/>
          <w:szCs w:val="18"/>
          <w:highlight w:val="none"/>
        </w:rPr>
        <w:t>容。</w:t>
      </w:r>
    </w:p>
    <w:p w14:paraId="4D347FDA">
      <w:pPr>
        <w:spacing w:line="480" w:lineRule="auto"/>
        <w:jc w:val="both"/>
        <w:rPr>
          <w:rFonts w:hint="eastAsia" w:ascii="宋体" w:hAnsi="宋体" w:eastAsia="宋体" w:cs="宋体"/>
          <w:color w:val="auto"/>
          <w:spacing w:val="-5"/>
          <w:position w:val="-1"/>
          <w:sz w:val="24"/>
          <w:szCs w:val="24"/>
          <w:highlight w:val="none"/>
          <w:lang w:val="en-US" w:eastAsia="zh-CN"/>
        </w:rPr>
      </w:pPr>
      <w:r>
        <w:rPr>
          <w:rFonts w:hint="eastAsia" w:ascii="宋体" w:hAnsi="宋体" w:eastAsia="宋体" w:cs="宋体"/>
          <w:color w:val="auto"/>
          <w:spacing w:val="-5"/>
          <w:position w:val="-1"/>
          <w:sz w:val="24"/>
          <w:szCs w:val="24"/>
          <w:highlight w:val="none"/>
          <w:lang w:val="en-US" w:eastAsia="zh-CN"/>
        </w:rPr>
        <w:t>收货单位对账人员签收</w:t>
      </w:r>
      <w:r>
        <w:rPr>
          <w:rFonts w:hint="eastAsia" w:ascii="宋体" w:hAnsi="宋体" w:cs="宋体"/>
          <w:color w:val="auto"/>
          <w:spacing w:val="-5"/>
          <w:position w:val="-1"/>
          <w:sz w:val="24"/>
          <w:szCs w:val="24"/>
          <w:highlight w:val="none"/>
          <w:lang w:val="en-US" w:eastAsia="zh-CN"/>
        </w:rPr>
        <w:t xml:space="preserve">：                                                             </w:t>
      </w:r>
      <w:r>
        <w:rPr>
          <w:rFonts w:hint="eastAsia" w:ascii="宋体" w:hAnsi="宋体" w:eastAsia="宋体" w:cs="宋体"/>
          <w:color w:val="auto"/>
          <w:spacing w:val="8"/>
          <w:position w:val="-1"/>
          <w:sz w:val="24"/>
          <w:szCs w:val="24"/>
          <w:highlight w:val="none"/>
        </w:rPr>
        <w:t>供货单位签章</w:t>
      </w:r>
      <w:r>
        <w:rPr>
          <w:rFonts w:hint="eastAsia" w:ascii="宋体" w:hAnsi="宋体" w:cs="宋体"/>
          <w:color w:val="auto"/>
          <w:spacing w:val="8"/>
          <w:position w:val="-1"/>
          <w:sz w:val="24"/>
          <w:szCs w:val="24"/>
          <w:highlight w:val="none"/>
          <w:lang w:eastAsia="zh-CN"/>
        </w:rPr>
        <w:t>：</w:t>
      </w:r>
    </w:p>
    <w:p w14:paraId="6A1C7ED9">
      <w:pPr>
        <w:spacing w:line="480" w:lineRule="auto"/>
        <w:jc w:val="both"/>
        <w:rPr>
          <w:rFonts w:hint="eastAsia" w:ascii="仿宋" w:hAnsi="仿宋" w:eastAsia="仿宋" w:cs="仿宋"/>
          <w:b/>
          <w:bCs/>
          <w:color w:val="auto"/>
          <w:sz w:val="44"/>
          <w:szCs w:val="44"/>
          <w:highlight w:val="none"/>
          <w:lang w:val="en-US" w:eastAsia="zh-CN"/>
        </w:rPr>
      </w:pPr>
      <w:r>
        <w:rPr>
          <w:rFonts w:hint="eastAsia" w:ascii="宋体" w:hAnsi="宋体" w:eastAsia="宋体" w:cs="宋体"/>
          <w:color w:val="auto"/>
          <w:spacing w:val="-5"/>
          <w:position w:val="-1"/>
          <w:sz w:val="24"/>
          <w:szCs w:val="24"/>
          <w:highlight w:val="none"/>
          <w:lang w:val="en-US" w:eastAsia="zh-CN"/>
        </w:rPr>
        <w:t>日期:</w:t>
      </w:r>
      <w:r>
        <w:rPr>
          <w:rFonts w:hint="eastAsia" w:ascii="宋体" w:hAnsi="宋体" w:cs="宋体"/>
          <w:color w:val="auto"/>
          <w:spacing w:val="-5"/>
          <w:position w:val="-1"/>
          <w:sz w:val="24"/>
          <w:szCs w:val="24"/>
          <w:highlight w:val="none"/>
          <w:lang w:val="en-US" w:eastAsia="zh-CN"/>
        </w:rPr>
        <w:t xml:space="preserve">                                                                              日期：</w:t>
      </w:r>
    </w:p>
    <w:p w14:paraId="68279587">
      <w:pPr>
        <w:pageBreakBefore w:val="0"/>
        <w:wordWrap/>
        <w:topLinePunct w:val="0"/>
        <w:bidi w:val="0"/>
        <w:spacing w:line="360" w:lineRule="auto"/>
        <w:jc w:val="right"/>
        <w:rPr>
          <w:rFonts w:hint="eastAsia" w:ascii="仿宋" w:hAnsi="仿宋" w:eastAsia="仿宋" w:cs="仿宋"/>
          <w:b/>
          <w:bCs/>
          <w:color w:val="auto"/>
          <w:sz w:val="44"/>
          <w:szCs w:val="44"/>
          <w:highlight w:val="none"/>
          <w:lang w:val="en-US" w:eastAsia="zh-CN"/>
        </w:rPr>
        <w:sectPr>
          <w:pgSz w:w="16838" w:h="11906" w:orient="landscape"/>
          <w:pgMar w:top="850" w:right="1134" w:bottom="850" w:left="567" w:header="737" w:footer="624" w:gutter="0"/>
          <w:pgBorders>
            <w:top w:val="none" w:sz="0" w:space="0"/>
            <w:left w:val="none" w:sz="0" w:space="0"/>
            <w:bottom w:val="none" w:sz="0" w:space="0"/>
            <w:right w:val="none" w:sz="0" w:space="0"/>
          </w:pgBorders>
          <w:pgNumType w:fmt="decimal"/>
          <w:cols w:space="720" w:num="1"/>
          <w:rtlGutter w:val="0"/>
          <w:docGrid w:type="lines" w:linePitch="312" w:charSpace="0"/>
        </w:sectPr>
      </w:pPr>
    </w:p>
    <w:p w14:paraId="0E3B2EE3">
      <w:pPr>
        <w:pageBreakBefore w:val="0"/>
        <w:wordWrap/>
        <w:topLinePunct w:val="0"/>
        <w:bidi w:val="0"/>
        <w:spacing w:line="360" w:lineRule="auto"/>
        <w:jc w:val="right"/>
        <w:rPr>
          <w:rFonts w:hint="eastAsia" w:ascii="仿宋" w:hAnsi="仿宋" w:eastAsia="仿宋" w:cs="仿宋"/>
          <w:b/>
          <w:bCs/>
          <w:i w:val="0"/>
          <w:iCs w:val="0"/>
          <w:color w:val="auto"/>
          <w:kern w:val="0"/>
          <w:sz w:val="44"/>
          <w:szCs w:val="44"/>
          <w:highlight w:val="none"/>
          <w:u w:val="none"/>
          <w:lang w:val="en-US" w:eastAsia="zh-CN" w:bidi="ar"/>
        </w:rPr>
      </w:pPr>
    </w:p>
    <w:p w14:paraId="6BCC0575">
      <w:pPr>
        <w:pageBreakBefore w:val="0"/>
        <w:wordWrap/>
        <w:topLinePunct w:val="0"/>
        <w:bidi w:val="0"/>
        <w:spacing w:line="360" w:lineRule="auto"/>
        <w:jc w:val="right"/>
        <w:rPr>
          <w:rFonts w:hint="eastAsia" w:ascii="仿宋" w:hAnsi="仿宋" w:eastAsia="仿宋" w:cs="仿宋"/>
          <w:b/>
          <w:bCs/>
          <w:i w:val="0"/>
          <w:iCs w:val="0"/>
          <w:color w:val="auto"/>
          <w:kern w:val="0"/>
          <w:sz w:val="44"/>
          <w:szCs w:val="44"/>
          <w:highlight w:val="none"/>
          <w:u w:val="none"/>
          <w:lang w:val="en-US" w:eastAsia="zh-CN" w:bidi="ar"/>
        </w:rPr>
      </w:pPr>
    </w:p>
    <w:p w14:paraId="04ED535E">
      <w:pPr>
        <w:pageBreakBefore w:val="0"/>
        <w:wordWrap/>
        <w:topLinePunct w:val="0"/>
        <w:bidi w:val="0"/>
        <w:spacing w:line="360" w:lineRule="auto"/>
        <w:jc w:val="right"/>
        <w:rPr>
          <w:rFonts w:hint="eastAsia" w:ascii="仿宋" w:hAnsi="仿宋" w:eastAsia="仿宋" w:cs="仿宋"/>
          <w:b/>
          <w:bCs/>
          <w:color w:val="auto"/>
          <w:sz w:val="44"/>
          <w:szCs w:val="44"/>
          <w:highlight w:val="none"/>
          <w:lang w:val="en-US" w:eastAsia="zh-CN"/>
        </w:rPr>
      </w:pPr>
      <w:r>
        <w:rPr>
          <w:rFonts w:hint="eastAsia" w:ascii="仿宋" w:hAnsi="仿宋" w:eastAsia="仿宋" w:cs="仿宋"/>
          <w:b/>
          <w:bCs/>
          <w:i w:val="0"/>
          <w:iCs w:val="0"/>
          <w:color w:val="auto"/>
          <w:kern w:val="0"/>
          <w:sz w:val="44"/>
          <w:szCs w:val="44"/>
          <w:highlight w:val="none"/>
          <w:u w:val="none"/>
          <w:lang w:val="en-US" w:eastAsia="zh-CN" w:bidi="ar"/>
        </w:rPr>
        <w:t>附件七</w:t>
      </w:r>
    </w:p>
    <w:p w14:paraId="121F3A1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40"/>
          <w:szCs w:val="36"/>
          <w:highlight w:val="none"/>
          <w:lang w:val="en-US" w:eastAsia="zh-CN"/>
        </w:rPr>
      </w:pPr>
    </w:p>
    <w:p w14:paraId="5E19ED3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40"/>
          <w:szCs w:val="36"/>
          <w:highlight w:val="none"/>
          <w:lang w:val="en-US" w:eastAsia="zh-CN"/>
        </w:rPr>
      </w:pPr>
    </w:p>
    <w:p w14:paraId="42934CD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甲方项目章样式</w:t>
      </w:r>
    </w:p>
    <w:p w14:paraId="0F839FC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30"/>
          <w:highlight w:val="none"/>
          <w:lang w:val="en-US" w:eastAsia="zh-CN"/>
        </w:rPr>
      </w:pPr>
    </w:p>
    <w:p w14:paraId="1A4040D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30"/>
          <w:highlight w:val="none"/>
          <w:lang w:val="en-US" w:eastAsia="zh-CN"/>
        </w:rPr>
      </w:pPr>
      <w:r>
        <w:rPr>
          <w:rFonts w:hint="eastAsia" w:ascii="仿宋" w:hAnsi="仿宋" w:eastAsia="仿宋" w:cs="仿宋"/>
          <w:b/>
          <w:bCs/>
          <w:color w:val="auto"/>
          <w:sz w:val="40"/>
          <w:szCs w:val="36"/>
          <w:highlight w:val="none"/>
          <w:lang w:val="en-US" w:eastAsia="zh-CN"/>
        </w:rPr>
        <w:drawing>
          <wp:inline distT="0" distB="0" distL="114300" distR="114300">
            <wp:extent cx="4090670" cy="3042285"/>
            <wp:effectExtent l="0" t="0" r="5080" b="5715"/>
            <wp:docPr id="2" name="图片 2" descr="1747622809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47622809042"/>
                    <pic:cNvPicPr>
                      <a:picLocks noChangeAspect="1"/>
                    </pic:cNvPicPr>
                  </pic:nvPicPr>
                  <pic:blipFill>
                    <a:blip r:embed="rId11"/>
                    <a:stretch>
                      <a:fillRect/>
                    </a:stretch>
                  </pic:blipFill>
                  <pic:spPr>
                    <a:xfrm>
                      <a:off x="0" y="0"/>
                      <a:ext cx="4090670" cy="3042285"/>
                    </a:xfrm>
                    <a:prstGeom prst="rect">
                      <a:avLst/>
                    </a:prstGeom>
                  </pic:spPr>
                </pic:pic>
              </a:graphicData>
            </a:graphic>
          </wp:inline>
        </w:drawing>
      </w:r>
    </w:p>
    <w:p w14:paraId="1C031C5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30"/>
          <w:highlight w:val="none"/>
          <w:lang w:val="en-US" w:eastAsia="zh-CN"/>
        </w:rPr>
      </w:pPr>
    </w:p>
    <w:p w14:paraId="57D448B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30"/>
          <w:highlight w:val="none"/>
          <w:lang w:val="en-US" w:eastAsia="zh-CN"/>
        </w:rPr>
      </w:pPr>
    </w:p>
    <w:p w14:paraId="1FBABE9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30"/>
          <w:highlight w:val="none"/>
          <w:lang w:val="en-US" w:eastAsia="zh-CN"/>
        </w:rPr>
      </w:pPr>
    </w:p>
    <w:p w14:paraId="5FC01EC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44"/>
          <w:szCs w:val="44"/>
          <w:highlight w:val="none"/>
          <w:lang w:val="en-US" w:eastAsia="zh-CN"/>
        </w:rPr>
      </w:pPr>
    </w:p>
    <w:p w14:paraId="45BD5B6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3D9142E6">
      <w:pPr>
        <w:pageBreakBefore w:val="0"/>
        <w:tabs>
          <w:tab w:val="left" w:pos="4762"/>
        </w:tabs>
        <w:wordWrap/>
        <w:topLinePunct w:val="0"/>
        <w:bidi w:val="0"/>
        <w:spacing w:line="360" w:lineRule="auto"/>
        <w:ind w:firstLine="422" w:firstLineChars="150"/>
        <w:jc w:val="center"/>
        <w:rPr>
          <w:rFonts w:hint="default" w:ascii="仿宋" w:hAnsi="仿宋" w:eastAsia="仿宋" w:cs="仿宋"/>
          <w:b/>
          <w:bCs/>
          <w:color w:val="auto"/>
          <w:sz w:val="28"/>
          <w:szCs w:val="22"/>
          <w:highlight w:val="none"/>
          <w:shd w:val="clear" w:color="auto" w:fill="auto"/>
          <w:lang w:val="en-US" w:eastAsia="zh-CN"/>
        </w:rPr>
      </w:pPr>
    </w:p>
    <w:p w14:paraId="604020A2">
      <w:pPr>
        <w:adjustRightInd w:val="0"/>
        <w:snapToGrid w:val="0"/>
        <w:spacing w:line="360" w:lineRule="auto"/>
        <w:jc w:val="right"/>
        <w:outlineLvl w:val="0"/>
        <w:rPr>
          <w:rFonts w:hint="default" w:ascii="仿宋" w:hAnsi="仿宋" w:eastAsia="仿宋" w:cs="仿宋"/>
          <w:color w:val="auto"/>
          <w:sz w:val="40"/>
          <w:szCs w:val="40"/>
          <w:highlight w:val="none"/>
          <w:lang w:val="en-US" w:eastAsia="zh-CN"/>
        </w:rPr>
      </w:pPr>
      <w:bookmarkStart w:id="157" w:name="_Toc22026"/>
      <w:r>
        <w:rPr>
          <w:rFonts w:hint="eastAsia" w:ascii="仿宋" w:hAnsi="仿宋" w:eastAsia="仿宋" w:cs="仿宋"/>
          <w:b/>
          <w:bCs/>
          <w:color w:val="auto"/>
          <w:sz w:val="36"/>
          <w:szCs w:val="36"/>
          <w:highlight w:val="none"/>
          <w:lang w:val="en-US" w:eastAsia="zh-CN"/>
        </w:rPr>
        <w:t>附件</w:t>
      </w:r>
      <w:bookmarkEnd w:id="157"/>
      <w:r>
        <w:rPr>
          <w:rFonts w:hint="eastAsia" w:ascii="仿宋" w:hAnsi="仿宋" w:eastAsia="仿宋" w:cs="仿宋"/>
          <w:b/>
          <w:bCs/>
          <w:color w:val="auto"/>
          <w:sz w:val="36"/>
          <w:szCs w:val="36"/>
          <w:highlight w:val="none"/>
          <w:lang w:val="en-US" w:eastAsia="zh-CN"/>
        </w:rPr>
        <w:t>八</w:t>
      </w:r>
    </w:p>
    <w:p w14:paraId="10C501B1">
      <w:pPr>
        <w:adjustRightInd w:val="0"/>
        <w:snapToGrid w:val="0"/>
        <w:spacing w:line="360" w:lineRule="auto"/>
        <w:jc w:val="center"/>
        <w:rPr>
          <w:rFonts w:hint="eastAsia" w:ascii="仿宋" w:hAnsi="仿宋" w:eastAsia="仿宋" w:cs="仿宋"/>
          <w:color w:val="auto"/>
        </w:rPr>
      </w:pPr>
      <w:r>
        <w:rPr>
          <w:rFonts w:hint="eastAsia" w:ascii="仿宋" w:hAnsi="仿宋" w:eastAsia="仿宋" w:cs="仿宋"/>
          <w:color w:val="auto"/>
          <w:sz w:val="44"/>
          <w:szCs w:val="44"/>
        </w:rPr>
        <w:drawing>
          <wp:inline distT="0" distB="0" distL="0" distR="0">
            <wp:extent cx="5547995" cy="692785"/>
            <wp:effectExtent l="0" t="0" r="14605" b="12065"/>
            <wp:docPr id="1029" name="图片 6" descr="LOGO-1"/>
            <wp:cNvGraphicFramePr/>
            <a:graphic xmlns:a="http://schemas.openxmlformats.org/drawingml/2006/main">
              <a:graphicData uri="http://schemas.openxmlformats.org/drawingml/2006/picture">
                <pic:pic xmlns:pic="http://schemas.openxmlformats.org/drawingml/2006/picture">
                  <pic:nvPicPr>
                    <pic:cNvPr id="1029" name="图片 6" descr="LOGO-1"/>
                    <pic:cNvPicPr/>
                  </pic:nvPicPr>
                  <pic:blipFill>
                    <a:blip r:embed="rId12" cstate="print">
                      <a:clrChange>
                        <a:clrFrom>
                          <a:srgbClr val="FFFFFF"/>
                        </a:clrFrom>
                        <a:clrTo>
                          <a:srgbClr val="FFFFFF">
                            <a:alpha val="0"/>
                          </a:srgbClr>
                        </a:clrTo>
                      </a:clrChange>
                    </a:blip>
                    <a:srcRect/>
                    <a:stretch>
                      <a:fillRect/>
                    </a:stretch>
                  </pic:blipFill>
                  <pic:spPr>
                    <a:xfrm>
                      <a:off x="0" y="0"/>
                      <a:ext cx="5547995" cy="692785"/>
                    </a:xfrm>
                    <a:prstGeom prst="rect">
                      <a:avLst/>
                    </a:prstGeom>
                  </pic:spPr>
                </pic:pic>
              </a:graphicData>
            </a:graphic>
          </wp:inline>
        </w:drawing>
      </w:r>
    </w:p>
    <w:p w14:paraId="7512341B">
      <w:pPr>
        <w:adjustRightInd w:val="0"/>
        <w:snapToGrid w:val="0"/>
        <w:spacing w:line="360" w:lineRule="auto"/>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t>物 料 申 购 单</w:t>
      </w:r>
    </w:p>
    <w:p w14:paraId="0053A4A4">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 xml:space="preserve">工程名称：     </w:t>
      </w:r>
      <w:r>
        <w:rPr>
          <w:rFonts w:hint="eastAsia" w:ascii="仿宋" w:hAnsi="仿宋" w:eastAsia="仿宋" w:cs="仿宋"/>
          <w:color w:val="auto"/>
          <w:lang w:val="en-US" w:eastAsia="zh-CN"/>
        </w:rPr>
        <w:t xml:space="preserve">     </w:t>
      </w:r>
      <w:r>
        <w:rPr>
          <w:rFonts w:hint="eastAsia" w:ascii="仿宋" w:hAnsi="仿宋" w:eastAsia="仿宋" w:cs="仿宋"/>
          <w:color w:val="auto"/>
        </w:rPr>
        <w:t xml:space="preserve"> </w:t>
      </w:r>
      <w:r>
        <w:rPr>
          <w:rFonts w:hint="eastAsia" w:ascii="仿宋" w:hAnsi="仿宋" w:eastAsia="仿宋" w:cs="仿宋"/>
          <w:color w:val="auto"/>
          <w:lang w:val="en-US" w:eastAsia="zh-CN"/>
        </w:rPr>
        <w:t xml:space="preserve">                                    </w:t>
      </w:r>
      <w:r>
        <w:rPr>
          <w:rFonts w:hint="eastAsia" w:ascii="仿宋" w:hAnsi="仿宋" w:eastAsia="仿宋" w:cs="仿宋"/>
          <w:color w:val="auto"/>
        </w:rPr>
        <w:t>日 期 ：</w:t>
      </w:r>
      <w:r>
        <w:rPr>
          <w:rFonts w:hint="eastAsia" w:ascii="仿宋" w:hAnsi="仿宋" w:eastAsia="仿宋" w:cs="仿宋"/>
          <w:color w:val="auto"/>
          <w:lang w:val="en-US" w:eastAsia="zh-CN"/>
        </w:rPr>
        <w:t xml:space="preserve">202  </w:t>
      </w:r>
      <w:r>
        <w:rPr>
          <w:rFonts w:hint="eastAsia" w:ascii="仿宋" w:hAnsi="仿宋" w:eastAsia="仿宋" w:cs="仿宋"/>
          <w:color w:val="auto"/>
        </w:rPr>
        <w:t xml:space="preserve">年 </w:t>
      </w:r>
      <w:r>
        <w:rPr>
          <w:rFonts w:hint="eastAsia" w:ascii="仿宋" w:hAnsi="仿宋" w:eastAsia="仿宋" w:cs="仿宋"/>
          <w:color w:val="auto"/>
          <w:lang w:val="en-US" w:eastAsia="zh-CN"/>
        </w:rPr>
        <w:t xml:space="preserve"> </w:t>
      </w:r>
      <w:r>
        <w:rPr>
          <w:rFonts w:hint="eastAsia" w:ascii="仿宋" w:hAnsi="仿宋" w:eastAsia="仿宋" w:cs="仿宋"/>
          <w:color w:val="auto"/>
        </w:rPr>
        <w:t>月  日</w:t>
      </w:r>
      <w:r>
        <w:rPr>
          <w:rFonts w:hint="eastAsia" w:ascii="仿宋" w:hAnsi="仿宋" w:eastAsia="仿宋" w:cs="仿宋"/>
          <w:color w:val="auto"/>
          <w:lang w:val="en-US" w:eastAsia="zh-CN"/>
        </w:rPr>
        <w:t xml:space="preserve"> </w:t>
      </w:r>
      <w:r>
        <w:rPr>
          <w:rFonts w:hint="eastAsia" w:ascii="仿宋" w:hAnsi="仿宋" w:eastAsia="仿宋" w:cs="仿宋"/>
          <w:color w:val="auto"/>
        </w:rPr>
        <w:t>第</w:t>
      </w:r>
      <w:r>
        <w:rPr>
          <w:rFonts w:hint="eastAsia" w:ascii="仿宋" w:hAnsi="仿宋" w:eastAsia="仿宋" w:cs="仿宋"/>
          <w:color w:val="auto"/>
          <w:lang w:val="en-US" w:eastAsia="zh-CN"/>
        </w:rPr>
        <w:t xml:space="preserve">   </w:t>
      </w:r>
      <w:r>
        <w:rPr>
          <w:rFonts w:hint="eastAsia" w:ascii="仿宋" w:hAnsi="仿宋" w:eastAsia="仿宋" w:cs="仿宋"/>
          <w:color w:val="auto"/>
        </w:rPr>
        <w:t>页</w:t>
      </w:r>
    </w:p>
    <w:tbl>
      <w:tblPr>
        <w:tblStyle w:val="13"/>
        <w:tblpPr w:leftFromText="180" w:rightFromText="180" w:vertAnchor="text" w:horzAnchor="page" w:tblpXSpec="center" w:tblpY="296"/>
        <w:tblOverlap w:val="never"/>
        <w:tblW w:w="9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2544"/>
        <w:gridCol w:w="1524"/>
        <w:gridCol w:w="1303"/>
        <w:gridCol w:w="1479"/>
        <w:gridCol w:w="2124"/>
      </w:tblGrid>
      <w:tr w14:paraId="26BA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63" w:type="dxa"/>
            <w:vAlign w:val="center"/>
          </w:tcPr>
          <w:p w14:paraId="181E06BE">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序号</w:t>
            </w:r>
          </w:p>
        </w:tc>
        <w:tc>
          <w:tcPr>
            <w:tcW w:w="2544" w:type="dxa"/>
            <w:vAlign w:val="center"/>
          </w:tcPr>
          <w:p w14:paraId="6492ED38">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材料名称/规格</w:t>
            </w:r>
          </w:p>
        </w:tc>
        <w:tc>
          <w:tcPr>
            <w:tcW w:w="1524" w:type="dxa"/>
            <w:vAlign w:val="center"/>
          </w:tcPr>
          <w:p w14:paraId="56D303DE">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数量/单位</w:t>
            </w:r>
          </w:p>
        </w:tc>
        <w:tc>
          <w:tcPr>
            <w:tcW w:w="1303" w:type="dxa"/>
            <w:vAlign w:val="center"/>
          </w:tcPr>
          <w:p w14:paraId="5BAA4190">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到货日期</w:t>
            </w:r>
          </w:p>
        </w:tc>
        <w:tc>
          <w:tcPr>
            <w:tcW w:w="1479" w:type="dxa"/>
            <w:vAlign w:val="center"/>
          </w:tcPr>
          <w:p w14:paraId="34AAD742">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质量要求</w:t>
            </w:r>
          </w:p>
        </w:tc>
        <w:tc>
          <w:tcPr>
            <w:tcW w:w="2124" w:type="dxa"/>
            <w:vAlign w:val="center"/>
          </w:tcPr>
          <w:p w14:paraId="1DC7569F">
            <w:pPr>
              <w:adjustRightInd w:val="0"/>
              <w:snapToGrid w:val="0"/>
              <w:spacing w:line="360" w:lineRule="auto"/>
              <w:jc w:val="both"/>
              <w:rPr>
                <w:rFonts w:hint="eastAsia" w:ascii="仿宋" w:hAnsi="仿宋" w:eastAsia="仿宋" w:cs="仿宋"/>
                <w:color w:val="auto"/>
              </w:rPr>
            </w:pPr>
            <w:r>
              <w:rPr>
                <w:rFonts w:hint="eastAsia" w:ascii="仿宋" w:hAnsi="仿宋" w:eastAsia="仿宋" w:cs="仿宋"/>
                <w:color w:val="auto"/>
              </w:rPr>
              <w:t>用途等备注</w:t>
            </w:r>
          </w:p>
        </w:tc>
      </w:tr>
      <w:tr w14:paraId="045D7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63" w:type="dxa"/>
            <w:vAlign w:val="center"/>
          </w:tcPr>
          <w:p w14:paraId="146F706A">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2544" w:type="dxa"/>
            <w:vAlign w:val="center"/>
          </w:tcPr>
          <w:p w14:paraId="2FA8E1F5">
            <w:pPr>
              <w:tabs>
                <w:tab w:val="left" w:pos="910"/>
              </w:tabs>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524" w:type="dxa"/>
            <w:vAlign w:val="center"/>
          </w:tcPr>
          <w:p w14:paraId="78134B70">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40CFD591">
            <w:pPr>
              <w:adjustRightInd w:val="0"/>
              <w:snapToGrid w:val="0"/>
              <w:spacing w:line="360" w:lineRule="auto"/>
              <w:jc w:val="both"/>
              <w:rPr>
                <w:rFonts w:hint="eastAsia" w:ascii="仿宋" w:hAnsi="仿宋" w:eastAsia="仿宋" w:cs="仿宋"/>
                <w:color w:val="auto"/>
                <w:lang w:val="en-US" w:eastAsia="zh-CN"/>
              </w:rPr>
            </w:pPr>
          </w:p>
        </w:tc>
        <w:tc>
          <w:tcPr>
            <w:tcW w:w="1479" w:type="dxa"/>
            <w:vAlign w:val="center"/>
          </w:tcPr>
          <w:p w14:paraId="08F83A24">
            <w:pPr>
              <w:adjustRightInd w:val="0"/>
              <w:snapToGrid w:val="0"/>
              <w:spacing w:line="360" w:lineRule="auto"/>
              <w:jc w:val="both"/>
              <w:rPr>
                <w:rFonts w:hint="eastAsia" w:ascii="仿宋" w:hAnsi="仿宋" w:eastAsia="仿宋" w:cs="仿宋"/>
                <w:color w:val="auto"/>
                <w:lang w:val="en-US" w:eastAsia="zh-CN"/>
              </w:rPr>
            </w:pPr>
          </w:p>
        </w:tc>
        <w:tc>
          <w:tcPr>
            <w:tcW w:w="2124" w:type="dxa"/>
            <w:vMerge w:val="restart"/>
            <w:vAlign w:val="center"/>
          </w:tcPr>
          <w:p w14:paraId="7CD26629">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51A85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63" w:type="dxa"/>
            <w:vAlign w:val="center"/>
          </w:tcPr>
          <w:p w14:paraId="3B969AFC">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2</w:t>
            </w:r>
          </w:p>
        </w:tc>
        <w:tc>
          <w:tcPr>
            <w:tcW w:w="2544" w:type="dxa"/>
            <w:vAlign w:val="center"/>
          </w:tcPr>
          <w:p w14:paraId="5F9B979B">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524" w:type="dxa"/>
            <w:vAlign w:val="center"/>
          </w:tcPr>
          <w:p w14:paraId="6145B87A">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3B34108B">
            <w:pPr>
              <w:adjustRightInd w:val="0"/>
              <w:snapToGrid w:val="0"/>
              <w:spacing w:line="360" w:lineRule="auto"/>
              <w:jc w:val="both"/>
              <w:rPr>
                <w:rFonts w:hint="eastAsia" w:ascii="仿宋" w:hAnsi="仿宋" w:eastAsia="仿宋" w:cs="仿宋"/>
                <w:color w:val="auto"/>
                <w:lang w:val="en-US" w:eastAsia="zh-CN"/>
              </w:rPr>
            </w:pPr>
          </w:p>
        </w:tc>
        <w:tc>
          <w:tcPr>
            <w:tcW w:w="1479" w:type="dxa"/>
            <w:vAlign w:val="center"/>
          </w:tcPr>
          <w:p w14:paraId="18093BBD">
            <w:pPr>
              <w:adjustRightInd w:val="0"/>
              <w:snapToGrid w:val="0"/>
              <w:spacing w:line="360" w:lineRule="auto"/>
              <w:jc w:val="both"/>
              <w:rPr>
                <w:rFonts w:hint="eastAsia" w:ascii="仿宋" w:hAnsi="仿宋" w:eastAsia="仿宋" w:cs="仿宋"/>
                <w:color w:val="auto"/>
                <w:lang w:eastAsia="zh-CN"/>
              </w:rPr>
            </w:pPr>
          </w:p>
        </w:tc>
        <w:tc>
          <w:tcPr>
            <w:tcW w:w="2124" w:type="dxa"/>
            <w:vMerge w:val="continue"/>
            <w:vAlign w:val="center"/>
          </w:tcPr>
          <w:p w14:paraId="3A8005F9">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48DCC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63" w:type="dxa"/>
            <w:vAlign w:val="center"/>
          </w:tcPr>
          <w:p w14:paraId="485F78F0">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2544" w:type="dxa"/>
            <w:vAlign w:val="center"/>
          </w:tcPr>
          <w:p w14:paraId="55FA11DD">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524" w:type="dxa"/>
            <w:vAlign w:val="center"/>
          </w:tcPr>
          <w:p w14:paraId="20D6824D">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7B643F64">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479" w:type="dxa"/>
            <w:vAlign w:val="center"/>
          </w:tcPr>
          <w:p w14:paraId="7B1D4473">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3A0E346D">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1824E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663" w:type="dxa"/>
            <w:vAlign w:val="center"/>
          </w:tcPr>
          <w:p w14:paraId="6C083BAD">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2544" w:type="dxa"/>
            <w:vAlign w:val="center"/>
          </w:tcPr>
          <w:p w14:paraId="18EFCB94">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524" w:type="dxa"/>
            <w:vAlign w:val="center"/>
          </w:tcPr>
          <w:p w14:paraId="1A974884">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03" w:type="dxa"/>
            <w:vAlign w:val="center"/>
          </w:tcPr>
          <w:p w14:paraId="696D50FD">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479" w:type="dxa"/>
            <w:vAlign w:val="center"/>
          </w:tcPr>
          <w:p w14:paraId="31BFC6C9">
            <w:pPr>
              <w:adjustRightInd w:val="0"/>
              <w:snapToGrid w:val="0"/>
              <w:spacing w:line="360" w:lineRule="auto"/>
              <w:jc w:val="both"/>
              <w:rPr>
                <w:rFonts w:hint="eastAsia" w:ascii="仿宋" w:hAnsi="仿宋" w:eastAsia="仿宋" w:cs="仿宋"/>
                <w:color w:val="auto"/>
                <w:lang w:eastAsia="zh-CN"/>
              </w:rPr>
            </w:pPr>
          </w:p>
        </w:tc>
        <w:tc>
          <w:tcPr>
            <w:tcW w:w="2124" w:type="dxa"/>
            <w:vMerge w:val="continue"/>
            <w:vAlign w:val="center"/>
          </w:tcPr>
          <w:p w14:paraId="772B8D28">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362E3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663" w:type="dxa"/>
            <w:vAlign w:val="center"/>
          </w:tcPr>
          <w:p w14:paraId="7429DF90">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5</w:t>
            </w:r>
          </w:p>
        </w:tc>
        <w:tc>
          <w:tcPr>
            <w:tcW w:w="2544" w:type="dxa"/>
            <w:vAlign w:val="center"/>
          </w:tcPr>
          <w:p w14:paraId="4F78AD2E">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524" w:type="dxa"/>
            <w:vAlign w:val="center"/>
          </w:tcPr>
          <w:p w14:paraId="382D2EBF">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303" w:type="dxa"/>
            <w:vAlign w:val="center"/>
          </w:tcPr>
          <w:p w14:paraId="2EDBCC39">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479" w:type="dxa"/>
            <w:vAlign w:val="center"/>
          </w:tcPr>
          <w:p w14:paraId="61B65FB5">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2124" w:type="dxa"/>
            <w:vMerge w:val="continue"/>
            <w:vAlign w:val="center"/>
          </w:tcPr>
          <w:p w14:paraId="6E0C3959">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3D38D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663" w:type="dxa"/>
            <w:vAlign w:val="center"/>
          </w:tcPr>
          <w:p w14:paraId="1840D6EF">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6</w:t>
            </w:r>
          </w:p>
        </w:tc>
        <w:tc>
          <w:tcPr>
            <w:tcW w:w="2544" w:type="dxa"/>
            <w:vAlign w:val="center"/>
          </w:tcPr>
          <w:p w14:paraId="78B65449">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524" w:type="dxa"/>
            <w:vAlign w:val="center"/>
          </w:tcPr>
          <w:p w14:paraId="5BDC4BC5">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6CFAEB94">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479" w:type="dxa"/>
            <w:vAlign w:val="center"/>
          </w:tcPr>
          <w:p w14:paraId="6F55BE24">
            <w:pPr>
              <w:adjustRightInd w:val="0"/>
              <w:snapToGrid w:val="0"/>
              <w:spacing w:line="360" w:lineRule="auto"/>
              <w:jc w:val="both"/>
              <w:rPr>
                <w:rFonts w:hint="eastAsia" w:ascii="仿宋" w:hAnsi="仿宋" w:eastAsia="仿宋" w:cs="仿宋"/>
                <w:color w:val="auto"/>
                <w:lang w:eastAsia="zh-CN"/>
              </w:rPr>
            </w:pPr>
          </w:p>
        </w:tc>
        <w:tc>
          <w:tcPr>
            <w:tcW w:w="2124" w:type="dxa"/>
            <w:vMerge w:val="restart"/>
            <w:vAlign w:val="center"/>
          </w:tcPr>
          <w:p w14:paraId="0DA4EF48">
            <w:pPr>
              <w:adjustRightInd w:val="0"/>
              <w:snapToGrid w:val="0"/>
              <w:spacing w:line="360" w:lineRule="auto"/>
              <w:jc w:val="both"/>
              <w:rPr>
                <w:rFonts w:hint="eastAsia" w:ascii="仿宋" w:hAnsi="仿宋" w:eastAsia="仿宋" w:cs="仿宋"/>
                <w:color w:val="auto"/>
                <w:lang w:val="en-US" w:eastAsia="zh-CN"/>
              </w:rPr>
            </w:pPr>
          </w:p>
        </w:tc>
      </w:tr>
      <w:tr w14:paraId="24868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63" w:type="dxa"/>
            <w:vAlign w:val="center"/>
          </w:tcPr>
          <w:p w14:paraId="5570E492">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7</w:t>
            </w:r>
          </w:p>
        </w:tc>
        <w:tc>
          <w:tcPr>
            <w:tcW w:w="2544" w:type="dxa"/>
            <w:vAlign w:val="center"/>
          </w:tcPr>
          <w:p w14:paraId="4482F6DC">
            <w:pPr>
              <w:adjustRightInd w:val="0"/>
              <w:snapToGrid w:val="0"/>
              <w:spacing w:line="360" w:lineRule="auto"/>
              <w:jc w:val="both"/>
              <w:rPr>
                <w:rFonts w:hint="eastAsia" w:ascii="仿宋" w:hAnsi="仿宋" w:eastAsia="仿宋" w:cs="仿宋"/>
                <w:color w:val="auto"/>
                <w:lang w:val="en-US" w:eastAsia="zh-CN"/>
              </w:rPr>
            </w:pPr>
          </w:p>
        </w:tc>
        <w:tc>
          <w:tcPr>
            <w:tcW w:w="1524" w:type="dxa"/>
            <w:vAlign w:val="center"/>
          </w:tcPr>
          <w:p w14:paraId="29997967">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157E4A1B">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479" w:type="dxa"/>
            <w:vAlign w:val="center"/>
          </w:tcPr>
          <w:p w14:paraId="3FECF86F">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7F9AEAA8">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1AF97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63" w:type="dxa"/>
            <w:vAlign w:val="center"/>
          </w:tcPr>
          <w:p w14:paraId="4FF57EDA">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8</w:t>
            </w:r>
          </w:p>
        </w:tc>
        <w:tc>
          <w:tcPr>
            <w:tcW w:w="2544" w:type="dxa"/>
            <w:vAlign w:val="center"/>
          </w:tcPr>
          <w:p w14:paraId="5F742F5F">
            <w:pPr>
              <w:adjustRightInd w:val="0"/>
              <w:snapToGrid w:val="0"/>
              <w:spacing w:line="360" w:lineRule="auto"/>
              <w:jc w:val="both"/>
              <w:rPr>
                <w:rFonts w:hint="eastAsia" w:ascii="仿宋" w:hAnsi="仿宋" w:eastAsia="仿宋" w:cs="仿宋"/>
                <w:color w:val="auto"/>
                <w:lang w:val="en-US" w:eastAsia="zh-CN"/>
              </w:rPr>
            </w:pPr>
          </w:p>
        </w:tc>
        <w:tc>
          <w:tcPr>
            <w:tcW w:w="1524" w:type="dxa"/>
            <w:vAlign w:val="center"/>
          </w:tcPr>
          <w:p w14:paraId="1DA63CB1">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23CEDC6C">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479" w:type="dxa"/>
            <w:vAlign w:val="center"/>
          </w:tcPr>
          <w:p w14:paraId="59C2EC65">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2BCAFB13">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r>
      <w:tr w14:paraId="2497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663" w:type="dxa"/>
            <w:vAlign w:val="center"/>
          </w:tcPr>
          <w:p w14:paraId="5F68ED66">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9</w:t>
            </w:r>
          </w:p>
        </w:tc>
        <w:tc>
          <w:tcPr>
            <w:tcW w:w="2544" w:type="dxa"/>
            <w:vAlign w:val="center"/>
          </w:tcPr>
          <w:p w14:paraId="4C9E9362">
            <w:pPr>
              <w:adjustRightInd w:val="0"/>
              <w:snapToGrid w:val="0"/>
              <w:spacing w:line="360" w:lineRule="auto"/>
              <w:jc w:val="both"/>
              <w:rPr>
                <w:rFonts w:hint="eastAsia" w:ascii="仿宋" w:hAnsi="仿宋" w:eastAsia="仿宋" w:cs="仿宋"/>
                <w:color w:val="auto"/>
                <w:lang w:val="en-US" w:eastAsia="zh-CN"/>
              </w:rPr>
            </w:pPr>
          </w:p>
        </w:tc>
        <w:tc>
          <w:tcPr>
            <w:tcW w:w="1524" w:type="dxa"/>
            <w:vAlign w:val="center"/>
          </w:tcPr>
          <w:p w14:paraId="1489AAC7">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6C08C4BE">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479" w:type="dxa"/>
            <w:vAlign w:val="center"/>
          </w:tcPr>
          <w:p w14:paraId="3626C5D6">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5A04F703">
            <w:pPr>
              <w:adjustRightInd w:val="0"/>
              <w:snapToGrid w:val="0"/>
              <w:spacing w:line="360" w:lineRule="auto"/>
              <w:jc w:val="both"/>
              <w:rPr>
                <w:rFonts w:hint="eastAsia" w:ascii="仿宋" w:hAnsi="仿宋" w:eastAsia="仿宋" w:cs="仿宋"/>
                <w:color w:val="auto"/>
                <w:lang w:eastAsia="zh-CN"/>
              </w:rPr>
            </w:pPr>
          </w:p>
        </w:tc>
      </w:tr>
      <w:tr w14:paraId="19D4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663" w:type="dxa"/>
            <w:vAlign w:val="center"/>
          </w:tcPr>
          <w:p w14:paraId="1DB2C8DF">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10</w:t>
            </w:r>
          </w:p>
        </w:tc>
        <w:tc>
          <w:tcPr>
            <w:tcW w:w="2544" w:type="dxa"/>
            <w:vAlign w:val="center"/>
          </w:tcPr>
          <w:p w14:paraId="0AFB02C1">
            <w:pPr>
              <w:adjustRightInd w:val="0"/>
              <w:snapToGrid w:val="0"/>
              <w:spacing w:line="360" w:lineRule="auto"/>
              <w:jc w:val="both"/>
              <w:rPr>
                <w:rFonts w:hint="eastAsia" w:ascii="仿宋" w:hAnsi="仿宋" w:eastAsia="仿宋" w:cs="仿宋"/>
                <w:color w:val="auto"/>
                <w:lang w:val="en-US" w:eastAsia="zh-CN"/>
              </w:rPr>
            </w:pPr>
          </w:p>
        </w:tc>
        <w:tc>
          <w:tcPr>
            <w:tcW w:w="1524" w:type="dxa"/>
            <w:vAlign w:val="center"/>
          </w:tcPr>
          <w:p w14:paraId="44BB0939">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0B804237">
            <w:pPr>
              <w:adjustRightInd w:val="0"/>
              <w:snapToGrid w:val="0"/>
              <w:spacing w:line="360" w:lineRule="auto"/>
              <w:jc w:val="both"/>
              <w:rPr>
                <w:rFonts w:hint="eastAsia" w:ascii="仿宋" w:hAnsi="仿宋" w:eastAsia="仿宋" w:cs="仿宋"/>
                <w:color w:val="auto"/>
                <w:lang w:val="en-US" w:eastAsia="zh-CN"/>
              </w:rPr>
            </w:pPr>
          </w:p>
        </w:tc>
        <w:tc>
          <w:tcPr>
            <w:tcW w:w="1479" w:type="dxa"/>
            <w:vAlign w:val="center"/>
          </w:tcPr>
          <w:p w14:paraId="339C424B">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5ABD762E">
            <w:pPr>
              <w:adjustRightInd w:val="0"/>
              <w:snapToGrid w:val="0"/>
              <w:spacing w:line="360" w:lineRule="auto"/>
              <w:jc w:val="both"/>
              <w:rPr>
                <w:rFonts w:hint="eastAsia" w:ascii="仿宋" w:hAnsi="仿宋" w:eastAsia="仿宋" w:cs="仿宋"/>
                <w:color w:val="auto"/>
                <w:lang w:eastAsia="zh-CN"/>
              </w:rPr>
            </w:pPr>
          </w:p>
        </w:tc>
      </w:tr>
      <w:tr w14:paraId="00F00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63" w:type="dxa"/>
            <w:vAlign w:val="center"/>
          </w:tcPr>
          <w:p w14:paraId="1A0BFD38">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11</w:t>
            </w:r>
          </w:p>
        </w:tc>
        <w:tc>
          <w:tcPr>
            <w:tcW w:w="2544" w:type="dxa"/>
            <w:vAlign w:val="center"/>
          </w:tcPr>
          <w:p w14:paraId="1903B017">
            <w:pPr>
              <w:adjustRightInd w:val="0"/>
              <w:snapToGrid w:val="0"/>
              <w:spacing w:line="360" w:lineRule="auto"/>
              <w:jc w:val="both"/>
              <w:rPr>
                <w:rFonts w:hint="eastAsia" w:ascii="仿宋" w:hAnsi="仿宋" w:eastAsia="仿宋" w:cs="仿宋"/>
                <w:color w:val="auto"/>
                <w:lang w:val="en-US" w:eastAsia="zh-CN"/>
              </w:rPr>
            </w:pPr>
          </w:p>
        </w:tc>
        <w:tc>
          <w:tcPr>
            <w:tcW w:w="1524" w:type="dxa"/>
            <w:vAlign w:val="center"/>
          </w:tcPr>
          <w:p w14:paraId="5E1A5FD0">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63960981">
            <w:pPr>
              <w:adjustRightInd w:val="0"/>
              <w:snapToGrid w:val="0"/>
              <w:spacing w:line="360" w:lineRule="auto"/>
              <w:jc w:val="both"/>
              <w:rPr>
                <w:rFonts w:hint="eastAsia" w:ascii="仿宋" w:hAnsi="仿宋" w:eastAsia="仿宋" w:cs="仿宋"/>
                <w:color w:val="auto"/>
                <w:lang w:val="en-US" w:eastAsia="zh-CN"/>
              </w:rPr>
            </w:pPr>
          </w:p>
        </w:tc>
        <w:tc>
          <w:tcPr>
            <w:tcW w:w="1479" w:type="dxa"/>
            <w:vAlign w:val="center"/>
          </w:tcPr>
          <w:p w14:paraId="63ECE134">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6D09AC71">
            <w:pPr>
              <w:adjustRightInd w:val="0"/>
              <w:snapToGrid w:val="0"/>
              <w:spacing w:line="360" w:lineRule="auto"/>
              <w:jc w:val="both"/>
              <w:rPr>
                <w:rFonts w:hint="eastAsia" w:ascii="仿宋" w:hAnsi="仿宋" w:eastAsia="仿宋" w:cs="仿宋"/>
                <w:color w:val="auto"/>
                <w:lang w:eastAsia="zh-CN"/>
              </w:rPr>
            </w:pPr>
          </w:p>
        </w:tc>
      </w:tr>
      <w:tr w14:paraId="1FA36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63" w:type="dxa"/>
            <w:vAlign w:val="center"/>
          </w:tcPr>
          <w:p w14:paraId="18729752">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12</w:t>
            </w:r>
          </w:p>
        </w:tc>
        <w:tc>
          <w:tcPr>
            <w:tcW w:w="2544" w:type="dxa"/>
            <w:vAlign w:val="center"/>
          </w:tcPr>
          <w:p w14:paraId="0BB47E74">
            <w:pPr>
              <w:adjustRightInd w:val="0"/>
              <w:snapToGrid w:val="0"/>
              <w:spacing w:line="360" w:lineRule="auto"/>
              <w:jc w:val="both"/>
              <w:rPr>
                <w:rFonts w:hint="eastAsia" w:ascii="仿宋" w:hAnsi="仿宋" w:eastAsia="仿宋" w:cs="仿宋"/>
                <w:color w:val="auto"/>
                <w:lang w:val="en-US" w:eastAsia="zh-CN"/>
              </w:rPr>
            </w:pPr>
          </w:p>
        </w:tc>
        <w:tc>
          <w:tcPr>
            <w:tcW w:w="1524" w:type="dxa"/>
            <w:vAlign w:val="center"/>
          </w:tcPr>
          <w:p w14:paraId="6620AF9A">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3424126F">
            <w:pPr>
              <w:adjustRightInd w:val="0"/>
              <w:snapToGrid w:val="0"/>
              <w:spacing w:line="360" w:lineRule="auto"/>
              <w:jc w:val="both"/>
              <w:rPr>
                <w:rFonts w:hint="eastAsia" w:ascii="仿宋" w:hAnsi="仿宋" w:eastAsia="仿宋" w:cs="仿宋"/>
                <w:color w:val="auto"/>
                <w:lang w:val="en-US" w:eastAsia="zh-CN"/>
              </w:rPr>
            </w:pPr>
          </w:p>
        </w:tc>
        <w:tc>
          <w:tcPr>
            <w:tcW w:w="1479" w:type="dxa"/>
            <w:vAlign w:val="center"/>
          </w:tcPr>
          <w:p w14:paraId="17370423">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0C25403C">
            <w:pPr>
              <w:adjustRightInd w:val="0"/>
              <w:snapToGrid w:val="0"/>
              <w:spacing w:line="360" w:lineRule="auto"/>
              <w:jc w:val="both"/>
              <w:rPr>
                <w:rFonts w:hint="eastAsia" w:ascii="仿宋" w:hAnsi="仿宋" w:eastAsia="仿宋" w:cs="仿宋"/>
                <w:color w:val="auto"/>
                <w:lang w:eastAsia="zh-CN"/>
              </w:rPr>
            </w:pPr>
          </w:p>
        </w:tc>
      </w:tr>
      <w:tr w14:paraId="7231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3" w:type="dxa"/>
            <w:vAlign w:val="center"/>
          </w:tcPr>
          <w:p w14:paraId="30C5B72A">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13</w:t>
            </w:r>
          </w:p>
        </w:tc>
        <w:tc>
          <w:tcPr>
            <w:tcW w:w="2544" w:type="dxa"/>
            <w:vAlign w:val="center"/>
          </w:tcPr>
          <w:p w14:paraId="6D73C430">
            <w:pPr>
              <w:tabs>
                <w:tab w:val="left" w:pos="631"/>
              </w:tabs>
              <w:adjustRightInd w:val="0"/>
              <w:snapToGrid w:val="0"/>
              <w:spacing w:line="360" w:lineRule="auto"/>
              <w:jc w:val="both"/>
              <w:rPr>
                <w:rFonts w:hint="eastAsia" w:ascii="仿宋" w:hAnsi="仿宋" w:eastAsia="仿宋" w:cs="仿宋"/>
                <w:color w:val="auto"/>
                <w:lang w:val="en-US" w:eastAsia="zh-CN"/>
              </w:rPr>
            </w:pPr>
          </w:p>
        </w:tc>
        <w:tc>
          <w:tcPr>
            <w:tcW w:w="1524" w:type="dxa"/>
            <w:vAlign w:val="center"/>
          </w:tcPr>
          <w:p w14:paraId="1F7C3BB2">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087C956F">
            <w:pPr>
              <w:adjustRightInd w:val="0"/>
              <w:snapToGrid w:val="0"/>
              <w:spacing w:line="360" w:lineRule="auto"/>
              <w:jc w:val="both"/>
              <w:rPr>
                <w:rFonts w:hint="eastAsia" w:ascii="仿宋" w:hAnsi="仿宋" w:eastAsia="仿宋" w:cs="仿宋"/>
                <w:color w:val="auto"/>
                <w:lang w:val="en-US" w:eastAsia="zh-CN"/>
              </w:rPr>
            </w:pPr>
          </w:p>
        </w:tc>
        <w:tc>
          <w:tcPr>
            <w:tcW w:w="1479" w:type="dxa"/>
            <w:vAlign w:val="center"/>
          </w:tcPr>
          <w:p w14:paraId="7CE807CB">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5BB7CA1D">
            <w:pPr>
              <w:adjustRightInd w:val="0"/>
              <w:snapToGrid w:val="0"/>
              <w:spacing w:line="360" w:lineRule="auto"/>
              <w:jc w:val="both"/>
              <w:rPr>
                <w:rFonts w:hint="eastAsia" w:ascii="仿宋" w:hAnsi="仿宋" w:eastAsia="仿宋" w:cs="仿宋"/>
                <w:color w:val="auto"/>
                <w:lang w:eastAsia="zh-CN"/>
              </w:rPr>
            </w:pPr>
          </w:p>
        </w:tc>
      </w:tr>
      <w:tr w14:paraId="33E39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63" w:type="dxa"/>
            <w:vAlign w:val="center"/>
          </w:tcPr>
          <w:p w14:paraId="23B06983">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14</w:t>
            </w:r>
          </w:p>
        </w:tc>
        <w:tc>
          <w:tcPr>
            <w:tcW w:w="2544" w:type="dxa"/>
            <w:vAlign w:val="center"/>
          </w:tcPr>
          <w:p w14:paraId="30BE9F42">
            <w:pPr>
              <w:adjustRightInd w:val="0"/>
              <w:snapToGrid w:val="0"/>
              <w:spacing w:line="360" w:lineRule="auto"/>
              <w:jc w:val="both"/>
              <w:rPr>
                <w:rFonts w:hint="eastAsia" w:ascii="仿宋" w:hAnsi="仿宋" w:eastAsia="仿宋" w:cs="仿宋"/>
                <w:color w:val="auto"/>
                <w:lang w:val="en-US" w:eastAsia="zh-CN"/>
              </w:rPr>
            </w:pPr>
          </w:p>
        </w:tc>
        <w:tc>
          <w:tcPr>
            <w:tcW w:w="1524" w:type="dxa"/>
            <w:vAlign w:val="center"/>
          </w:tcPr>
          <w:p w14:paraId="2C65D809">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3749C1AD">
            <w:pPr>
              <w:adjustRightInd w:val="0"/>
              <w:snapToGrid w:val="0"/>
              <w:spacing w:line="360" w:lineRule="auto"/>
              <w:jc w:val="both"/>
              <w:rPr>
                <w:rFonts w:hint="eastAsia" w:ascii="仿宋" w:hAnsi="仿宋" w:eastAsia="仿宋" w:cs="仿宋"/>
                <w:color w:val="auto"/>
                <w:lang w:val="en-US" w:eastAsia="zh-CN"/>
              </w:rPr>
            </w:pPr>
          </w:p>
        </w:tc>
        <w:tc>
          <w:tcPr>
            <w:tcW w:w="1479" w:type="dxa"/>
            <w:vAlign w:val="center"/>
          </w:tcPr>
          <w:p w14:paraId="2390BA4D">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445B610D">
            <w:pPr>
              <w:adjustRightInd w:val="0"/>
              <w:snapToGrid w:val="0"/>
              <w:spacing w:line="360" w:lineRule="auto"/>
              <w:jc w:val="both"/>
              <w:rPr>
                <w:rFonts w:hint="eastAsia" w:ascii="仿宋" w:hAnsi="仿宋" w:eastAsia="仿宋" w:cs="仿宋"/>
                <w:color w:val="auto"/>
                <w:lang w:val="en-US" w:eastAsia="zh-CN"/>
              </w:rPr>
            </w:pPr>
          </w:p>
        </w:tc>
      </w:tr>
      <w:tr w14:paraId="7D476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663" w:type="dxa"/>
            <w:vAlign w:val="center"/>
          </w:tcPr>
          <w:p w14:paraId="62F0D3CD">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15</w:t>
            </w:r>
          </w:p>
        </w:tc>
        <w:tc>
          <w:tcPr>
            <w:tcW w:w="2544" w:type="dxa"/>
            <w:vAlign w:val="center"/>
          </w:tcPr>
          <w:p w14:paraId="2A80C39F">
            <w:pPr>
              <w:adjustRightInd w:val="0"/>
              <w:snapToGrid w:val="0"/>
              <w:spacing w:line="360" w:lineRule="auto"/>
              <w:jc w:val="both"/>
              <w:rPr>
                <w:rFonts w:hint="eastAsia" w:ascii="仿宋" w:hAnsi="仿宋" w:eastAsia="仿宋" w:cs="仿宋"/>
                <w:color w:val="auto"/>
                <w:lang w:val="en-US" w:eastAsia="zh-CN"/>
              </w:rPr>
            </w:pPr>
          </w:p>
        </w:tc>
        <w:tc>
          <w:tcPr>
            <w:tcW w:w="1524" w:type="dxa"/>
            <w:vAlign w:val="center"/>
          </w:tcPr>
          <w:p w14:paraId="04047331">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759A6EA6">
            <w:pPr>
              <w:adjustRightInd w:val="0"/>
              <w:snapToGrid w:val="0"/>
              <w:spacing w:line="360" w:lineRule="auto"/>
              <w:jc w:val="both"/>
              <w:rPr>
                <w:rFonts w:hint="eastAsia" w:ascii="仿宋" w:hAnsi="仿宋" w:eastAsia="仿宋" w:cs="仿宋"/>
                <w:color w:val="auto"/>
                <w:lang w:val="en-US" w:eastAsia="zh-CN"/>
              </w:rPr>
            </w:pPr>
          </w:p>
        </w:tc>
        <w:tc>
          <w:tcPr>
            <w:tcW w:w="1479" w:type="dxa"/>
            <w:vAlign w:val="center"/>
          </w:tcPr>
          <w:p w14:paraId="1607BC5B">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0CBCC135">
            <w:pPr>
              <w:adjustRightInd w:val="0"/>
              <w:snapToGrid w:val="0"/>
              <w:spacing w:line="360" w:lineRule="auto"/>
              <w:jc w:val="both"/>
              <w:rPr>
                <w:rFonts w:hint="eastAsia" w:ascii="仿宋" w:hAnsi="仿宋" w:eastAsia="仿宋" w:cs="仿宋"/>
                <w:color w:val="auto"/>
                <w:lang w:val="en-US" w:eastAsia="zh-CN"/>
              </w:rPr>
            </w:pPr>
          </w:p>
        </w:tc>
      </w:tr>
      <w:tr w14:paraId="6B64C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663" w:type="dxa"/>
            <w:vAlign w:val="center"/>
          </w:tcPr>
          <w:p w14:paraId="620334B3">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16</w:t>
            </w:r>
          </w:p>
        </w:tc>
        <w:tc>
          <w:tcPr>
            <w:tcW w:w="2544" w:type="dxa"/>
            <w:vAlign w:val="center"/>
          </w:tcPr>
          <w:p w14:paraId="3498C2CB">
            <w:pPr>
              <w:adjustRightInd w:val="0"/>
              <w:snapToGrid w:val="0"/>
              <w:spacing w:line="360" w:lineRule="auto"/>
              <w:jc w:val="both"/>
              <w:rPr>
                <w:rFonts w:hint="eastAsia" w:ascii="仿宋" w:hAnsi="仿宋" w:eastAsia="仿宋" w:cs="仿宋"/>
                <w:color w:val="auto"/>
                <w:lang w:val="en-US" w:eastAsia="zh-CN"/>
              </w:rPr>
            </w:pPr>
          </w:p>
        </w:tc>
        <w:tc>
          <w:tcPr>
            <w:tcW w:w="1524" w:type="dxa"/>
            <w:vAlign w:val="center"/>
          </w:tcPr>
          <w:p w14:paraId="001E5AF1">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271CC7C8">
            <w:pPr>
              <w:adjustRightInd w:val="0"/>
              <w:snapToGrid w:val="0"/>
              <w:spacing w:line="360" w:lineRule="auto"/>
              <w:jc w:val="both"/>
              <w:rPr>
                <w:rFonts w:hint="eastAsia" w:ascii="仿宋" w:hAnsi="仿宋" w:eastAsia="仿宋" w:cs="仿宋"/>
                <w:color w:val="auto"/>
                <w:lang w:val="en-US" w:eastAsia="zh-CN"/>
              </w:rPr>
            </w:pPr>
          </w:p>
        </w:tc>
        <w:tc>
          <w:tcPr>
            <w:tcW w:w="1479" w:type="dxa"/>
            <w:vAlign w:val="center"/>
          </w:tcPr>
          <w:p w14:paraId="7DF1D94D">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3CB713C1">
            <w:pPr>
              <w:adjustRightInd w:val="0"/>
              <w:snapToGrid w:val="0"/>
              <w:spacing w:line="360" w:lineRule="auto"/>
              <w:jc w:val="both"/>
              <w:rPr>
                <w:rFonts w:hint="eastAsia" w:ascii="仿宋" w:hAnsi="仿宋" w:eastAsia="仿宋" w:cs="仿宋"/>
                <w:color w:val="auto"/>
                <w:lang w:eastAsia="zh-CN"/>
              </w:rPr>
            </w:pPr>
          </w:p>
        </w:tc>
      </w:tr>
      <w:tr w14:paraId="330D5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63" w:type="dxa"/>
            <w:vAlign w:val="center"/>
          </w:tcPr>
          <w:p w14:paraId="69A4C707">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17</w:t>
            </w:r>
          </w:p>
        </w:tc>
        <w:tc>
          <w:tcPr>
            <w:tcW w:w="2544" w:type="dxa"/>
            <w:vAlign w:val="center"/>
          </w:tcPr>
          <w:p w14:paraId="0E17E546">
            <w:pPr>
              <w:adjustRightInd w:val="0"/>
              <w:snapToGrid w:val="0"/>
              <w:spacing w:line="360" w:lineRule="auto"/>
              <w:jc w:val="both"/>
              <w:rPr>
                <w:rFonts w:hint="eastAsia" w:ascii="仿宋" w:hAnsi="仿宋" w:eastAsia="仿宋" w:cs="仿宋"/>
                <w:color w:val="auto"/>
                <w:lang w:val="en-US" w:eastAsia="zh-CN"/>
              </w:rPr>
            </w:pPr>
          </w:p>
        </w:tc>
        <w:tc>
          <w:tcPr>
            <w:tcW w:w="1524" w:type="dxa"/>
            <w:vAlign w:val="center"/>
          </w:tcPr>
          <w:p w14:paraId="22D05E00">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19796DC0">
            <w:pPr>
              <w:adjustRightInd w:val="0"/>
              <w:snapToGrid w:val="0"/>
              <w:spacing w:line="360" w:lineRule="auto"/>
              <w:jc w:val="both"/>
              <w:rPr>
                <w:rFonts w:hint="eastAsia" w:ascii="仿宋" w:hAnsi="仿宋" w:eastAsia="仿宋" w:cs="仿宋"/>
                <w:color w:val="auto"/>
                <w:lang w:val="en-US" w:eastAsia="zh-CN"/>
              </w:rPr>
            </w:pPr>
          </w:p>
        </w:tc>
        <w:tc>
          <w:tcPr>
            <w:tcW w:w="1479" w:type="dxa"/>
            <w:vAlign w:val="center"/>
          </w:tcPr>
          <w:p w14:paraId="4DFEBD16">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43994EF9">
            <w:pPr>
              <w:adjustRightInd w:val="0"/>
              <w:snapToGrid w:val="0"/>
              <w:spacing w:line="360" w:lineRule="auto"/>
              <w:jc w:val="both"/>
              <w:rPr>
                <w:rFonts w:hint="eastAsia" w:ascii="仿宋" w:hAnsi="仿宋" w:eastAsia="仿宋" w:cs="仿宋"/>
                <w:color w:val="auto"/>
                <w:lang w:eastAsia="zh-CN"/>
              </w:rPr>
            </w:pPr>
          </w:p>
        </w:tc>
      </w:tr>
      <w:tr w14:paraId="5AF8A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663" w:type="dxa"/>
            <w:vAlign w:val="center"/>
          </w:tcPr>
          <w:p w14:paraId="195C875F">
            <w:pPr>
              <w:adjustRightInd w:val="0"/>
              <w:snapToGrid w:val="0"/>
              <w:spacing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18</w:t>
            </w:r>
          </w:p>
        </w:tc>
        <w:tc>
          <w:tcPr>
            <w:tcW w:w="2544" w:type="dxa"/>
            <w:vAlign w:val="center"/>
          </w:tcPr>
          <w:p w14:paraId="1995F0D3">
            <w:pPr>
              <w:adjustRightInd w:val="0"/>
              <w:snapToGrid w:val="0"/>
              <w:spacing w:line="360" w:lineRule="auto"/>
              <w:jc w:val="both"/>
              <w:rPr>
                <w:rFonts w:hint="eastAsia" w:ascii="仿宋" w:hAnsi="仿宋" w:eastAsia="仿宋" w:cs="仿宋"/>
                <w:color w:val="auto"/>
                <w:kern w:val="2"/>
                <w:sz w:val="21"/>
                <w:szCs w:val="24"/>
                <w:lang w:val="en-US" w:eastAsia="zh-CN" w:bidi="ar-SA"/>
              </w:rPr>
            </w:pPr>
          </w:p>
        </w:tc>
        <w:tc>
          <w:tcPr>
            <w:tcW w:w="1524" w:type="dxa"/>
            <w:vAlign w:val="center"/>
          </w:tcPr>
          <w:p w14:paraId="216E74C7">
            <w:pPr>
              <w:adjustRightInd w:val="0"/>
              <w:snapToGrid w:val="0"/>
              <w:spacing w:line="360" w:lineRule="auto"/>
              <w:jc w:val="both"/>
              <w:rPr>
                <w:rFonts w:hint="eastAsia" w:ascii="仿宋" w:hAnsi="仿宋" w:eastAsia="仿宋" w:cs="仿宋"/>
                <w:color w:val="auto"/>
                <w:lang w:val="en-US" w:eastAsia="zh-CN"/>
              </w:rPr>
            </w:pPr>
          </w:p>
        </w:tc>
        <w:tc>
          <w:tcPr>
            <w:tcW w:w="1303" w:type="dxa"/>
            <w:vAlign w:val="center"/>
          </w:tcPr>
          <w:p w14:paraId="07867F8C">
            <w:pPr>
              <w:adjustRightInd w:val="0"/>
              <w:snapToGrid w:val="0"/>
              <w:spacing w:line="360" w:lineRule="auto"/>
              <w:jc w:val="both"/>
              <w:rPr>
                <w:rFonts w:hint="eastAsia" w:ascii="仿宋" w:hAnsi="仿宋" w:eastAsia="仿宋" w:cs="仿宋"/>
                <w:color w:val="auto"/>
                <w:lang w:val="en-US" w:eastAsia="zh-CN"/>
              </w:rPr>
            </w:pPr>
          </w:p>
        </w:tc>
        <w:tc>
          <w:tcPr>
            <w:tcW w:w="1479" w:type="dxa"/>
            <w:vAlign w:val="center"/>
          </w:tcPr>
          <w:p w14:paraId="0EA2CD5C">
            <w:pPr>
              <w:adjustRightInd w:val="0"/>
              <w:snapToGrid w:val="0"/>
              <w:spacing w:line="360" w:lineRule="auto"/>
              <w:jc w:val="both"/>
              <w:rPr>
                <w:rFonts w:hint="eastAsia" w:ascii="仿宋" w:hAnsi="仿宋" w:eastAsia="仿宋" w:cs="仿宋"/>
                <w:color w:val="auto"/>
                <w:lang w:val="en-US" w:eastAsia="zh-CN"/>
              </w:rPr>
            </w:pPr>
          </w:p>
        </w:tc>
        <w:tc>
          <w:tcPr>
            <w:tcW w:w="2124" w:type="dxa"/>
            <w:vMerge w:val="continue"/>
            <w:vAlign w:val="center"/>
          </w:tcPr>
          <w:p w14:paraId="488EE736">
            <w:pPr>
              <w:adjustRightInd w:val="0"/>
              <w:snapToGrid w:val="0"/>
              <w:spacing w:line="360" w:lineRule="auto"/>
              <w:jc w:val="both"/>
              <w:rPr>
                <w:rFonts w:hint="eastAsia" w:ascii="仿宋" w:hAnsi="仿宋" w:eastAsia="仿宋" w:cs="仿宋"/>
                <w:color w:val="auto"/>
                <w:lang w:eastAsia="zh-CN"/>
              </w:rPr>
            </w:pPr>
          </w:p>
        </w:tc>
      </w:tr>
    </w:tbl>
    <w:p w14:paraId="3F357ED3">
      <w:pPr>
        <w:adjustRightInd w:val="0"/>
        <w:snapToGrid w:val="0"/>
        <w:spacing w:line="360" w:lineRule="auto"/>
        <w:jc w:val="both"/>
        <w:rPr>
          <w:rFonts w:hint="eastAsia" w:ascii="仿宋" w:hAnsi="仿宋" w:eastAsia="仿宋" w:cs="仿宋"/>
          <w:color w:val="auto"/>
        </w:rPr>
      </w:pPr>
    </w:p>
    <w:p w14:paraId="30409905">
      <w:pPr>
        <w:pageBreakBefore w:val="0"/>
        <w:tabs>
          <w:tab w:val="left" w:pos="4762"/>
        </w:tabs>
        <w:wordWrap/>
        <w:topLinePunct w:val="0"/>
        <w:bidi w:val="0"/>
        <w:spacing w:line="360" w:lineRule="auto"/>
        <w:ind w:left="0" w:leftChars="-95" w:hanging="199" w:hangingChars="111"/>
        <w:jc w:val="both"/>
        <w:rPr>
          <w:rFonts w:hint="eastAsia" w:ascii="仿宋" w:hAnsi="仿宋" w:eastAsia="仿宋" w:cs="仿宋"/>
          <w:color w:val="auto"/>
        </w:rPr>
      </w:pPr>
      <w:r>
        <w:rPr>
          <w:rFonts w:hint="eastAsia" w:ascii="仿宋" w:hAnsi="仿宋" w:eastAsia="仿宋" w:cs="仿宋"/>
          <w:color w:val="auto"/>
          <w:sz w:val="18"/>
          <w:szCs w:val="18"/>
        </w:rPr>
        <w:t>审批人：（项目经理）        审核人：（项目副经理</w:t>
      </w:r>
      <w:r>
        <w:rPr>
          <w:rFonts w:hint="eastAsia" w:ascii="仿宋" w:hAnsi="仿宋" w:eastAsia="仿宋" w:cs="仿宋"/>
          <w:color w:val="auto"/>
          <w:sz w:val="18"/>
          <w:szCs w:val="18"/>
          <w:lang w:val="en-US" w:eastAsia="zh-CN"/>
        </w:rPr>
        <w:t>/技术负责人</w:t>
      </w:r>
      <w:r>
        <w:rPr>
          <w:rFonts w:hint="eastAsia" w:ascii="仿宋" w:hAnsi="仿宋" w:eastAsia="仿宋" w:cs="仿宋"/>
          <w:color w:val="auto"/>
          <w:sz w:val="18"/>
          <w:szCs w:val="18"/>
          <w:lang w:eastAsia="zh-CN"/>
        </w:rPr>
        <w:t>）</w:t>
      </w:r>
      <w:r>
        <w:rPr>
          <w:rFonts w:hint="eastAsia" w:ascii="仿宋" w:hAnsi="仿宋" w:eastAsia="仿宋" w:cs="仿宋"/>
          <w:color w:val="auto"/>
          <w:sz w:val="18"/>
          <w:szCs w:val="18"/>
          <w:lang w:val="en-US" w:eastAsia="zh-CN"/>
        </w:rPr>
        <w:t xml:space="preserve">        </w:t>
      </w:r>
      <w:r>
        <w:rPr>
          <w:rFonts w:hint="eastAsia" w:ascii="仿宋" w:hAnsi="仿宋" w:eastAsia="仿宋" w:cs="仿宋"/>
          <w:color w:val="auto"/>
          <w:sz w:val="18"/>
          <w:szCs w:val="18"/>
        </w:rPr>
        <w:t>编制人：（栋号施工员</w:t>
      </w:r>
      <w:r>
        <w:rPr>
          <w:rFonts w:hint="eastAsia" w:ascii="仿宋" w:hAnsi="仿宋" w:eastAsia="仿宋" w:cs="仿宋"/>
          <w:color w:val="auto"/>
          <w:sz w:val="18"/>
          <w:szCs w:val="18"/>
          <w:lang w:val="en-US" w:eastAsia="zh-CN"/>
        </w:rPr>
        <w:t>/</w:t>
      </w:r>
      <w:r>
        <w:rPr>
          <w:rFonts w:hint="eastAsia" w:ascii="仿宋" w:hAnsi="仿宋" w:eastAsia="仿宋" w:cs="仿宋"/>
          <w:color w:val="auto"/>
          <w:sz w:val="18"/>
          <w:szCs w:val="18"/>
          <w:lang w:eastAsia="zh-CN"/>
        </w:rPr>
        <w:t>仓管员</w:t>
      </w:r>
      <w:r>
        <w:rPr>
          <w:rFonts w:hint="eastAsia" w:ascii="仿宋" w:hAnsi="仿宋" w:eastAsia="仿宋" w:cs="仿宋"/>
          <w:color w:val="auto"/>
          <w:sz w:val="18"/>
          <w:szCs w:val="18"/>
          <w:lang w:val="en-US" w:eastAsia="zh-CN"/>
        </w:rPr>
        <w:t>/</w:t>
      </w:r>
      <w:r>
        <w:rPr>
          <w:rFonts w:hint="eastAsia" w:ascii="仿宋" w:hAnsi="仿宋" w:eastAsia="仿宋" w:cs="仿宋"/>
          <w:color w:val="auto"/>
          <w:sz w:val="18"/>
          <w:szCs w:val="18"/>
          <w:lang w:eastAsia="zh-CN"/>
        </w:rPr>
        <w:t>使用人</w:t>
      </w:r>
      <w:r>
        <w:rPr>
          <w:rFonts w:hint="eastAsia" w:ascii="仿宋" w:hAnsi="仿宋" w:eastAsia="仿宋" w:cs="仿宋"/>
          <w:color w:val="auto"/>
        </w:rPr>
        <w:t>）</w:t>
      </w:r>
    </w:p>
    <w:p w14:paraId="14614CB9">
      <w:pPr>
        <w:pageBreakBefore w:val="0"/>
        <w:tabs>
          <w:tab w:val="left" w:pos="4762"/>
        </w:tabs>
        <w:wordWrap/>
        <w:topLinePunct w:val="0"/>
        <w:bidi w:val="0"/>
        <w:spacing w:line="360" w:lineRule="auto"/>
        <w:ind w:left="34" w:leftChars="-95" w:hanging="233" w:hangingChars="111"/>
        <w:jc w:val="both"/>
        <w:rPr>
          <w:rFonts w:hint="eastAsia" w:ascii="仿宋" w:hAnsi="仿宋" w:eastAsia="仿宋" w:cs="仿宋"/>
          <w:color w:val="auto"/>
        </w:rPr>
      </w:pPr>
    </w:p>
    <w:p w14:paraId="0BF238E1">
      <w:pPr>
        <w:adjustRightInd w:val="0"/>
        <w:snapToGrid w:val="0"/>
        <w:spacing w:line="360" w:lineRule="auto"/>
        <w:jc w:val="right"/>
        <w:outlineLvl w:val="0"/>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附件九</w:t>
      </w:r>
    </w:p>
    <w:p w14:paraId="7F26DE6A">
      <w:pPr>
        <w:adjustRightInd w:val="0"/>
        <w:snapToGrid w:val="0"/>
        <w:spacing w:line="360" w:lineRule="auto"/>
        <w:jc w:val="center"/>
        <w:outlineLvl w:val="0"/>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铁床样式图</w:t>
      </w:r>
    </w:p>
    <w:p w14:paraId="3F1AE8EF">
      <w:pPr>
        <w:pageBreakBefore w:val="0"/>
        <w:tabs>
          <w:tab w:val="left" w:pos="4762"/>
        </w:tabs>
        <w:wordWrap/>
        <w:topLinePunct w:val="0"/>
        <w:bidi w:val="0"/>
        <w:spacing w:line="360" w:lineRule="auto"/>
        <w:ind w:left="200" w:leftChars="-95" w:hanging="399" w:hangingChars="111"/>
        <w:jc w:val="center"/>
        <w:rPr>
          <w:rFonts w:hint="eastAsia" w:ascii="仿宋" w:hAnsi="仿宋" w:eastAsia="仿宋" w:cs="仿宋"/>
          <w:color w:val="auto"/>
          <w:sz w:val="36"/>
          <w:szCs w:val="36"/>
          <w:highlight w:val="none"/>
          <w:lang w:val="en-US" w:eastAsia="zh-CN"/>
        </w:rPr>
      </w:pPr>
      <w:r>
        <w:rPr>
          <w:rFonts w:hint="eastAsia" w:ascii="仿宋" w:hAnsi="仿宋" w:eastAsia="仿宋" w:cs="仿宋"/>
          <w:color w:val="auto"/>
          <w:sz w:val="36"/>
          <w:szCs w:val="36"/>
          <w:highlight w:val="none"/>
          <w:lang w:val="en-US" w:eastAsia="zh-CN"/>
        </w:rPr>
        <w:drawing>
          <wp:inline distT="0" distB="0" distL="114300" distR="114300">
            <wp:extent cx="4117975" cy="7324090"/>
            <wp:effectExtent l="0" t="0" r="15875" b="10160"/>
            <wp:docPr id="5" name="图片 5" descr="8ed46519b14b15698e8c980e88710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8ed46519b14b15698e8c980e88710d5"/>
                    <pic:cNvPicPr>
                      <a:picLocks noChangeAspect="1"/>
                    </pic:cNvPicPr>
                  </pic:nvPicPr>
                  <pic:blipFill>
                    <a:blip r:embed="rId13"/>
                    <a:stretch>
                      <a:fillRect/>
                    </a:stretch>
                  </pic:blipFill>
                  <pic:spPr>
                    <a:xfrm>
                      <a:off x="0" y="0"/>
                      <a:ext cx="4117975" cy="7324090"/>
                    </a:xfrm>
                    <a:prstGeom prst="rect">
                      <a:avLst/>
                    </a:prstGeom>
                  </pic:spPr>
                </pic:pic>
              </a:graphicData>
            </a:graphic>
          </wp:inline>
        </w:drawing>
      </w:r>
    </w:p>
    <w:p w14:paraId="65DAF092">
      <w:pPr>
        <w:pageBreakBefore w:val="0"/>
        <w:tabs>
          <w:tab w:val="left" w:pos="4762"/>
        </w:tabs>
        <w:wordWrap/>
        <w:topLinePunct w:val="0"/>
        <w:bidi w:val="0"/>
        <w:spacing w:line="360" w:lineRule="auto"/>
        <w:ind w:left="200" w:leftChars="-95" w:hanging="399" w:hangingChars="111"/>
        <w:jc w:val="center"/>
        <w:rPr>
          <w:rFonts w:hint="eastAsia" w:ascii="仿宋" w:hAnsi="仿宋" w:eastAsia="仿宋" w:cs="仿宋"/>
          <w:color w:val="auto"/>
          <w:sz w:val="36"/>
          <w:szCs w:val="36"/>
          <w:highlight w:val="none"/>
          <w:lang w:val="en-US" w:eastAsia="zh-CN"/>
        </w:rPr>
      </w:pPr>
    </w:p>
    <w:p w14:paraId="7D8256FF">
      <w:pPr>
        <w:pageBreakBefore w:val="0"/>
        <w:tabs>
          <w:tab w:val="left" w:pos="4762"/>
        </w:tabs>
        <w:wordWrap/>
        <w:topLinePunct w:val="0"/>
        <w:bidi w:val="0"/>
        <w:spacing w:line="360" w:lineRule="auto"/>
        <w:ind w:left="200" w:leftChars="-95" w:hanging="399" w:hangingChars="111"/>
        <w:jc w:val="center"/>
        <w:rPr>
          <w:rFonts w:hint="eastAsia" w:ascii="仿宋" w:hAnsi="仿宋" w:eastAsia="仿宋" w:cs="仿宋"/>
          <w:color w:val="auto"/>
          <w:sz w:val="36"/>
          <w:szCs w:val="36"/>
          <w:highlight w:val="none"/>
          <w:lang w:val="en-US" w:eastAsia="zh-CN"/>
        </w:rPr>
      </w:pPr>
    </w:p>
    <w:p w14:paraId="68844E25">
      <w:pPr>
        <w:pageBreakBefore w:val="0"/>
        <w:tabs>
          <w:tab w:val="left" w:pos="4762"/>
        </w:tabs>
        <w:wordWrap/>
        <w:topLinePunct w:val="0"/>
        <w:bidi w:val="0"/>
        <w:spacing w:line="360" w:lineRule="auto"/>
        <w:ind w:left="200" w:leftChars="-95" w:hanging="399" w:hangingChars="111"/>
        <w:jc w:val="center"/>
        <w:rPr>
          <w:rFonts w:hint="eastAsia" w:ascii="仿宋" w:hAnsi="仿宋" w:eastAsia="仿宋" w:cs="仿宋"/>
          <w:color w:val="auto"/>
          <w:sz w:val="36"/>
          <w:szCs w:val="36"/>
          <w:highlight w:val="none"/>
          <w:lang w:val="en-US" w:eastAsia="zh-CN"/>
        </w:rPr>
      </w:pPr>
    </w:p>
    <w:p w14:paraId="6FFE42CB">
      <w:pPr>
        <w:pageBreakBefore w:val="0"/>
        <w:tabs>
          <w:tab w:val="left" w:pos="4762"/>
        </w:tabs>
        <w:wordWrap/>
        <w:topLinePunct w:val="0"/>
        <w:bidi w:val="0"/>
        <w:spacing w:line="360" w:lineRule="auto"/>
        <w:ind w:left="200" w:leftChars="-95" w:hanging="399" w:hangingChars="111"/>
        <w:jc w:val="center"/>
        <w:rPr>
          <w:rFonts w:hint="eastAsia" w:ascii="仿宋" w:hAnsi="仿宋" w:eastAsia="仿宋" w:cs="仿宋"/>
          <w:color w:val="auto"/>
          <w:sz w:val="36"/>
          <w:szCs w:val="36"/>
          <w:highlight w:val="none"/>
          <w:lang w:val="en-US" w:eastAsia="zh-CN"/>
        </w:rPr>
      </w:pPr>
    </w:p>
    <w:p w14:paraId="03D02BF2">
      <w:pPr>
        <w:pageBreakBefore w:val="0"/>
        <w:tabs>
          <w:tab w:val="left" w:pos="4762"/>
        </w:tabs>
        <w:wordWrap/>
        <w:topLinePunct w:val="0"/>
        <w:bidi w:val="0"/>
        <w:spacing w:line="360" w:lineRule="auto"/>
        <w:ind w:left="200" w:leftChars="-95" w:hanging="399" w:hangingChars="111"/>
        <w:jc w:val="center"/>
        <w:rPr>
          <w:rFonts w:hint="default" w:ascii="仿宋" w:hAnsi="仿宋" w:eastAsia="仿宋" w:cs="仿宋"/>
          <w:color w:val="auto"/>
          <w:lang w:val="en-US" w:eastAsia="zh-CN"/>
        </w:rPr>
      </w:pPr>
      <w:r>
        <w:rPr>
          <w:rFonts w:hint="eastAsia" w:ascii="仿宋" w:hAnsi="仿宋" w:eastAsia="仿宋" w:cs="仿宋"/>
          <w:color w:val="auto"/>
          <w:sz w:val="36"/>
          <w:szCs w:val="36"/>
          <w:highlight w:val="none"/>
          <w:lang w:val="en-US" w:eastAsia="zh-CN"/>
        </w:rPr>
        <w:drawing>
          <wp:inline distT="0" distB="0" distL="114300" distR="114300">
            <wp:extent cx="4383405" cy="7794625"/>
            <wp:effectExtent l="0" t="0" r="17145" b="15875"/>
            <wp:docPr id="6" name="图片 6" descr="4cc420bc86b952a83d62d679b75fa00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4cc420bc86b952a83d62d679b75fa006_"/>
                    <pic:cNvPicPr>
                      <a:picLocks noChangeAspect="1"/>
                    </pic:cNvPicPr>
                  </pic:nvPicPr>
                  <pic:blipFill>
                    <a:blip r:embed="rId14"/>
                    <a:stretch>
                      <a:fillRect/>
                    </a:stretch>
                  </pic:blipFill>
                  <pic:spPr>
                    <a:xfrm>
                      <a:off x="0" y="0"/>
                      <a:ext cx="4383405" cy="7794625"/>
                    </a:xfrm>
                    <a:prstGeom prst="rect">
                      <a:avLst/>
                    </a:prstGeom>
                  </pic:spPr>
                </pic:pic>
              </a:graphicData>
            </a:graphic>
          </wp:inline>
        </w:drawing>
      </w:r>
    </w:p>
    <w:sectPr>
      <w:footerReference r:id="rId8" w:type="default"/>
      <w:pgSz w:w="11906" w:h="16838"/>
      <w:pgMar w:top="1134" w:right="1417" w:bottom="1134"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B21C9">
    <w:pPr>
      <w:pStyle w:val="6"/>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20443">
    <w:pPr>
      <w:pStyle w:val="6"/>
      <w:jc w:val="center"/>
      <w:rPr>
        <w:rFonts w:hint="default" w:eastAsia="宋体"/>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BFFA9">
    <w:pPr>
      <w:pStyle w:val="6"/>
      <w:jc w:val="center"/>
      <w:rPr>
        <w:rFonts w:hint="default" w:eastAsia="宋体"/>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posOffset>2826385</wp:posOffset>
              </wp:positionH>
              <wp:positionV relativeFrom="paragraph">
                <wp:posOffset>-182245</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28BDD3">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22.55pt;margin-top:-14.35pt;height:144pt;width:144pt;mso-position-horizontal-relative:margin;mso-wrap-style:none;z-index:251661312;mso-width-relative:page;mso-height-relative:page;" filled="f" stroked="f" coordsize="21600,21600" o:gfxdata="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2c8wd2QAAAAsBAAAPAAAAAAAAAAEAIAAAACIAAABkcnMvZG93&#10;bnJldi54bWxQSwECFAAUAAAACACHTuJAtVl6sjgCAABvBAAADgAAAAAAAAABACAAAAAoAQAAZHJz&#10;L2Uyb0RvYy54bWxQSwUGAAAAAAYABgBZAQAA0gUAAAAA&#10;">
              <v:fill on="f" focussize="0,0"/>
              <v:stroke on="f" weight="0.5pt"/>
              <v:imagedata o:title=""/>
              <o:lock v:ext="edit" aspectratio="f"/>
              <v:textbox inset="0mm,0mm,0mm,0mm" style="mso-fit-shape-to-text:t;">
                <w:txbxContent>
                  <w:p w14:paraId="2B28BDD3">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81D75">
    <w:pPr>
      <w:pStyle w:val="6"/>
      <w:jc w:val="center"/>
      <w:rPr>
        <w:rFonts w:hint="default" w:eastAsia="宋体"/>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7A7886">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397A7886">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FD6E1">
    <w:pPr>
      <w:pStyle w:val="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8E3ADC">
                          <w:pPr>
                            <w:pStyle w:val="6"/>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2A8E3ADC">
                    <w:pPr>
                      <w:pStyle w:val="6"/>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8E46EA">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258E46EA">
                    <w:pPr>
                      <w:pStyle w:val="6"/>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53D62">
    <w:pPr>
      <w:pStyle w:val="7"/>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4DFE4"/>
    <w:multiLevelType w:val="multilevel"/>
    <w:tmpl w:val="9004DFE4"/>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A5C9485E"/>
    <w:multiLevelType w:val="singleLevel"/>
    <w:tmpl w:val="A5C9485E"/>
    <w:lvl w:ilvl="0" w:tentative="0">
      <w:start w:val="3"/>
      <w:numFmt w:val="chineseCounting"/>
      <w:suff w:val="space"/>
      <w:lvlText w:val="第%1部分"/>
      <w:lvlJc w:val="left"/>
      <w:rPr>
        <w:rFonts w:hint="eastAsia"/>
      </w:rPr>
    </w:lvl>
  </w:abstractNum>
  <w:abstractNum w:abstractNumId="2">
    <w:nsid w:val="D1A8A8AA"/>
    <w:multiLevelType w:val="singleLevel"/>
    <w:tmpl w:val="D1A8A8AA"/>
    <w:lvl w:ilvl="0" w:tentative="0">
      <w:start w:val="2"/>
      <w:numFmt w:val="decimal"/>
      <w:suff w:val="nothing"/>
      <w:lvlText w:val="%1、"/>
      <w:lvlJc w:val="left"/>
    </w:lvl>
  </w:abstractNum>
  <w:abstractNum w:abstractNumId="3">
    <w:nsid w:val="D2AA4066"/>
    <w:multiLevelType w:val="singleLevel"/>
    <w:tmpl w:val="D2AA4066"/>
    <w:lvl w:ilvl="0" w:tentative="0">
      <w:start w:val="1"/>
      <w:numFmt w:val="chineseCounting"/>
      <w:suff w:val="nothing"/>
      <w:lvlText w:val="第%1章、"/>
      <w:lvlJc w:val="left"/>
      <w:rPr>
        <w:rFonts w:hint="eastAsia"/>
      </w:rPr>
    </w:lvl>
  </w:abstractNum>
  <w:abstractNum w:abstractNumId="4">
    <w:nsid w:val="F0FAB888"/>
    <w:multiLevelType w:val="singleLevel"/>
    <w:tmpl w:val="F0FAB888"/>
    <w:lvl w:ilvl="0" w:tentative="0">
      <w:start w:val="1"/>
      <w:numFmt w:val="chineseCounting"/>
      <w:suff w:val="nothing"/>
      <w:lvlText w:val="第%1章、"/>
      <w:lvlJc w:val="left"/>
      <w:rPr>
        <w:rFonts w:hint="eastAsia"/>
      </w:rPr>
    </w:lvl>
  </w:abstractNum>
  <w:abstractNum w:abstractNumId="5">
    <w:nsid w:val="0B83F29C"/>
    <w:multiLevelType w:val="singleLevel"/>
    <w:tmpl w:val="0B83F29C"/>
    <w:lvl w:ilvl="0" w:tentative="0">
      <w:start w:val="2"/>
      <w:numFmt w:val="chineseCounting"/>
      <w:suff w:val="space"/>
      <w:lvlText w:val="第%1部分"/>
      <w:lvlJc w:val="left"/>
      <w:rPr>
        <w:rFonts w:hint="eastAsia"/>
      </w:rPr>
    </w:lvl>
  </w:abstractNum>
  <w:abstractNum w:abstractNumId="6">
    <w:nsid w:val="3ECC8F30"/>
    <w:multiLevelType w:val="singleLevel"/>
    <w:tmpl w:val="3ECC8F30"/>
    <w:lvl w:ilvl="0" w:tentative="0">
      <w:start w:val="1"/>
      <w:numFmt w:val="chineseCounting"/>
      <w:suff w:val="nothing"/>
      <w:lvlText w:val="第%1章、"/>
      <w:lvlJc w:val="left"/>
      <w:rPr>
        <w:rFonts w:hint="eastAsia"/>
      </w:rPr>
    </w:lvl>
  </w:abstractNum>
  <w:num w:numId="1">
    <w:abstractNumId w:val="6"/>
  </w:num>
  <w:num w:numId="2">
    <w:abstractNumId w:val="0"/>
  </w:num>
  <w:num w:numId="3">
    <w:abstractNumId w:val="5"/>
  </w:num>
  <w:num w:numId="4">
    <w:abstractNumId w:val="4"/>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3NTFiODhkYmZlNzk3ZjM0OThiZWE0NTIwOGJkZGMifQ=="/>
  </w:docVars>
  <w:rsids>
    <w:rsidRoot w:val="00000000"/>
    <w:rsid w:val="0000747A"/>
    <w:rsid w:val="00052A18"/>
    <w:rsid w:val="00133387"/>
    <w:rsid w:val="001D4206"/>
    <w:rsid w:val="0022181C"/>
    <w:rsid w:val="00240114"/>
    <w:rsid w:val="00247343"/>
    <w:rsid w:val="003F23CE"/>
    <w:rsid w:val="00494FFB"/>
    <w:rsid w:val="0055574E"/>
    <w:rsid w:val="006308AB"/>
    <w:rsid w:val="006911F9"/>
    <w:rsid w:val="00732078"/>
    <w:rsid w:val="007E18FF"/>
    <w:rsid w:val="00863B59"/>
    <w:rsid w:val="008878D1"/>
    <w:rsid w:val="00942D05"/>
    <w:rsid w:val="009C767B"/>
    <w:rsid w:val="00A87DE8"/>
    <w:rsid w:val="00B0507A"/>
    <w:rsid w:val="00BC757B"/>
    <w:rsid w:val="00D72607"/>
    <w:rsid w:val="00DC2680"/>
    <w:rsid w:val="00FB057E"/>
    <w:rsid w:val="01035F0D"/>
    <w:rsid w:val="01037573"/>
    <w:rsid w:val="011501AB"/>
    <w:rsid w:val="0123220E"/>
    <w:rsid w:val="01286562"/>
    <w:rsid w:val="012F2443"/>
    <w:rsid w:val="012F2B13"/>
    <w:rsid w:val="01305439"/>
    <w:rsid w:val="01325A8F"/>
    <w:rsid w:val="01326F3B"/>
    <w:rsid w:val="013352D8"/>
    <w:rsid w:val="01351803"/>
    <w:rsid w:val="0156177E"/>
    <w:rsid w:val="015D207C"/>
    <w:rsid w:val="01661800"/>
    <w:rsid w:val="016814B1"/>
    <w:rsid w:val="01791910"/>
    <w:rsid w:val="017B7436"/>
    <w:rsid w:val="019978BC"/>
    <w:rsid w:val="01A71FD9"/>
    <w:rsid w:val="01AD3795"/>
    <w:rsid w:val="01D86637"/>
    <w:rsid w:val="0210376E"/>
    <w:rsid w:val="02217FDE"/>
    <w:rsid w:val="02331BCC"/>
    <w:rsid w:val="02471A55"/>
    <w:rsid w:val="024E06A7"/>
    <w:rsid w:val="02895B83"/>
    <w:rsid w:val="0290648C"/>
    <w:rsid w:val="02A52D67"/>
    <w:rsid w:val="02B86235"/>
    <w:rsid w:val="02C44E0D"/>
    <w:rsid w:val="03024286"/>
    <w:rsid w:val="03061542"/>
    <w:rsid w:val="031418F0"/>
    <w:rsid w:val="033802EC"/>
    <w:rsid w:val="03416159"/>
    <w:rsid w:val="03495361"/>
    <w:rsid w:val="03562E11"/>
    <w:rsid w:val="035F2640"/>
    <w:rsid w:val="036870FF"/>
    <w:rsid w:val="036C617D"/>
    <w:rsid w:val="038C76D9"/>
    <w:rsid w:val="0396612F"/>
    <w:rsid w:val="03A323C4"/>
    <w:rsid w:val="03AF2714"/>
    <w:rsid w:val="03AF33C7"/>
    <w:rsid w:val="03C86237"/>
    <w:rsid w:val="03D130C9"/>
    <w:rsid w:val="03D23A10"/>
    <w:rsid w:val="03EF5DB2"/>
    <w:rsid w:val="03FD05D6"/>
    <w:rsid w:val="040C7AED"/>
    <w:rsid w:val="04194CE4"/>
    <w:rsid w:val="041C3581"/>
    <w:rsid w:val="04206073"/>
    <w:rsid w:val="042711AF"/>
    <w:rsid w:val="045301F6"/>
    <w:rsid w:val="045522A3"/>
    <w:rsid w:val="047F2F94"/>
    <w:rsid w:val="04C9670A"/>
    <w:rsid w:val="04D05CEB"/>
    <w:rsid w:val="04D8295D"/>
    <w:rsid w:val="04F349A4"/>
    <w:rsid w:val="0515604A"/>
    <w:rsid w:val="05235E1B"/>
    <w:rsid w:val="05241B93"/>
    <w:rsid w:val="05485881"/>
    <w:rsid w:val="05571F68"/>
    <w:rsid w:val="055E32F7"/>
    <w:rsid w:val="055E648D"/>
    <w:rsid w:val="0563090D"/>
    <w:rsid w:val="058F1702"/>
    <w:rsid w:val="05B00870"/>
    <w:rsid w:val="05B94582"/>
    <w:rsid w:val="05CF7D50"/>
    <w:rsid w:val="05DC29A4"/>
    <w:rsid w:val="05E7046B"/>
    <w:rsid w:val="062A142B"/>
    <w:rsid w:val="062A31D9"/>
    <w:rsid w:val="06456265"/>
    <w:rsid w:val="064C13A1"/>
    <w:rsid w:val="065F1493"/>
    <w:rsid w:val="066A43D4"/>
    <w:rsid w:val="06994288"/>
    <w:rsid w:val="069A3EBB"/>
    <w:rsid w:val="069D0714"/>
    <w:rsid w:val="06B3319E"/>
    <w:rsid w:val="06B524FE"/>
    <w:rsid w:val="06CB49BC"/>
    <w:rsid w:val="06DB3895"/>
    <w:rsid w:val="06DC0977"/>
    <w:rsid w:val="06E46E07"/>
    <w:rsid w:val="070B4DB8"/>
    <w:rsid w:val="071E2D3E"/>
    <w:rsid w:val="071F6AB6"/>
    <w:rsid w:val="07222102"/>
    <w:rsid w:val="072916E2"/>
    <w:rsid w:val="07351E35"/>
    <w:rsid w:val="074D44A4"/>
    <w:rsid w:val="0751431A"/>
    <w:rsid w:val="076444C8"/>
    <w:rsid w:val="07687ACF"/>
    <w:rsid w:val="076E1AF0"/>
    <w:rsid w:val="078778B3"/>
    <w:rsid w:val="078F7797"/>
    <w:rsid w:val="07966D78"/>
    <w:rsid w:val="079B2A89"/>
    <w:rsid w:val="079C1EB4"/>
    <w:rsid w:val="07E838FA"/>
    <w:rsid w:val="08005A40"/>
    <w:rsid w:val="080804DF"/>
    <w:rsid w:val="084762C4"/>
    <w:rsid w:val="08564322"/>
    <w:rsid w:val="085D5AE7"/>
    <w:rsid w:val="08604357"/>
    <w:rsid w:val="0862454D"/>
    <w:rsid w:val="087A1BF2"/>
    <w:rsid w:val="088C6DAF"/>
    <w:rsid w:val="08932258"/>
    <w:rsid w:val="089A4EC8"/>
    <w:rsid w:val="08AC56C0"/>
    <w:rsid w:val="08DB17FA"/>
    <w:rsid w:val="08E04023"/>
    <w:rsid w:val="08EE7CFD"/>
    <w:rsid w:val="08EF01D5"/>
    <w:rsid w:val="08FD1E97"/>
    <w:rsid w:val="09141FAF"/>
    <w:rsid w:val="092C2FD9"/>
    <w:rsid w:val="094B5940"/>
    <w:rsid w:val="0960032A"/>
    <w:rsid w:val="09615163"/>
    <w:rsid w:val="096D58B6"/>
    <w:rsid w:val="097F1A8E"/>
    <w:rsid w:val="09886B94"/>
    <w:rsid w:val="09A56D66"/>
    <w:rsid w:val="09BA4874"/>
    <w:rsid w:val="09C5399F"/>
    <w:rsid w:val="09D230B8"/>
    <w:rsid w:val="09D73678"/>
    <w:rsid w:val="09DE698C"/>
    <w:rsid w:val="09DF42DA"/>
    <w:rsid w:val="09FA34EB"/>
    <w:rsid w:val="0A026946"/>
    <w:rsid w:val="0A052E00"/>
    <w:rsid w:val="0A200B7B"/>
    <w:rsid w:val="0A624FB9"/>
    <w:rsid w:val="0A692F6B"/>
    <w:rsid w:val="0A6E0C5C"/>
    <w:rsid w:val="0A7635CA"/>
    <w:rsid w:val="0A870BFA"/>
    <w:rsid w:val="0AA30A0F"/>
    <w:rsid w:val="0AA95014"/>
    <w:rsid w:val="0AB72067"/>
    <w:rsid w:val="0ABF20F1"/>
    <w:rsid w:val="0ACC485F"/>
    <w:rsid w:val="0AD11E75"/>
    <w:rsid w:val="0AE127A9"/>
    <w:rsid w:val="0AFA761E"/>
    <w:rsid w:val="0B2E0F81"/>
    <w:rsid w:val="0B5949B9"/>
    <w:rsid w:val="0B5F1461"/>
    <w:rsid w:val="0B5F7791"/>
    <w:rsid w:val="0B602DC9"/>
    <w:rsid w:val="0B61144B"/>
    <w:rsid w:val="0B65258D"/>
    <w:rsid w:val="0B6B24CE"/>
    <w:rsid w:val="0B732F2C"/>
    <w:rsid w:val="0B865355"/>
    <w:rsid w:val="0BC4514F"/>
    <w:rsid w:val="0BCA384C"/>
    <w:rsid w:val="0BCB2D68"/>
    <w:rsid w:val="0BDB744F"/>
    <w:rsid w:val="0BFF07E0"/>
    <w:rsid w:val="0C0128E1"/>
    <w:rsid w:val="0C14470F"/>
    <w:rsid w:val="0C1E558E"/>
    <w:rsid w:val="0C2010AC"/>
    <w:rsid w:val="0C38454E"/>
    <w:rsid w:val="0C62191E"/>
    <w:rsid w:val="0C9B3CE7"/>
    <w:rsid w:val="0CB90E13"/>
    <w:rsid w:val="0CC25F19"/>
    <w:rsid w:val="0CD2303E"/>
    <w:rsid w:val="0CDB347F"/>
    <w:rsid w:val="0CF2453E"/>
    <w:rsid w:val="0D042E1A"/>
    <w:rsid w:val="0D2839BE"/>
    <w:rsid w:val="0D4913C1"/>
    <w:rsid w:val="0D5C183A"/>
    <w:rsid w:val="0D660F9A"/>
    <w:rsid w:val="0D6945E7"/>
    <w:rsid w:val="0D7A2C98"/>
    <w:rsid w:val="0D962F4D"/>
    <w:rsid w:val="0DBC6E0C"/>
    <w:rsid w:val="0DCE6281"/>
    <w:rsid w:val="0DEC297A"/>
    <w:rsid w:val="0DF77E44"/>
    <w:rsid w:val="0E1518A1"/>
    <w:rsid w:val="0E2350DD"/>
    <w:rsid w:val="0E262ED1"/>
    <w:rsid w:val="0E2714DC"/>
    <w:rsid w:val="0E4928DC"/>
    <w:rsid w:val="0E754C08"/>
    <w:rsid w:val="0E84109E"/>
    <w:rsid w:val="0E8B4260"/>
    <w:rsid w:val="0EA855E3"/>
    <w:rsid w:val="0EBC4BEA"/>
    <w:rsid w:val="0EC85B22"/>
    <w:rsid w:val="0ECE2E6A"/>
    <w:rsid w:val="0ED85EC8"/>
    <w:rsid w:val="0EDA7072"/>
    <w:rsid w:val="0EDC11FC"/>
    <w:rsid w:val="0EE26D46"/>
    <w:rsid w:val="0EF12AE6"/>
    <w:rsid w:val="0F0C4A59"/>
    <w:rsid w:val="0F112C3E"/>
    <w:rsid w:val="0F1862C4"/>
    <w:rsid w:val="0F210701"/>
    <w:rsid w:val="0F213556"/>
    <w:rsid w:val="0F225395"/>
    <w:rsid w:val="0F24110D"/>
    <w:rsid w:val="0F2B249C"/>
    <w:rsid w:val="0F2C6214"/>
    <w:rsid w:val="0F2E5AE8"/>
    <w:rsid w:val="0F551C07"/>
    <w:rsid w:val="0F587009"/>
    <w:rsid w:val="0F5D0A2F"/>
    <w:rsid w:val="0F607C6B"/>
    <w:rsid w:val="0F706100"/>
    <w:rsid w:val="0F784FB5"/>
    <w:rsid w:val="0F8A6A96"/>
    <w:rsid w:val="0F8C08E3"/>
    <w:rsid w:val="0F8D06EA"/>
    <w:rsid w:val="0FA53BB8"/>
    <w:rsid w:val="0FC149A6"/>
    <w:rsid w:val="0FC1695C"/>
    <w:rsid w:val="0FDF4E93"/>
    <w:rsid w:val="0FE03B0E"/>
    <w:rsid w:val="0FE4089C"/>
    <w:rsid w:val="0FEE34C9"/>
    <w:rsid w:val="0FF90784"/>
    <w:rsid w:val="10093E5F"/>
    <w:rsid w:val="100D7DF3"/>
    <w:rsid w:val="1029043F"/>
    <w:rsid w:val="10325FFC"/>
    <w:rsid w:val="10434BC7"/>
    <w:rsid w:val="1054157E"/>
    <w:rsid w:val="105651B6"/>
    <w:rsid w:val="106A6FF4"/>
    <w:rsid w:val="10836E18"/>
    <w:rsid w:val="109C2F25"/>
    <w:rsid w:val="10AB142F"/>
    <w:rsid w:val="10AB4F16"/>
    <w:rsid w:val="10AB724C"/>
    <w:rsid w:val="10C06C14"/>
    <w:rsid w:val="10C36704"/>
    <w:rsid w:val="10CB4AD3"/>
    <w:rsid w:val="10D774CE"/>
    <w:rsid w:val="10E613C1"/>
    <w:rsid w:val="10EB2E96"/>
    <w:rsid w:val="10EE19D3"/>
    <w:rsid w:val="10F95128"/>
    <w:rsid w:val="11041F12"/>
    <w:rsid w:val="11095C2A"/>
    <w:rsid w:val="112278CE"/>
    <w:rsid w:val="1154735C"/>
    <w:rsid w:val="1158509E"/>
    <w:rsid w:val="115A0AD0"/>
    <w:rsid w:val="11763776"/>
    <w:rsid w:val="117A14B8"/>
    <w:rsid w:val="11A007F3"/>
    <w:rsid w:val="11AE31E0"/>
    <w:rsid w:val="11AE5258"/>
    <w:rsid w:val="11B147AE"/>
    <w:rsid w:val="11C646FD"/>
    <w:rsid w:val="11C9487C"/>
    <w:rsid w:val="11F56D91"/>
    <w:rsid w:val="12191CC8"/>
    <w:rsid w:val="12266F4A"/>
    <w:rsid w:val="12340406"/>
    <w:rsid w:val="123A0C48"/>
    <w:rsid w:val="124341AB"/>
    <w:rsid w:val="12521AED"/>
    <w:rsid w:val="12633CFA"/>
    <w:rsid w:val="12692EF2"/>
    <w:rsid w:val="12786986"/>
    <w:rsid w:val="127F3EF9"/>
    <w:rsid w:val="12922832"/>
    <w:rsid w:val="129C2F36"/>
    <w:rsid w:val="129C7D0E"/>
    <w:rsid w:val="12A3059B"/>
    <w:rsid w:val="12BD293A"/>
    <w:rsid w:val="12EF37E0"/>
    <w:rsid w:val="12F17558"/>
    <w:rsid w:val="12F2507E"/>
    <w:rsid w:val="12F46273"/>
    <w:rsid w:val="1308124D"/>
    <w:rsid w:val="132C0590"/>
    <w:rsid w:val="133236CD"/>
    <w:rsid w:val="13337CD2"/>
    <w:rsid w:val="13370CE3"/>
    <w:rsid w:val="13386F35"/>
    <w:rsid w:val="13394A5B"/>
    <w:rsid w:val="133B2333"/>
    <w:rsid w:val="134A56E4"/>
    <w:rsid w:val="13651CF4"/>
    <w:rsid w:val="13A9398F"/>
    <w:rsid w:val="13B3480E"/>
    <w:rsid w:val="13BD568C"/>
    <w:rsid w:val="13E44DAF"/>
    <w:rsid w:val="13F91511"/>
    <w:rsid w:val="13FB325E"/>
    <w:rsid w:val="141823DD"/>
    <w:rsid w:val="141A488D"/>
    <w:rsid w:val="141D3725"/>
    <w:rsid w:val="1470712F"/>
    <w:rsid w:val="14AF76CB"/>
    <w:rsid w:val="14B22D17"/>
    <w:rsid w:val="14B7032D"/>
    <w:rsid w:val="14BC1DE8"/>
    <w:rsid w:val="14C10EE2"/>
    <w:rsid w:val="14C201BA"/>
    <w:rsid w:val="14E31122"/>
    <w:rsid w:val="15211C4B"/>
    <w:rsid w:val="152621F6"/>
    <w:rsid w:val="1527090B"/>
    <w:rsid w:val="1529148F"/>
    <w:rsid w:val="153E66BC"/>
    <w:rsid w:val="1542409B"/>
    <w:rsid w:val="155301D7"/>
    <w:rsid w:val="15532EC1"/>
    <w:rsid w:val="1557566D"/>
    <w:rsid w:val="15610299"/>
    <w:rsid w:val="15671D54"/>
    <w:rsid w:val="15724254"/>
    <w:rsid w:val="158C3568"/>
    <w:rsid w:val="158F270C"/>
    <w:rsid w:val="15B36931"/>
    <w:rsid w:val="15CF16A7"/>
    <w:rsid w:val="16017DF9"/>
    <w:rsid w:val="16197E6B"/>
    <w:rsid w:val="16281F12"/>
    <w:rsid w:val="16302145"/>
    <w:rsid w:val="16351E52"/>
    <w:rsid w:val="167043DB"/>
    <w:rsid w:val="16717081"/>
    <w:rsid w:val="167209B0"/>
    <w:rsid w:val="16750D36"/>
    <w:rsid w:val="16AA7E79"/>
    <w:rsid w:val="16B014D8"/>
    <w:rsid w:val="16C17241"/>
    <w:rsid w:val="170B3EB5"/>
    <w:rsid w:val="171952CF"/>
    <w:rsid w:val="1719707D"/>
    <w:rsid w:val="171D2EE0"/>
    <w:rsid w:val="1730504B"/>
    <w:rsid w:val="17323756"/>
    <w:rsid w:val="17361868"/>
    <w:rsid w:val="17515EC2"/>
    <w:rsid w:val="17516817"/>
    <w:rsid w:val="17596DAC"/>
    <w:rsid w:val="175C420C"/>
    <w:rsid w:val="17740758"/>
    <w:rsid w:val="17793FC0"/>
    <w:rsid w:val="179D2E56"/>
    <w:rsid w:val="17A6044E"/>
    <w:rsid w:val="17BA0860"/>
    <w:rsid w:val="17BD20FF"/>
    <w:rsid w:val="17E44BFC"/>
    <w:rsid w:val="17E53404"/>
    <w:rsid w:val="17EF06F4"/>
    <w:rsid w:val="180A4C18"/>
    <w:rsid w:val="180D50C3"/>
    <w:rsid w:val="180D79FC"/>
    <w:rsid w:val="181236CE"/>
    <w:rsid w:val="182615E2"/>
    <w:rsid w:val="18310418"/>
    <w:rsid w:val="18510A99"/>
    <w:rsid w:val="1853036D"/>
    <w:rsid w:val="1864558B"/>
    <w:rsid w:val="18702BAC"/>
    <w:rsid w:val="187B6274"/>
    <w:rsid w:val="189D783A"/>
    <w:rsid w:val="18B2778A"/>
    <w:rsid w:val="18B904BA"/>
    <w:rsid w:val="18C03544"/>
    <w:rsid w:val="18D26E7F"/>
    <w:rsid w:val="18DD6A5B"/>
    <w:rsid w:val="18DE307B"/>
    <w:rsid w:val="18EB67F8"/>
    <w:rsid w:val="18F90F15"/>
    <w:rsid w:val="19046D46"/>
    <w:rsid w:val="19063790"/>
    <w:rsid w:val="19120228"/>
    <w:rsid w:val="192B006F"/>
    <w:rsid w:val="192D1706"/>
    <w:rsid w:val="193601B3"/>
    <w:rsid w:val="195720DF"/>
    <w:rsid w:val="19654B16"/>
    <w:rsid w:val="197E766C"/>
    <w:rsid w:val="1988190B"/>
    <w:rsid w:val="198A6011"/>
    <w:rsid w:val="198F1879"/>
    <w:rsid w:val="19A5109C"/>
    <w:rsid w:val="19A9418A"/>
    <w:rsid w:val="19B32869"/>
    <w:rsid w:val="19B74EE4"/>
    <w:rsid w:val="19C74A3D"/>
    <w:rsid w:val="19D11E91"/>
    <w:rsid w:val="19DF017E"/>
    <w:rsid w:val="19EC6CCB"/>
    <w:rsid w:val="19EE2A43"/>
    <w:rsid w:val="1A0C186A"/>
    <w:rsid w:val="1A2A3350"/>
    <w:rsid w:val="1A2C356C"/>
    <w:rsid w:val="1A3348FA"/>
    <w:rsid w:val="1A34778E"/>
    <w:rsid w:val="1A3D3083"/>
    <w:rsid w:val="1A440C91"/>
    <w:rsid w:val="1A9F78F8"/>
    <w:rsid w:val="1AA66E7A"/>
    <w:rsid w:val="1ABC48F0"/>
    <w:rsid w:val="1AC11F06"/>
    <w:rsid w:val="1AC61965"/>
    <w:rsid w:val="1AF65494"/>
    <w:rsid w:val="1AF75928"/>
    <w:rsid w:val="1AFC1190"/>
    <w:rsid w:val="1B101184"/>
    <w:rsid w:val="1B16525A"/>
    <w:rsid w:val="1B1A1616"/>
    <w:rsid w:val="1B1D74DF"/>
    <w:rsid w:val="1B1E69B9"/>
    <w:rsid w:val="1B210BF7"/>
    <w:rsid w:val="1B2B45EC"/>
    <w:rsid w:val="1B3D7186"/>
    <w:rsid w:val="1B512979"/>
    <w:rsid w:val="1B59213E"/>
    <w:rsid w:val="1B666609"/>
    <w:rsid w:val="1B724FAE"/>
    <w:rsid w:val="1B7A7441"/>
    <w:rsid w:val="1B83540D"/>
    <w:rsid w:val="1B8A78B2"/>
    <w:rsid w:val="1B9C202B"/>
    <w:rsid w:val="1BC42A7B"/>
    <w:rsid w:val="1BEA0FE8"/>
    <w:rsid w:val="1BEC2FB3"/>
    <w:rsid w:val="1C111C07"/>
    <w:rsid w:val="1C237506"/>
    <w:rsid w:val="1C2465A3"/>
    <w:rsid w:val="1C3B7A96"/>
    <w:rsid w:val="1C4F52EF"/>
    <w:rsid w:val="1C67088B"/>
    <w:rsid w:val="1C8B27CB"/>
    <w:rsid w:val="1C9571A6"/>
    <w:rsid w:val="1CD66BB0"/>
    <w:rsid w:val="1CF928A3"/>
    <w:rsid w:val="1D1C78C7"/>
    <w:rsid w:val="1D321EA3"/>
    <w:rsid w:val="1D385E44"/>
    <w:rsid w:val="1D5A219E"/>
    <w:rsid w:val="1D6923E1"/>
    <w:rsid w:val="1D762D4C"/>
    <w:rsid w:val="1DB01F75"/>
    <w:rsid w:val="1DC92705"/>
    <w:rsid w:val="1DD51824"/>
    <w:rsid w:val="1DDA6E3B"/>
    <w:rsid w:val="1DDF12F2"/>
    <w:rsid w:val="1DE6772B"/>
    <w:rsid w:val="1E0A5972"/>
    <w:rsid w:val="1E0A7720"/>
    <w:rsid w:val="1E0F4D36"/>
    <w:rsid w:val="1E291486"/>
    <w:rsid w:val="1E2F362A"/>
    <w:rsid w:val="1E3824DF"/>
    <w:rsid w:val="1E4744D0"/>
    <w:rsid w:val="1E4C5F8A"/>
    <w:rsid w:val="1E596F15"/>
    <w:rsid w:val="1E5D7DE9"/>
    <w:rsid w:val="1E6E5AF7"/>
    <w:rsid w:val="1E6E6048"/>
    <w:rsid w:val="1E733E15"/>
    <w:rsid w:val="1E8A260F"/>
    <w:rsid w:val="1E952C15"/>
    <w:rsid w:val="1E967206"/>
    <w:rsid w:val="1EAA33EB"/>
    <w:rsid w:val="1EAE6AE9"/>
    <w:rsid w:val="1EB55AAE"/>
    <w:rsid w:val="1ED02971"/>
    <w:rsid w:val="1EDE6925"/>
    <w:rsid w:val="1EE8765A"/>
    <w:rsid w:val="1F066139"/>
    <w:rsid w:val="1F130856"/>
    <w:rsid w:val="1F2C36C6"/>
    <w:rsid w:val="1F2E743E"/>
    <w:rsid w:val="1F380A48"/>
    <w:rsid w:val="1F416D3C"/>
    <w:rsid w:val="1F4E71EE"/>
    <w:rsid w:val="1F576995"/>
    <w:rsid w:val="1F5F550C"/>
    <w:rsid w:val="1F63358C"/>
    <w:rsid w:val="1F66307C"/>
    <w:rsid w:val="1F6D61B8"/>
    <w:rsid w:val="1F871243"/>
    <w:rsid w:val="1F9F033C"/>
    <w:rsid w:val="1FBD2E59"/>
    <w:rsid w:val="1FBF278C"/>
    <w:rsid w:val="1FEC7FEB"/>
    <w:rsid w:val="1FFE5062"/>
    <w:rsid w:val="2006231E"/>
    <w:rsid w:val="2007660D"/>
    <w:rsid w:val="200C6649"/>
    <w:rsid w:val="20124FB2"/>
    <w:rsid w:val="20191E9C"/>
    <w:rsid w:val="204A02A8"/>
    <w:rsid w:val="20692753"/>
    <w:rsid w:val="206C1BB2"/>
    <w:rsid w:val="2080016D"/>
    <w:rsid w:val="208E288A"/>
    <w:rsid w:val="20AA62CB"/>
    <w:rsid w:val="20D9162C"/>
    <w:rsid w:val="20E63F9F"/>
    <w:rsid w:val="20FA2766"/>
    <w:rsid w:val="21042B4C"/>
    <w:rsid w:val="21271BF9"/>
    <w:rsid w:val="212E1977"/>
    <w:rsid w:val="212E3725"/>
    <w:rsid w:val="21425423"/>
    <w:rsid w:val="21645399"/>
    <w:rsid w:val="21696E53"/>
    <w:rsid w:val="21920158"/>
    <w:rsid w:val="21927F47"/>
    <w:rsid w:val="219B4563"/>
    <w:rsid w:val="21A263B7"/>
    <w:rsid w:val="21AD23A2"/>
    <w:rsid w:val="21CF315A"/>
    <w:rsid w:val="21DE514B"/>
    <w:rsid w:val="21E07116"/>
    <w:rsid w:val="21EF55AB"/>
    <w:rsid w:val="21EF63FF"/>
    <w:rsid w:val="21F20BF7"/>
    <w:rsid w:val="21FC7514"/>
    <w:rsid w:val="2217065D"/>
    <w:rsid w:val="22293AE7"/>
    <w:rsid w:val="22317971"/>
    <w:rsid w:val="223615FD"/>
    <w:rsid w:val="22461903"/>
    <w:rsid w:val="224A3DEA"/>
    <w:rsid w:val="226E1396"/>
    <w:rsid w:val="2271572E"/>
    <w:rsid w:val="22793056"/>
    <w:rsid w:val="22832569"/>
    <w:rsid w:val="22835CF3"/>
    <w:rsid w:val="22971AE5"/>
    <w:rsid w:val="22DB6486"/>
    <w:rsid w:val="22DE026A"/>
    <w:rsid w:val="22E177D9"/>
    <w:rsid w:val="22E42C35"/>
    <w:rsid w:val="22EF3388"/>
    <w:rsid w:val="22F05754"/>
    <w:rsid w:val="22F46F43"/>
    <w:rsid w:val="23166844"/>
    <w:rsid w:val="232E1AC6"/>
    <w:rsid w:val="232F786B"/>
    <w:rsid w:val="23384D2F"/>
    <w:rsid w:val="234C768D"/>
    <w:rsid w:val="2355492B"/>
    <w:rsid w:val="235C1A89"/>
    <w:rsid w:val="23671171"/>
    <w:rsid w:val="2369138D"/>
    <w:rsid w:val="236A568F"/>
    <w:rsid w:val="23812232"/>
    <w:rsid w:val="2387457D"/>
    <w:rsid w:val="23C46955"/>
    <w:rsid w:val="23CF3668"/>
    <w:rsid w:val="23D20CE0"/>
    <w:rsid w:val="23D507D0"/>
    <w:rsid w:val="23DC56BB"/>
    <w:rsid w:val="23E977E1"/>
    <w:rsid w:val="23F5677C"/>
    <w:rsid w:val="23F63C20"/>
    <w:rsid w:val="240115C5"/>
    <w:rsid w:val="24136C12"/>
    <w:rsid w:val="241C63FF"/>
    <w:rsid w:val="24226F43"/>
    <w:rsid w:val="24247062"/>
    <w:rsid w:val="24287E4C"/>
    <w:rsid w:val="2435126F"/>
    <w:rsid w:val="243A6885"/>
    <w:rsid w:val="24412DD6"/>
    <w:rsid w:val="24600176"/>
    <w:rsid w:val="2479115B"/>
    <w:rsid w:val="247B4ED4"/>
    <w:rsid w:val="24853FA4"/>
    <w:rsid w:val="248E5058"/>
    <w:rsid w:val="24A2174F"/>
    <w:rsid w:val="24AA1A26"/>
    <w:rsid w:val="24C513B8"/>
    <w:rsid w:val="24C745BD"/>
    <w:rsid w:val="24F80254"/>
    <w:rsid w:val="24F84776"/>
    <w:rsid w:val="25070E5D"/>
    <w:rsid w:val="250A6257"/>
    <w:rsid w:val="250E5D48"/>
    <w:rsid w:val="25165925"/>
    <w:rsid w:val="25294857"/>
    <w:rsid w:val="252F3F10"/>
    <w:rsid w:val="25382DC5"/>
    <w:rsid w:val="255614AE"/>
    <w:rsid w:val="255676EF"/>
    <w:rsid w:val="255A71DF"/>
    <w:rsid w:val="255D0A7D"/>
    <w:rsid w:val="25735262"/>
    <w:rsid w:val="257F4DF4"/>
    <w:rsid w:val="258F5E86"/>
    <w:rsid w:val="259B2F08"/>
    <w:rsid w:val="25AB2680"/>
    <w:rsid w:val="25AC3A6A"/>
    <w:rsid w:val="25D074A1"/>
    <w:rsid w:val="25D96C39"/>
    <w:rsid w:val="25ED0053"/>
    <w:rsid w:val="25FA451E"/>
    <w:rsid w:val="262C38E5"/>
    <w:rsid w:val="263F14EC"/>
    <w:rsid w:val="264D0AF2"/>
    <w:rsid w:val="265C5712"/>
    <w:rsid w:val="265D05FD"/>
    <w:rsid w:val="26622EB6"/>
    <w:rsid w:val="268A3AF4"/>
    <w:rsid w:val="26A10E3D"/>
    <w:rsid w:val="26A30712"/>
    <w:rsid w:val="26A51FB7"/>
    <w:rsid w:val="26A56238"/>
    <w:rsid w:val="26BA675A"/>
    <w:rsid w:val="26C55046"/>
    <w:rsid w:val="26C62A86"/>
    <w:rsid w:val="26ED5E31"/>
    <w:rsid w:val="26F47B11"/>
    <w:rsid w:val="26F61189"/>
    <w:rsid w:val="26F70A5D"/>
    <w:rsid w:val="2700129D"/>
    <w:rsid w:val="270C62B7"/>
    <w:rsid w:val="27135897"/>
    <w:rsid w:val="2714160F"/>
    <w:rsid w:val="27174C5C"/>
    <w:rsid w:val="271B6D61"/>
    <w:rsid w:val="2728280B"/>
    <w:rsid w:val="272E26D1"/>
    <w:rsid w:val="27363334"/>
    <w:rsid w:val="27467B25"/>
    <w:rsid w:val="27475541"/>
    <w:rsid w:val="276C144B"/>
    <w:rsid w:val="27716A62"/>
    <w:rsid w:val="277976C4"/>
    <w:rsid w:val="277F098D"/>
    <w:rsid w:val="278170DB"/>
    <w:rsid w:val="27930786"/>
    <w:rsid w:val="279D4D50"/>
    <w:rsid w:val="27AB3D22"/>
    <w:rsid w:val="27B965B1"/>
    <w:rsid w:val="27D05536"/>
    <w:rsid w:val="27E40FE2"/>
    <w:rsid w:val="28100029"/>
    <w:rsid w:val="28292E99"/>
    <w:rsid w:val="283005FE"/>
    <w:rsid w:val="28327F9F"/>
    <w:rsid w:val="28331A56"/>
    <w:rsid w:val="28434849"/>
    <w:rsid w:val="28456613"/>
    <w:rsid w:val="286D202F"/>
    <w:rsid w:val="28770DCF"/>
    <w:rsid w:val="28956780"/>
    <w:rsid w:val="28C52BC1"/>
    <w:rsid w:val="28C606E7"/>
    <w:rsid w:val="28CC69C1"/>
    <w:rsid w:val="28D369C8"/>
    <w:rsid w:val="29085DCB"/>
    <w:rsid w:val="290D6316"/>
    <w:rsid w:val="291807B8"/>
    <w:rsid w:val="29352E3A"/>
    <w:rsid w:val="293F15D2"/>
    <w:rsid w:val="294A756A"/>
    <w:rsid w:val="295B01BA"/>
    <w:rsid w:val="295B1778"/>
    <w:rsid w:val="296E7D76"/>
    <w:rsid w:val="297B4032"/>
    <w:rsid w:val="298F31CF"/>
    <w:rsid w:val="29B260BA"/>
    <w:rsid w:val="29C6285B"/>
    <w:rsid w:val="29D37560"/>
    <w:rsid w:val="29DD3F3B"/>
    <w:rsid w:val="29E609B2"/>
    <w:rsid w:val="29EF6C8F"/>
    <w:rsid w:val="29F25B5F"/>
    <w:rsid w:val="29F97E4E"/>
    <w:rsid w:val="2A04596B"/>
    <w:rsid w:val="2A261D85"/>
    <w:rsid w:val="2A2B739C"/>
    <w:rsid w:val="2A3505EE"/>
    <w:rsid w:val="2A383867"/>
    <w:rsid w:val="2A467D32"/>
    <w:rsid w:val="2A4949BA"/>
    <w:rsid w:val="2A53244F"/>
    <w:rsid w:val="2A5744DB"/>
    <w:rsid w:val="2A5B72A5"/>
    <w:rsid w:val="2A5F7045"/>
    <w:rsid w:val="2A6E2802"/>
    <w:rsid w:val="2A76764D"/>
    <w:rsid w:val="2AA42CAA"/>
    <w:rsid w:val="2ABD3BC6"/>
    <w:rsid w:val="2ACD2201"/>
    <w:rsid w:val="2ADC2444"/>
    <w:rsid w:val="2AE337D3"/>
    <w:rsid w:val="2AE33E50"/>
    <w:rsid w:val="2AF7727E"/>
    <w:rsid w:val="2B04158B"/>
    <w:rsid w:val="2B150495"/>
    <w:rsid w:val="2B177920"/>
    <w:rsid w:val="2B312C19"/>
    <w:rsid w:val="2B5A1960"/>
    <w:rsid w:val="2B637489"/>
    <w:rsid w:val="2B6C01DB"/>
    <w:rsid w:val="2B726905"/>
    <w:rsid w:val="2B8209DE"/>
    <w:rsid w:val="2B8925CC"/>
    <w:rsid w:val="2B8D272F"/>
    <w:rsid w:val="2BA72A52"/>
    <w:rsid w:val="2BC74EA2"/>
    <w:rsid w:val="2BD27F42"/>
    <w:rsid w:val="2BE94E19"/>
    <w:rsid w:val="2BE96E2D"/>
    <w:rsid w:val="2C01229D"/>
    <w:rsid w:val="2C1B0FD4"/>
    <w:rsid w:val="2C3A38C6"/>
    <w:rsid w:val="2C4C16FF"/>
    <w:rsid w:val="2C626979"/>
    <w:rsid w:val="2C6721E1"/>
    <w:rsid w:val="2C7D7C2C"/>
    <w:rsid w:val="2C8608B9"/>
    <w:rsid w:val="2C9850CD"/>
    <w:rsid w:val="2C9E20A7"/>
    <w:rsid w:val="2C9F63A9"/>
    <w:rsid w:val="2CBD400F"/>
    <w:rsid w:val="2CBE62A5"/>
    <w:rsid w:val="2CBF6561"/>
    <w:rsid w:val="2CC80A91"/>
    <w:rsid w:val="2CCE2260"/>
    <w:rsid w:val="2CDE06F5"/>
    <w:rsid w:val="2CE45CBD"/>
    <w:rsid w:val="2CE81574"/>
    <w:rsid w:val="2CEB31DE"/>
    <w:rsid w:val="2CF37F79"/>
    <w:rsid w:val="2CF879E3"/>
    <w:rsid w:val="2D216834"/>
    <w:rsid w:val="2D3C541C"/>
    <w:rsid w:val="2D3C7997"/>
    <w:rsid w:val="2D480265"/>
    <w:rsid w:val="2D617625"/>
    <w:rsid w:val="2D7D6B19"/>
    <w:rsid w:val="2D8017AD"/>
    <w:rsid w:val="2D9172A0"/>
    <w:rsid w:val="2DAA682A"/>
    <w:rsid w:val="2DAF2092"/>
    <w:rsid w:val="2DB5581A"/>
    <w:rsid w:val="2DB94CBF"/>
    <w:rsid w:val="2DC04136"/>
    <w:rsid w:val="2DC07527"/>
    <w:rsid w:val="2DD37B2E"/>
    <w:rsid w:val="2DE34362"/>
    <w:rsid w:val="2DE51610"/>
    <w:rsid w:val="2DEF20D7"/>
    <w:rsid w:val="2E2A1718"/>
    <w:rsid w:val="2E3422F8"/>
    <w:rsid w:val="2E382ECE"/>
    <w:rsid w:val="2E5A120D"/>
    <w:rsid w:val="2E5E7CC5"/>
    <w:rsid w:val="2E6609A2"/>
    <w:rsid w:val="2E89343E"/>
    <w:rsid w:val="2E9A4AF0"/>
    <w:rsid w:val="2EA109CD"/>
    <w:rsid w:val="2EA75C11"/>
    <w:rsid w:val="2EAE017D"/>
    <w:rsid w:val="2EB01C1E"/>
    <w:rsid w:val="2EB13C87"/>
    <w:rsid w:val="2EC67693"/>
    <w:rsid w:val="2ECE6063"/>
    <w:rsid w:val="2ED753FC"/>
    <w:rsid w:val="2EE70552"/>
    <w:rsid w:val="2EE8585B"/>
    <w:rsid w:val="2EF064BE"/>
    <w:rsid w:val="2EF20488"/>
    <w:rsid w:val="2F0119DF"/>
    <w:rsid w:val="2F2717B8"/>
    <w:rsid w:val="2F3A39D1"/>
    <w:rsid w:val="2F3A3BDD"/>
    <w:rsid w:val="2F452CAE"/>
    <w:rsid w:val="2F5051AF"/>
    <w:rsid w:val="2F5922B5"/>
    <w:rsid w:val="2F6F3887"/>
    <w:rsid w:val="2F736DF1"/>
    <w:rsid w:val="2F8224C5"/>
    <w:rsid w:val="2F945E80"/>
    <w:rsid w:val="2FA06136"/>
    <w:rsid w:val="2FA32702"/>
    <w:rsid w:val="2FC8743B"/>
    <w:rsid w:val="2FCA31B3"/>
    <w:rsid w:val="2FD44032"/>
    <w:rsid w:val="30134B5A"/>
    <w:rsid w:val="302567CF"/>
    <w:rsid w:val="302723B3"/>
    <w:rsid w:val="303C40BD"/>
    <w:rsid w:val="3045283A"/>
    <w:rsid w:val="30494ED5"/>
    <w:rsid w:val="304E5B92"/>
    <w:rsid w:val="30590093"/>
    <w:rsid w:val="305F7D9F"/>
    <w:rsid w:val="307B625B"/>
    <w:rsid w:val="307D6477"/>
    <w:rsid w:val="30951E25"/>
    <w:rsid w:val="309D08C8"/>
    <w:rsid w:val="30A13F14"/>
    <w:rsid w:val="30AD28D7"/>
    <w:rsid w:val="30B30980"/>
    <w:rsid w:val="30C850DA"/>
    <w:rsid w:val="30E6401D"/>
    <w:rsid w:val="310C55BA"/>
    <w:rsid w:val="31224929"/>
    <w:rsid w:val="31376626"/>
    <w:rsid w:val="315224D4"/>
    <w:rsid w:val="31717D8A"/>
    <w:rsid w:val="3176279D"/>
    <w:rsid w:val="31797CF2"/>
    <w:rsid w:val="319770C5"/>
    <w:rsid w:val="31A11CF2"/>
    <w:rsid w:val="31AF08B2"/>
    <w:rsid w:val="31B00187"/>
    <w:rsid w:val="31B55BDA"/>
    <w:rsid w:val="31C37EBA"/>
    <w:rsid w:val="31D2099C"/>
    <w:rsid w:val="31D245A1"/>
    <w:rsid w:val="31D9148B"/>
    <w:rsid w:val="31E47BCC"/>
    <w:rsid w:val="320D6B1C"/>
    <w:rsid w:val="321109A1"/>
    <w:rsid w:val="32117189"/>
    <w:rsid w:val="321270E3"/>
    <w:rsid w:val="321E1594"/>
    <w:rsid w:val="322841C1"/>
    <w:rsid w:val="323668DE"/>
    <w:rsid w:val="323808A8"/>
    <w:rsid w:val="323B0093"/>
    <w:rsid w:val="323C7F64"/>
    <w:rsid w:val="323E39E4"/>
    <w:rsid w:val="32403E9F"/>
    <w:rsid w:val="32466E61"/>
    <w:rsid w:val="324A2760"/>
    <w:rsid w:val="32503556"/>
    <w:rsid w:val="325146CB"/>
    <w:rsid w:val="325A081E"/>
    <w:rsid w:val="326649B8"/>
    <w:rsid w:val="3278743C"/>
    <w:rsid w:val="32827D75"/>
    <w:rsid w:val="328E0C7D"/>
    <w:rsid w:val="32911D66"/>
    <w:rsid w:val="329C4F37"/>
    <w:rsid w:val="32AB02BD"/>
    <w:rsid w:val="32C83D55"/>
    <w:rsid w:val="32DA184C"/>
    <w:rsid w:val="32E26A66"/>
    <w:rsid w:val="32E620B2"/>
    <w:rsid w:val="32F26CA9"/>
    <w:rsid w:val="32F95CB7"/>
    <w:rsid w:val="33010C9A"/>
    <w:rsid w:val="33244988"/>
    <w:rsid w:val="334E5EA9"/>
    <w:rsid w:val="3357131F"/>
    <w:rsid w:val="337E18D4"/>
    <w:rsid w:val="33907F7A"/>
    <w:rsid w:val="33997124"/>
    <w:rsid w:val="33A65CE5"/>
    <w:rsid w:val="33AD7074"/>
    <w:rsid w:val="33B64277"/>
    <w:rsid w:val="33C76378"/>
    <w:rsid w:val="33D17B22"/>
    <w:rsid w:val="33D26ADA"/>
    <w:rsid w:val="33D62126"/>
    <w:rsid w:val="33DE722D"/>
    <w:rsid w:val="33E41C73"/>
    <w:rsid w:val="340C3D9A"/>
    <w:rsid w:val="34190265"/>
    <w:rsid w:val="342A6B27"/>
    <w:rsid w:val="342C2837"/>
    <w:rsid w:val="34360E17"/>
    <w:rsid w:val="344D7F0F"/>
    <w:rsid w:val="345A69A2"/>
    <w:rsid w:val="34666D8C"/>
    <w:rsid w:val="3469049A"/>
    <w:rsid w:val="346E6B7F"/>
    <w:rsid w:val="34766B9C"/>
    <w:rsid w:val="349F41F7"/>
    <w:rsid w:val="34CA09B8"/>
    <w:rsid w:val="34F267D6"/>
    <w:rsid w:val="350022EF"/>
    <w:rsid w:val="35020CF9"/>
    <w:rsid w:val="35074561"/>
    <w:rsid w:val="35132F06"/>
    <w:rsid w:val="3522139B"/>
    <w:rsid w:val="352B0250"/>
    <w:rsid w:val="352E1AEE"/>
    <w:rsid w:val="35325A82"/>
    <w:rsid w:val="35411821"/>
    <w:rsid w:val="3558300F"/>
    <w:rsid w:val="3566572C"/>
    <w:rsid w:val="3583585A"/>
    <w:rsid w:val="35904557"/>
    <w:rsid w:val="35935DF5"/>
    <w:rsid w:val="35987004"/>
    <w:rsid w:val="359C73A0"/>
    <w:rsid w:val="35B75970"/>
    <w:rsid w:val="35BE4205"/>
    <w:rsid w:val="35C8513F"/>
    <w:rsid w:val="35D040D0"/>
    <w:rsid w:val="35D11499"/>
    <w:rsid w:val="35E03756"/>
    <w:rsid w:val="35E26CF6"/>
    <w:rsid w:val="35ED6DF6"/>
    <w:rsid w:val="35EE555B"/>
    <w:rsid w:val="35FF4E37"/>
    <w:rsid w:val="3607320C"/>
    <w:rsid w:val="360E0992"/>
    <w:rsid w:val="361707D4"/>
    <w:rsid w:val="361E1B63"/>
    <w:rsid w:val="361F5630"/>
    <w:rsid w:val="36271315"/>
    <w:rsid w:val="36296D8F"/>
    <w:rsid w:val="36321EE2"/>
    <w:rsid w:val="36394BEF"/>
    <w:rsid w:val="36454EF4"/>
    <w:rsid w:val="36480ED6"/>
    <w:rsid w:val="3667784E"/>
    <w:rsid w:val="366E687E"/>
    <w:rsid w:val="368049F0"/>
    <w:rsid w:val="36897924"/>
    <w:rsid w:val="368D0631"/>
    <w:rsid w:val="369B1405"/>
    <w:rsid w:val="36C46BAE"/>
    <w:rsid w:val="36C56482"/>
    <w:rsid w:val="36D52B40"/>
    <w:rsid w:val="36D55D6B"/>
    <w:rsid w:val="36F9612C"/>
    <w:rsid w:val="3701395E"/>
    <w:rsid w:val="372C02AF"/>
    <w:rsid w:val="37427DCD"/>
    <w:rsid w:val="374D6BA3"/>
    <w:rsid w:val="376161AB"/>
    <w:rsid w:val="376E062B"/>
    <w:rsid w:val="37854AB8"/>
    <w:rsid w:val="378676FF"/>
    <w:rsid w:val="3793032E"/>
    <w:rsid w:val="37AB17B4"/>
    <w:rsid w:val="37C14E9C"/>
    <w:rsid w:val="38003C16"/>
    <w:rsid w:val="38037262"/>
    <w:rsid w:val="38211DDE"/>
    <w:rsid w:val="385B0E4C"/>
    <w:rsid w:val="386717C0"/>
    <w:rsid w:val="38723425"/>
    <w:rsid w:val="38954372"/>
    <w:rsid w:val="38974AF0"/>
    <w:rsid w:val="389D005F"/>
    <w:rsid w:val="38C34C43"/>
    <w:rsid w:val="38C95885"/>
    <w:rsid w:val="38E1410D"/>
    <w:rsid w:val="390019F4"/>
    <w:rsid w:val="391F631E"/>
    <w:rsid w:val="39202096"/>
    <w:rsid w:val="39422DEA"/>
    <w:rsid w:val="395D29A2"/>
    <w:rsid w:val="39CE1AF2"/>
    <w:rsid w:val="39E676B1"/>
    <w:rsid w:val="39E859F0"/>
    <w:rsid w:val="39F257E0"/>
    <w:rsid w:val="39F96B6F"/>
    <w:rsid w:val="3A030AC5"/>
    <w:rsid w:val="3A031347"/>
    <w:rsid w:val="3A06128C"/>
    <w:rsid w:val="3A476A7B"/>
    <w:rsid w:val="3A542215"/>
    <w:rsid w:val="3A572548"/>
    <w:rsid w:val="3A5C5DF9"/>
    <w:rsid w:val="3AA82343"/>
    <w:rsid w:val="3AD924FC"/>
    <w:rsid w:val="3ADF1DF8"/>
    <w:rsid w:val="3AE315CD"/>
    <w:rsid w:val="3AEF1D20"/>
    <w:rsid w:val="3B0C5F1A"/>
    <w:rsid w:val="3B21511D"/>
    <w:rsid w:val="3B29323F"/>
    <w:rsid w:val="3B2C6AD0"/>
    <w:rsid w:val="3B443E1A"/>
    <w:rsid w:val="3B8033E1"/>
    <w:rsid w:val="3B903503"/>
    <w:rsid w:val="3BA269FD"/>
    <w:rsid w:val="3BAB20EB"/>
    <w:rsid w:val="3BAE6E41"/>
    <w:rsid w:val="3BB379B1"/>
    <w:rsid w:val="3BBD3BCC"/>
    <w:rsid w:val="3BD11425"/>
    <w:rsid w:val="3BD6013A"/>
    <w:rsid w:val="3BED44B1"/>
    <w:rsid w:val="3BF13876"/>
    <w:rsid w:val="3BFF2436"/>
    <w:rsid w:val="3C08753D"/>
    <w:rsid w:val="3C2C6246"/>
    <w:rsid w:val="3C6A3D54"/>
    <w:rsid w:val="3C9E1C4F"/>
    <w:rsid w:val="3CCF40AD"/>
    <w:rsid w:val="3CE05AB2"/>
    <w:rsid w:val="3CF43CC6"/>
    <w:rsid w:val="3D1B504E"/>
    <w:rsid w:val="3D22018A"/>
    <w:rsid w:val="3D295E51"/>
    <w:rsid w:val="3D3B124C"/>
    <w:rsid w:val="3D3B2FFA"/>
    <w:rsid w:val="3D485717"/>
    <w:rsid w:val="3D657A24"/>
    <w:rsid w:val="3D6B7484"/>
    <w:rsid w:val="3D791D75"/>
    <w:rsid w:val="3D7D76FE"/>
    <w:rsid w:val="3D967432"/>
    <w:rsid w:val="3DA17C5A"/>
    <w:rsid w:val="3DA94408"/>
    <w:rsid w:val="3DD82F3F"/>
    <w:rsid w:val="3DE6565C"/>
    <w:rsid w:val="3DE6740A"/>
    <w:rsid w:val="3DE93FE1"/>
    <w:rsid w:val="3DEB0EC4"/>
    <w:rsid w:val="3DEF2039"/>
    <w:rsid w:val="3E0D4ACF"/>
    <w:rsid w:val="3E38014F"/>
    <w:rsid w:val="3E483C21"/>
    <w:rsid w:val="3E5C147A"/>
    <w:rsid w:val="3E66477A"/>
    <w:rsid w:val="3E6B5B61"/>
    <w:rsid w:val="3E770626"/>
    <w:rsid w:val="3E7F160D"/>
    <w:rsid w:val="3EAA6689"/>
    <w:rsid w:val="3ECB63FB"/>
    <w:rsid w:val="3EE94778"/>
    <w:rsid w:val="3EEA77FA"/>
    <w:rsid w:val="3F0E2A92"/>
    <w:rsid w:val="3F0F2990"/>
    <w:rsid w:val="3F253F62"/>
    <w:rsid w:val="3F2921E6"/>
    <w:rsid w:val="3F5356B7"/>
    <w:rsid w:val="3F5F6009"/>
    <w:rsid w:val="3F7857D1"/>
    <w:rsid w:val="3F7D5A4F"/>
    <w:rsid w:val="3F9857F1"/>
    <w:rsid w:val="3F9A21C7"/>
    <w:rsid w:val="3FB13A48"/>
    <w:rsid w:val="3FBB2077"/>
    <w:rsid w:val="3FBF43B6"/>
    <w:rsid w:val="3FCA68B7"/>
    <w:rsid w:val="3FD37E62"/>
    <w:rsid w:val="3FDA4D4C"/>
    <w:rsid w:val="402D0145"/>
    <w:rsid w:val="403C77B5"/>
    <w:rsid w:val="40525952"/>
    <w:rsid w:val="407D1B7C"/>
    <w:rsid w:val="40884444"/>
    <w:rsid w:val="40A3112D"/>
    <w:rsid w:val="40A35A86"/>
    <w:rsid w:val="40A73B61"/>
    <w:rsid w:val="40BF3F42"/>
    <w:rsid w:val="40D03769"/>
    <w:rsid w:val="40D53EF1"/>
    <w:rsid w:val="40FB141E"/>
    <w:rsid w:val="411B561D"/>
    <w:rsid w:val="411E0665"/>
    <w:rsid w:val="412E12E8"/>
    <w:rsid w:val="4153338C"/>
    <w:rsid w:val="41581D4D"/>
    <w:rsid w:val="41656898"/>
    <w:rsid w:val="418807D8"/>
    <w:rsid w:val="418D4040"/>
    <w:rsid w:val="419B050B"/>
    <w:rsid w:val="41A64EFE"/>
    <w:rsid w:val="41AB2E53"/>
    <w:rsid w:val="41D028AB"/>
    <w:rsid w:val="41E85D9F"/>
    <w:rsid w:val="41F95D14"/>
    <w:rsid w:val="42072045"/>
    <w:rsid w:val="42295B17"/>
    <w:rsid w:val="42336996"/>
    <w:rsid w:val="42447849"/>
    <w:rsid w:val="425F1D5E"/>
    <w:rsid w:val="426173EE"/>
    <w:rsid w:val="426217EC"/>
    <w:rsid w:val="42645957"/>
    <w:rsid w:val="429D6505"/>
    <w:rsid w:val="42CC4BAF"/>
    <w:rsid w:val="42CE4911"/>
    <w:rsid w:val="42D30DE3"/>
    <w:rsid w:val="42DC527F"/>
    <w:rsid w:val="42E171C0"/>
    <w:rsid w:val="42E2739A"/>
    <w:rsid w:val="42ED4D97"/>
    <w:rsid w:val="42F97BDF"/>
    <w:rsid w:val="432A5FEB"/>
    <w:rsid w:val="43452E25"/>
    <w:rsid w:val="43613324"/>
    <w:rsid w:val="4364553F"/>
    <w:rsid w:val="4374370A"/>
    <w:rsid w:val="438307EA"/>
    <w:rsid w:val="438464EE"/>
    <w:rsid w:val="43853221"/>
    <w:rsid w:val="43946695"/>
    <w:rsid w:val="43AD0D2E"/>
    <w:rsid w:val="43BC116F"/>
    <w:rsid w:val="43C81360"/>
    <w:rsid w:val="43F07682"/>
    <w:rsid w:val="4416031D"/>
    <w:rsid w:val="44167F08"/>
    <w:rsid w:val="44175E76"/>
    <w:rsid w:val="44226CC2"/>
    <w:rsid w:val="44231A85"/>
    <w:rsid w:val="442A3DC9"/>
    <w:rsid w:val="443973A6"/>
    <w:rsid w:val="445E6A7B"/>
    <w:rsid w:val="44703ED1"/>
    <w:rsid w:val="447A4D50"/>
    <w:rsid w:val="448230D6"/>
    <w:rsid w:val="449C4CC6"/>
    <w:rsid w:val="449F6565"/>
    <w:rsid w:val="44C304A5"/>
    <w:rsid w:val="44C85ABB"/>
    <w:rsid w:val="44CD1324"/>
    <w:rsid w:val="44DD0D17"/>
    <w:rsid w:val="45187B20"/>
    <w:rsid w:val="451C5E07"/>
    <w:rsid w:val="45237196"/>
    <w:rsid w:val="45275A63"/>
    <w:rsid w:val="4538249B"/>
    <w:rsid w:val="453942C3"/>
    <w:rsid w:val="453C0257"/>
    <w:rsid w:val="453E3FCF"/>
    <w:rsid w:val="45513D03"/>
    <w:rsid w:val="4565673D"/>
    <w:rsid w:val="45714467"/>
    <w:rsid w:val="4574077E"/>
    <w:rsid w:val="45765517"/>
    <w:rsid w:val="45795008"/>
    <w:rsid w:val="459C78D2"/>
    <w:rsid w:val="459E4A6E"/>
    <w:rsid w:val="45AA241A"/>
    <w:rsid w:val="45B349A0"/>
    <w:rsid w:val="45BE0C6C"/>
    <w:rsid w:val="45C30031"/>
    <w:rsid w:val="46192347"/>
    <w:rsid w:val="464F6181"/>
    <w:rsid w:val="465771CD"/>
    <w:rsid w:val="46671304"/>
    <w:rsid w:val="467342B8"/>
    <w:rsid w:val="46963997"/>
    <w:rsid w:val="46B02CAB"/>
    <w:rsid w:val="46D36999"/>
    <w:rsid w:val="46DD3374"/>
    <w:rsid w:val="46E75FA1"/>
    <w:rsid w:val="46F652B0"/>
    <w:rsid w:val="47095F17"/>
    <w:rsid w:val="470D1EAB"/>
    <w:rsid w:val="473B735A"/>
    <w:rsid w:val="47484C91"/>
    <w:rsid w:val="4749496A"/>
    <w:rsid w:val="474D04FA"/>
    <w:rsid w:val="475950F1"/>
    <w:rsid w:val="47633879"/>
    <w:rsid w:val="4766336A"/>
    <w:rsid w:val="47677A6F"/>
    <w:rsid w:val="47737D22"/>
    <w:rsid w:val="47765D84"/>
    <w:rsid w:val="47942E2B"/>
    <w:rsid w:val="47967CC3"/>
    <w:rsid w:val="47A460BA"/>
    <w:rsid w:val="47AF4671"/>
    <w:rsid w:val="47BA5463"/>
    <w:rsid w:val="47BD582A"/>
    <w:rsid w:val="47C50090"/>
    <w:rsid w:val="47CB7671"/>
    <w:rsid w:val="47CD6F16"/>
    <w:rsid w:val="47D41743"/>
    <w:rsid w:val="47D77568"/>
    <w:rsid w:val="47E25E36"/>
    <w:rsid w:val="48172BDB"/>
    <w:rsid w:val="48223734"/>
    <w:rsid w:val="483B2A48"/>
    <w:rsid w:val="485960BF"/>
    <w:rsid w:val="486C71BD"/>
    <w:rsid w:val="4873378B"/>
    <w:rsid w:val="488A12DA"/>
    <w:rsid w:val="488E2B78"/>
    <w:rsid w:val="489A151D"/>
    <w:rsid w:val="48B40105"/>
    <w:rsid w:val="48B87BF5"/>
    <w:rsid w:val="48D72771"/>
    <w:rsid w:val="48E56510"/>
    <w:rsid w:val="48FD385A"/>
    <w:rsid w:val="493A4AAE"/>
    <w:rsid w:val="495C057F"/>
    <w:rsid w:val="497004D0"/>
    <w:rsid w:val="497E0E3E"/>
    <w:rsid w:val="49836455"/>
    <w:rsid w:val="498668DA"/>
    <w:rsid w:val="49A10689"/>
    <w:rsid w:val="49A85EBB"/>
    <w:rsid w:val="49AB1508"/>
    <w:rsid w:val="49C86FEA"/>
    <w:rsid w:val="49E05655"/>
    <w:rsid w:val="49EA0597"/>
    <w:rsid w:val="49F41101"/>
    <w:rsid w:val="4A0961E3"/>
    <w:rsid w:val="4A103FFC"/>
    <w:rsid w:val="4A183041"/>
    <w:rsid w:val="4A205A52"/>
    <w:rsid w:val="4A36754D"/>
    <w:rsid w:val="4A4819F8"/>
    <w:rsid w:val="4A5B4CDC"/>
    <w:rsid w:val="4A5E3F5D"/>
    <w:rsid w:val="4A6A1427"/>
    <w:rsid w:val="4A730277"/>
    <w:rsid w:val="4A8C758B"/>
    <w:rsid w:val="4A965D14"/>
    <w:rsid w:val="4ACE280A"/>
    <w:rsid w:val="4AE42F23"/>
    <w:rsid w:val="4AE83C54"/>
    <w:rsid w:val="4AEB5E99"/>
    <w:rsid w:val="4AF0226F"/>
    <w:rsid w:val="4AF97A1B"/>
    <w:rsid w:val="4B06733D"/>
    <w:rsid w:val="4B0B6702"/>
    <w:rsid w:val="4B0C5FD6"/>
    <w:rsid w:val="4B1E0FA9"/>
    <w:rsid w:val="4B206D94"/>
    <w:rsid w:val="4B215F25"/>
    <w:rsid w:val="4B2C3CC2"/>
    <w:rsid w:val="4B321EE0"/>
    <w:rsid w:val="4B3841EE"/>
    <w:rsid w:val="4B49722A"/>
    <w:rsid w:val="4B4C6376"/>
    <w:rsid w:val="4B6127C6"/>
    <w:rsid w:val="4B6776C2"/>
    <w:rsid w:val="4B751DCD"/>
    <w:rsid w:val="4B75350F"/>
    <w:rsid w:val="4B7F49FA"/>
    <w:rsid w:val="4B814C16"/>
    <w:rsid w:val="4B893ACB"/>
    <w:rsid w:val="4B9F32EE"/>
    <w:rsid w:val="4BAB3530"/>
    <w:rsid w:val="4BB548C0"/>
    <w:rsid w:val="4BC36D42"/>
    <w:rsid w:val="4BE40D01"/>
    <w:rsid w:val="4BEB6533"/>
    <w:rsid w:val="4BEC408D"/>
    <w:rsid w:val="4BF076A6"/>
    <w:rsid w:val="4C0A1121"/>
    <w:rsid w:val="4C0C15B0"/>
    <w:rsid w:val="4C161AF1"/>
    <w:rsid w:val="4C222B32"/>
    <w:rsid w:val="4C285091"/>
    <w:rsid w:val="4C416153"/>
    <w:rsid w:val="4C417B78"/>
    <w:rsid w:val="4C5365B2"/>
    <w:rsid w:val="4C8F07C2"/>
    <w:rsid w:val="4C924E2D"/>
    <w:rsid w:val="4C9D5A7F"/>
    <w:rsid w:val="4CD910BC"/>
    <w:rsid w:val="4CDB6938"/>
    <w:rsid w:val="4CE74F4D"/>
    <w:rsid w:val="4D111FCA"/>
    <w:rsid w:val="4D1B2F53"/>
    <w:rsid w:val="4D221BC2"/>
    <w:rsid w:val="4D4B54DB"/>
    <w:rsid w:val="4D565C2E"/>
    <w:rsid w:val="4D61085B"/>
    <w:rsid w:val="4D667004"/>
    <w:rsid w:val="4D6B0035"/>
    <w:rsid w:val="4D6D43F9"/>
    <w:rsid w:val="4D866514"/>
    <w:rsid w:val="4D930C30"/>
    <w:rsid w:val="4D9C7AE5"/>
    <w:rsid w:val="4D9E6DD4"/>
    <w:rsid w:val="4DB210B7"/>
    <w:rsid w:val="4DC1754C"/>
    <w:rsid w:val="4DD54DA5"/>
    <w:rsid w:val="4DE33966"/>
    <w:rsid w:val="4DE44C41"/>
    <w:rsid w:val="4DE76FC7"/>
    <w:rsid w:val="4DEB6377"/>
    <w:rsid w:val="4DF06083"/>
    <w:rsid w:val="4DFA2A5E"/>
    <w:rsid w:val="4DFA66E6"/>
    <w:rsid w:val="4E065CB6"/>
    <w:rsid w:val="4E0E4BB5"/>
    <w:rsid w:val="4E200716"/>
    <w:rsid w:val="4E30022D"/>
    <w:rsid w:val="4E482208"/>
    <w:rsid w:val="4E4F2DA9"/>
    <w:rsid w:val="4E5401B4"/>
    <w:rsid w:val="4E5B57DC"/>
    <w:rsid w:val="4E6D5DEE"/>
    <w:rsid w:val="4E740A62"/>
    <w:rsid w:val="4E766588"/>
    <w:rsid w:val="4EA6788D"/>
    <w:rsid w:val="4EB470B0"/>
    <w:rsid w:val="4EC76DE4"/>
    <w:rsid w:val="4EFE6975"/>
    <w:rsid w:val="4F1815E2"/>
    <w:rsid w:val="4F183BE6"/>
    <w:rsid w:val="4F336227"/>
    <w:rsid w:val="4F473A81"/>
    <w:rsid w:val="4F4F73A1"/>
    <w:rsid w:val="4F8E7901"/>
    <w:rsid w:val="4F9B059D"/>
    <w:rsid w:val="4FA926FE"/>
    <w:rsid w:val="4FC55C25"/>
    <w:rsid w:val="4FCE41A2"/>
    <w:rsid w:val="4FD866CB"/>
    <w:rsid w:val="4FDC68BF"/>
    <w:rsid w:val="4FE94B38"/>
    <w:rsid w:val="4FEA5EB5"/>
    <w:rsid w:val="4FEB04D3"/>
    <w:rsid w:val="4FF9121F"/>
    <w:rsid w:val="501740DB"/>
    <w:rsid w:val="505B3C87"/>
    <w:rsid w:val="505D7058"/>
    <w:rsid w:val="507A1C34"/>
    <w:rsid w:val="509C7DFC"/>
    <w:rsid w:val="50B43398"/>
    <w:rsid w:val="50C00528"/>
    <w:rsid w:val="50C11611"/>
    <w:rsid w:val="50C25AB5"/>
    <w:rsid w:val="50C35389"/>
    <w:rsid w:val="50D137D5"/>
    <w:rsid w:val="50DA1F20"/>
    <w:rsid w:val="50E0747E"/>
    <w:rsid w:val="50EA7AC7"/>
    <w:rsid w:val="50F84F5E"/>
    <w:rsid w:val="51112598"/>
    <w:rsid w:val="51206ED5"/>
    <w:rsid w:val="51422684"/>
    <w:rsid w:val="514C35D0"/>
    <w:rsid w:val="51667392"/>
    <w:rsid w:val="51825244"/>
    <w:rsid w:val="51897AC8"/>
    <w:rsid w:val="51A822A4"/>
    <w:rsid w:val="51B01DB1"/>
    <w:rsid w:val="51BC4CC0"/>
    <w:rsid w:val="51DA6E2E"/>
    <w:rsid w:val="51FC0A11"/>
    <w:rsid w:val="521C7446"/>
    <w:rsid w:val="523A6854"/>
    <w:rsid w:val="52417FCB"/>
    <w:rsid w:val="526606C2"/>
    <w:rsid w:val="528172AA"/>
    <w:rsid w:val="5284763F"/>
    <w:rsid w:val="529A4BAD"/>
    <w:rsid w:val="529C1904"/>
    <w:rsid w:val="529F12A2"/>
    <w:rsid w:val="52B753C1"/>
    <w:rsid w:val="530138E1"/>
    <w:rsid w:val="530F0D59"/>
    <w:rsid w:val="530F6FAB"/>
    <w:rsid w:val="531613D5"/>
    <w:rsid w:val="5324020D"/>
    <w:rsid w:val="532A5B93"/>
    <w:rsid w:val="533267F6"/>
    <w:rsid w:val="535E4700"/>
    <w:rsid w:val="536B2FE6"/>
    <w:rsid w:val="536E3CD2"/>
    <w:rsid w:val="5373753A"/>
    <w:rsid w:val="537D5CC3"/>
    <w:rsid w:val="53A179EC"/>
    <w:rsid w:val="53BB4A3D"/>
    <w:rsid w:val="53E24C4B"/>
    <w:rsid w:val="53F37C05"/>
    <w:rsid w:val="540B7EB5"/>
    <w:rsid w:val="540E1011"/>
    <w:rsid w:val="540F6177"/>
    <w:rsid w:val="54297BF9"/>
    <w:rsid w:val="5436445F"/>
    <w:rsid w:val="543C12FF"/>
    <w:rsid w:val="543F7869"/>
    <w:rsid w:val="544B5DC1"/>
    <w:rsid w:val="545033D7"/>
    <w:rsid w:val="54A92FF0"/>
    <w:rsid w:val="54D20290"/>
    <w:rsid w:val="54D27ABC"/>
    <w:rsid w:val="54D67D81"/>
    <w:rsid w:val="54E2482B"/>
    <w:rsid w:val="54E56216"/>
    <w:rsid w:val="54F47B28"/>
    <w:rsid w:val="550F6DEF"/>
    <w:rsid w:val="553B73E2"/>
    <w:rsid w:val="554051FA"/>
    <w:rsid w:val="55473338"/>
    <w:rsid w:val="55833339"/>
    <w:rsid w:val="559429E6"/>
    <w:rsid w:val="55FC07CB"/>
    <w:rsid w:val="560721BC"/>
    <w:rsid w:val="561F12B3"/>
    <w:rsid w:val="562B7C58"/>
    <w:rsid w:val="563D798B"/>
    <w:rsid w:val="56561738"/>
    <w:rsid w:val="56602B8B"/>
    <w:rsid w:val="56617B1E"/>
    <w:rsid w:val="56763E09"/>
    <w:rsid w:val="568071EB"/>
    <w:rsid w:val="568E3A93"/>
    <w:rsid w:val="568E457A"/>
    <w:rsid w:val="56B52D87"/>
    <w:rsid w:val="56BB0011"/>
    <w:rsid w:val="56C1680E"/>
    <w:rsid w:val="56CC00BF"/>
    <w:rsid w:val="56EF6ED8"/>
    <w:rsid w:val="570979E2"/>
    <w:rsid w:val="571C3A45"/>
    <w:rsid w:val="571C57F3"/>
    <w:rsid w:val="571D1826"/>
    <w:rsid w:val="5723395A"/>
    <w:rsid w:val="57362D58"/>
    <w:rsid w:val="573C5E95"/>
    <w:rsid w:val="5743331B"/>
    <w:rsid w:val="57541431"/>
    <w:rsid w:val="575431DF"/>
    <w:rsid w:val="576462DE"/>
    <w:rsid w:val="57737EC4"/>
    <w:rsid w:val="577C1537"/>
    <w:rsid w:val="577F3629"/>
    <w:rsid w:val="578516B6"/>
    <w:rsid w:val="5785783C"/>
    <w:rsid w:val="57947A7F"/>
    <w:rsid w:val="57A86BE1"/>
    <w:rsid w:val="57C23D14"/>
    <w:rsid w:val="57CB5B25"/>
    <w:rsid w:val="57E44562"/>
    <w:rsid w:val="57EB4490"/>
    <w:rsid w:val="57EC1669"/>
    <w:rsid w:val="57EF4101"/>
    <w:rsid w:val="57F1750A"/>
    <w:rsid w:val="580449F9"/>
    <w:rsid w:val="582C5F09"/>
    <w:rsid w:val="582F20A8"/>
    <w:rsid w:val="58311772"/>
    <w:rsid w:val="58337298"/>
    <w:rsid w:val="584F47F1"/>
    <w:rsid w:val="58873140"/>
    <w:rsid w:val="58935F89"/>
    <w:rsid w:val="58A63441"/>
    <w:rsid w:val="58BF28DA"/>
    <w:rsid w:val="58D00AF4"/>
    <w:rsid w:val="58DE1D8C"/>
    <w:rsid w:val="58E529E1"/>
    <w:rsid w:val="58F06F37"/>
    <w:rsid w:val="58F44C79"/>
    <w:rsid w:val="5919648E"/>
    <w:rsid w:val="591A5DA5"/>
    <w:rsid w:val="59337D32"/>
    <w:rsid w:val="597E42AD"/>
    <w:rsid w:val="598973FA"/>
    <w:rsid w:val="598A550B"/>
    <w:rsid w:val="599C09DC"/>
    <w:rsid w:val="599D70BF"/>
    <w:rsid w:val="59A672D9"/>
    <w:rsid w:val="59BA6FCD"/>
    <w:rsid w:val="59CC3500"/>
    <w:rsid w:val="59D14FBA"/>
    <w:rsid w:val="59EE3017"/>
    <w:rsid w:val="59F1323B"/>
    <w:rsid w:val="5A0D0436"/>
    <w:rsid w:val="5A117154"/>
    <w:rsid w:val="5A2C0443"/>
    <w:rsid w:val="5A5B2AD6"/>
    <w:rsid w:val="5A7B0A82"/>
    <w:rsid w:val="5A86410C"/>
    <w:rsid w:val="5A9B2ED2"/>
    <w:rsid w:val="5AAE0E58"/>
    <w:rsid w:val="5AC32B55"/>
    <w:rsid w:val="5ADF3707"/>
    <w:rsid w:val="5AF56A87"/>
    <w:rsid w:val="5AFE1DDF"/>
    <w:rsid w:val="5B0B3866"/>
    <w:rsid w:val="5B1433B1"/>
    <w:rsid w:val="5B1E5FDD"/>
    <w:rsid w:val="5B264B73"/>
    <w:rsid w:val="5B264E92"/>
    <w:rsid w:val="5B2A2BD4"/>
    <w:rsid w:val="5B5F1393"/>
    <w:rsid w:val="5B5F2152"/>
    <w:rsid w:val="5B6B6D49"/>
    <w:rsid w:val="5B8D6C73"/>
    <w:rsid w:val="5B9535F4"/>
    <w:rsid w:val="5B991B08"/>
    <w:rsid w:val="5B9938B6"/>
    <w:rsid w:val="5BAF6C35"/>
    <w:rsid w:val="5BBA337A"/>
    <w:rsid w:val="5BC528FD"/>
    <w:rsid w:val="5BC8419B"/>
    <w:rsid w:val="5BD26DC8"/>
    <w:rsid w:val="5BDE576D"/>
    <w:rsid w:val="5C0B4CB9"/>
    <w:rsid w:val="5C0D0AE7"/>
    <w:rsid w:val="5C2018E1"/>
    <w:rsid w:val="5C2C0286"/>
    <w:rsid w:val="5C2C297C"/>
    <w:rsid w:val="5C2E2250"/>
    <w:rsid w:val="5C753B41"/>
    <w:rsid w:val="5C7D31D8"/>
    <w:rsid w:val="5C870D7B"/>
    <w:rsid w:val="5CC76A05"/>
    <w:rsid w:val="5CE05C01"/>
    <w:rsid w:val="5D1C654D"/>
    <w:rsid w:val="5D2015DA"/>
    <w:rsid w:val="5D213B63"/>
    <w:rsid w:val="5D226CFA"/>
    <w:rsid w:val="5D2C2695"/>
    <w:rsid w:val="5D2D69AC"/>
    <w:rsid w:val="5D2F5FB9"/>
    <w:rsid w:val="5D732BA0"/>
    <w:rsid w:val="5D8F5C5F"/>
    <w:rsid w:val="5D912C18"/>
    <w:rsid w:val="5D9702C9"/>
    <w:rsid w:val="5DB91FED"/>
    <w:rsid w:val="5DC07B22"/>
    <w:rsid w:val="5DC2175C"/>
    <w:rsid w:val="5DF63972"/>
    <w:rsid w:val="5DFC012C"/>
    <w:rsid w:val="5E080D42"/>
    <w:rsid w:val="5E0A45F7"/>
    <w:rsid w:val="5E2E0A91"/>
    <w:rsid w:val="5E345B18"/>
    <w:rsid w:val="5E36132D"/>
    <w:rsid w:val="5E451AD3"/>
    <w:rsid w:val="5ED6597D"/>
    <w:rsid w:val="5EDD61AF"/>
    <w:rsid w:val="5EFC6636"/>
    <w:rsid w:val="5F076D88"/>
    <w:rsid w:val="5F466AE0"/>
    <w:rsid w:val="5F531A31"/>
    <w:rsid w:val="5F5F532C"/>
    <w:rsid w:val="5F6D308F"/>
    <w:rsid w:val="5F7466FE"/>
    <w:rsid w:val="5F783A8D"/>
    <w:rsid w:val="5F7A755A"/>
    <w:rsid w:val="5F863542"/>
    <w:rsid w:val="5F8F71AA"/>
    <w:rsid w:val="5FA77D68"/>
    <w:rsid w:val="5FAE4D62"/>
    <w:rsid w:val="5FB20274"/>
    <w:rsid w:val="5FCA04E2"/>
    <w:rsid w:val="5FEB709A"/>
    <w:rsid w:val="5FFC7BC4"/>
    <w:rsid w:val="60182CB2"/>
    <w:rsid w:val="60287A9B"/>
    <w:rsid w:val="60326810"/>
    <w:rsid w:val="6042451C"/>
    <w:rsid w:val="60687CFB"/>
    <w:rsid w:val="60835BF8"/>
    <w:rsid w:val="60D62EB6"/>
    <w:rsid w:val="60F021CA"/>
    <w:rsid w:val="60FB0B6F"/>
    <w:rsid w:val="610619ED"/>
    <w:rsid w:val="61145414"/>
    <w:rsid w:val="613C6465"/>
    <w:rsid w:val="613D4CE3"/>
    <w:rsid w:val="61442516"/>
    <w:rsid w:val="614D13CA"/>
    <w:rsid w:val="615527EF"/>
    <w:rsid w:val="61776447"/>
    <w:rsid w:val="618D5C6B"/>
    <w:rsid w:val="61A63E4C"/>
    <w:rsid w:val="61B11E8D"/>
    <w:rsid w:val="61CD42B9"/>
    <w:rsid w:val="61E27550"/>
    <w:rsid w:val="61F555BE"/>
    <w:rsid w:val="62035F2D"/>
    <w:rsid w:val="62057D23"/>
    <w:rsid w:val="621C5BA9"/>
    <w:rsid w:val="62203C3B"/>
    <w:rsid w:val="623C3C66"/>
    <w:rsid w:val="62427522"/>
    <w:rsid w:val="624F23FA"/>
    <w:rsid w:val="62514EEA"/>
    <w:rsid w:val="62736350"/>
    <w:rsid w:val="62763D02"/>
    <w:rsid w:val="628506F0"/>
    <w:rsid w:val="62CC2BB0"/>
    <w:rsid w:val="62EB3A25"/>
    <w:rsid w:val="63185A08"/>
    <w:rsid w:val="6320666B"/>
    <w:rsid w:val="632C5010"/>
    <w:rsid w:val="635522C2"/>
    <w:rsid w:val="63712083"/>
    <w:rsid w:val="6379289B"/>
    <w:rsid w:val="63936E3D"/>
    <w:rsid w:val="63B70F3D"/>
    <w:rsid w:val="63BA479C"/>
    <w:rsid w:val="63C139AA"/>
    <w:rsid w:val="63D00091"/>
    <w:rsid w:val="63F35B2D"/>
    <w:rsid w:val="640A5918"/>
    <w:rsid w:val="640D6BEF"/>
    <w:rsid w:val="64265F03"/>
    <w:rsid w:val="6432550D"/>
    <w:rsid w:val="64371EBE"/>
    <w:rsid w:val="64426DE8"/>
    <w:rsid w:val="644F5459"/>
    <w:rsid w:val="64686B51"/>
    <w:rsid w:val="64705BB0"/>
    <w:rsid w:val="647C1FC7"/>
    <w:rsid w:val="648D7D30"/>
    <w:rsid w:val="64B140D9"/>
    <w:rsid w:val="64B4710A"/>
    <w:rsid w:val="64B90B25"/>
    <w:rsid w:val="64BE613B"/>
    <w:rsid w:val="64C50E7F"/>
    <w:rsid w:val="64D771FD"/>
    <w:rsid w:val="64DB4F3F"/>
    <w:rsid w:val="64FB113D"/>
    <w:rsid w:val="65006754"/>
    <w:rsid w:val="651122B9"/>
    <w:rsid w:val="6515681C"/>
    <w:rsid w:val="65202952"/>
    <w:rsid w:val="652E506F"/>
    <w:rsid w:val="65406093"/>
    <w:rsid w:val="65420B1A"/>
    <w:rsid w:val="655C3587"/>
    <w:rsid w:val="65771194"/>
    <w:rsid w:val="65886897"/>
    <w:rsid w:val="6589499B"/>
    <w:rsid w:val="659770B8"/>
    <w:rsid w:val="65A2780B"/>
    <w:rsid w:val="65B512EC"/>
    <w:rsid w:val="65B84696"/>
    <w:rsid w:val="65C8329B"/>
    <w:rsid w:val="65F904A0"/>
    <w:rsid w:val="65FE27D6"/>
    <w:rsid w:val="66044E06"/>
    <w:rsid w:val="66197FF3"/>
    <w:rsid w:val="66496A71"/>
    <w:rsid w:val="664F7370"/>
    <w:rsid w:val="665E0712"/>
    <w:rsid w:val="66967370"/>
    <w:rsid w:val="66C0619B"/>
    <w:rsid w:val="66C537B1"/>
    <w:rsid w:val="66E005EB"/>
    <w:rsid w:val="66E16111"/>
    <w:rsid w:val="66F37636"/>
    <w:rsid w:val="670A2DA3"/>
    <w:rsid w:val="672F370F"/>
    <w:rsid w:val="673427AB"/>
    <w:rsid w:val="67472418"/>
    <w:rsid w:val="67584791"/>
    <w:rsid w:val="676273A8"/>
    <w:rsid w:val="677A0EB9"/>
    <w:rsid w:val="67857ECE"/>
    <w:rsid w:val="67B101D9"/>
    <w:rsid w:val="67B75B18"/>
    <w:rsid w:val="67B850C4"/>
    <w:rsid w:val="67BC2E06"/>
    <w:rsid w:val="67C972D1"/>
    <w:rsid w:val="67CC0B6F"/>
    <w:rsid w:val="67DD2D7C"/>
    <w:rsid w:val="67E91721"/>
    <w:rsid w:val="67F5225C"/>
    <w:rsid w:val="680341FF"/>
    <w:rsid w:val="68047157"/>
    <w:rsid w:val="68057461"/>
    <w:rsid w:val="680A680D"/>
    <w:rsid w:val="680E1188"/>
    <w:rsid w:val="681A17B6"/>
    <w:rsid w:val="68264723"/>
    <w:rsid w:val="6828049B"/>
    <w:rsid w:val="68460921"/>
    <w:rsid w:val="684B7025"/>
    <w:rsid w:val="68531770"/>
    <w:rsid w:val="68531926"/>
    <w:rsid w:val="68866F70"/>
    <w:rsid w:val="688B4586"/>
    <w:rsid w:val="689A6532"/>
    <w:rsid w:val="689D73CB"/>
    <w:rsid w:val="68A044D6"/>
    <w:rsid w:val="68A35D74"/>
    <w:rsid w:val="68A4505F"/>
    <w:rsid w:val="68B329D2"/>
    <w:rsid w:val="68B650B2"/>
    <w:rsid w:val="68BC01F8"/>
    <w:rsid w:val="68E02A60"/>
    <w:rsid w:val="68EC771B"/>
    <w:rsid w:val="69015A74"/>
    <w:rsid w:val="6917406C"/>
    <w:rsid w:val="6942099E"/>
    <w:rsid w:val="69461809"/>
    <w:rsid w:val="695D4175"/>
    <w:rsid w:val="69780FAF"/>
    <w:rsid w:val="698931BC"/>
    <w:rsid w:val="698B0E26"/>
    <w:rsid w:val="699D0A15"/>
    <w:rsid w:val="69A00505"/>
    <w:rsid w:val="69A22C77"/>
    <w:rsid w:val="69A2427D"/>
    <w:rsid w:val="69BA1345"/>
    <w:rsid w:val="69D07FD1"/>
    <w:rsid w:val="69F566F5"/>
    <w:rsid w:val="69FA7C16"/>
    <w:rsid w:val="6A170B7C"/>
    <w:rsid w:val="6A2151A2"/>
    <w:rsid w:val="6A2627B9"/>
    <w:rsid w:val="6A2702BC"/>
    <w:rsid w:val="6A331379"/>
    <w:rsid w:val="6A3C1FDC"/>
    <w:rsid w:val="6A577A5F"/>
    <w:rsid w:val="6A5F603D"/>
    <w:rsid w:val="6A647785"/>
    <w:rsid w:val="6A701C86"/>
    <w:rsid w:val="6A894DD0"/>
    <w:rsid w:val="6A8D0A8A"/>
    <w:rsid w:val="6A9E2C97"/>
    <w:rsid w:val="6AB763D1"/>
    <w:rsid w:val="6AB83C70"/>
    <w:rsid w:val="6AC01C35"/>
    <w:rsid w:val="6AC27BFE"/>
    <w:rsid w:val="6AC93F86"/>
    <w:rsid w:val="6ADB13C7"/>
    <w:rsid w:val="6AFE7291"/>
    <w:rsid w:val="6B0D2C0B"/>
    <w:rsid w:val="6B160A7F"/>
    <w:rsid w:val="6B1747F7"/>
    <w:rsid w:val="6B19231D"/>
    <w:rsid w:val="6B2651E0"/>
    <w:rsid w:val="6B301415"/>
    <w:rsid w:val="6B3772C0"/>
    <w:rsid w:val="6B40026D"/>
    <w:rsid w:val="6B403B5A"/>
    <w:rsid w:val="6B421426"/>
    <w:rsid w:val="6B513642"/>
    <w:rsid w:val="6B5965FE"/>
    <w:rsid w:val="6B5C6B1E"/>
    <w:rsid w:val="6B5E41D4"/>
    <w:rsid w:val="6B8005EE"/>
    <w:rsid w:val="6B83272F"/>
    <w:rsid w:val="6B856526"/>
    <w:rsid w:val="6B9B310B"/>
    <w:rsid w:val="6BA51E03"/>
    <w:rsid w:val="6BB65DBE"/>
    <w:rsid w:val="6BB67B6C"/>
    <w:rsid w:val="6BE21A40"/>
    <w:rsid w:val="6BEB5EDE"/>
    <w:rsid w:val="6BF16DF6"/>
    <w:rsid w:val="6C20659F"/>
    <w:rsid w:val="6C234C1E"/>
    <w:rsid w:val="6C2E3BA6"/>
    <w:rsid w:val="6C375151"/>
    <w:rsid w:val="6C3C47B3"/>
    <w:rsid w:val="6C4909E0"/>
    <w:rsid w:val="6C496C32"/>
    <w:rsid w:val="6C832144"/>
    <w:rsid w:val="6C937EAD"/>
    <w:rsid w:val="6C9D0D2C"/>
    <w:rsid w:val="6CD01102"/>
    <w:rsid w:val="6CD75FEC"/>
    <w:rsid w:val="6CDE737B"/>
    <w:rsid w:val="6CE24244"/>
    <w:rsid w:val="6CEA5234"/>
    <w:rsid w:val="6CEB3CD6"/>
    <w:rsid w:val="6D176D30"/>
    <w:rsid w:val="6D1F7993"/>
    <w:rsid w:val="6D2232F1"/>
    <w:rsid w:val="6D4A0EB4"/>
    <w:rsid w:val="6D975A3E"/>
    <w:rsid w:val="6D9914F3"/>
    <w:rsid w:val="6DA265FA"/>
    <w:rsid w:val="6DAD528E"/>
    <w:rsid w:val="6DBF7D15"/>
    <w:rsid w:val="6DDB21D3"/>
    <w:rsid w:val="6DDF5000"/>
    <w:rsid w:val="6DE24C48"/>
    <w:rsid w:val="6E160D96"/>
    <w:rsid w:val="6E1F3036"/>
    <w:rsid w:val="6E2C05BA"/>
    <w:rsid w:val="6E3000AA"/>
    <w:rsid w:val="6E3B3456"/>
    <w:rsid w:val="6E4E22DE"/>
    <w:rsid w:val="6E645FA5"/>
    <w:rsid w:val="6E6C300B"/>
    <w:rsid w:val="6E751F61"/>
    <w:rsid w:val="6E810366"/>
    <w:rsid w:val="6E881C94"/>
    <w:rsid w:val="6E904F9C"/>
    <w:rsid w:val="6EA43CDE"/>
    <w:rsid w:val="6EA92904"/>
    <w:rsid w:val="6EB25ECF"/>
    <w:rsid w:val="6EC364B5"/>
    <w:rsid w:val="6EC407F2"/>
    <w:rsid w:val="6EE449F0"/>
    <w:rsid w:val="6EF62128"/>
    <w:rsid w:val="6EFC7460"/>
    <w:rsid w:val="6F3239AE"/>
    <w:rsid w:val="6F465C1C"/>
    <w:rsid w:val="6F4C2993"/>
    <w:rsid w:val="6F5F0599"/>
    <w:rsid w:val="6F60676D"/>
    <w:rsid w:val="6F765F90"/>
    <w:rsid w:val="6F7B35A7"/>
    <w:rsid w:val="6F916C62"/>
    <w:rsid w:val="6FB22D40"/>
    <w:rsid w:val="6FDC1B6B"/>
    <w:rsid w:val="6FE0165C"/>
    <w:rsid w:val="6FE90800"/>
    <w:rsid w:val="70025A76"/>
    <w:rsid w:val="701D465E"/>
    <w:rsid w:val="7023779A"/>
    <w:rsid w:val="702754DC"/>
    <w:rsid w:val="70281CF1"/>
    <w:rsid w:val="702F4391"/>
    <w:rsid w:val="705B0CE2"/>
    <w:rsid w:val="706C2EEF"/>
    <w:rsid w:val="706E4EB9"/>
    <w:rsid w:val="707B1384"/>
    <w:rsid w:val="70843418"/>
    <w:rsid w:val="708B7706"/>
    <w:rsid w:val="70B97A34"/>
    <w:rsid w:val="70BE3020"/>
    <w:rsid w:val="70C42D2B"/>
    <w:rsid w:val="70E178AF"/>
    <w:rsid w:val="70E21403"/>
    <w:rsid w:val="70F84783"/>
    <w:rsid w:val="70F97914"/>
    <w:rsid w:val="71125845"/>
    <w:rsid w:val="7113780F"/>
    <w:rsid w:val="713752AB"/>
    <w:rsid w:val="71561E1E"/>
    <w:rsid w:val="716360A0"/>
    <w:rsid w:val="716F713B"/>
    <w:rsid w:val="717B209F"/>
    <w:rsid w:val="718521EA"/>
    <w:rsid w:val="719646C8"/>
    <w:rsid w:val="71A1306D"/>
    <w:rsid w:val="71A861A9"/>
    <w:rsid w:val="71CA25C3"/>
    <w:rsid w:val="71D76A8E"/>
    <w:rsid w:val="71EB604A"/>
    <w:rsid w:val="720C2AB9"/>
    <w:rsid w:val="72182020"/>
    <w:rsid w:val="7218332F"/>
    <w:rsid w:val="72225F5B"/>
    <w:rsid w:val="72273572"/>
    <w:rsid w:val="72281098"/>
    <w:rsid w:val="7238752D"/>
    <w:rsid w:val="723F4D5F"/>
    <w:rsid w:val="72427205"/>
    <w:rsid w:val="72533BCF"/>
    <w:rsid w:val="725620A9"/>
    <w:rsid w:val="725B146D"/>
    <w:rsid w:val="725D3437"/>
    <w:rsid w:val="72CB03A1"/>
    <w:rsid w:val="72D03C09"/>
    <w:rsid w:val="72F37EB8"/>
    <w:rsid w:val="72F71196"/>
    <w:rsid w:val="73190D85"/>
    <w:rsid w:val="731F693F"/>
    <w:rsid w:val="732E6B82"/>
    <w:rsid w:val="734A5720"/>
    <w:rsid w:val="734C3D25"/>
    <w:rsid w:val="73634A7D"/>
    <w:rsid w:val="736425A4"/>
    <w:rsid w:val="7372081D"/>
    <w:rsid w:val="738343C3"/>
    <w:rsid w:val="739856E8"/>
    <w:rsid w:val="739A3465"/>
    <w:rsid w:val="73B1312C"/>
    <w:rsid w:val="73B47087"/>
    <w:rsid w:val="73F90F3E"/>
    <w:rsid w:val="73FD6130"/>
    <w:rsid w:val="7419338E"/>
    <w:rsid w:val="74201604"/>
    <w:rsid w:val="74341F76"/>
    <w:rsid w:val="74485A21"/>
    <w:rsid w:val="745A1D70"/>
    <w:rsid w:val="745D7A02"/>
    <w:rsid w:val="746E5488"/>
    <w:rsid w:val="748C2DA2"/>
    <w:rsid w:val="74BE7A92"/>
    <w:rsid w:val="74D42813"/>
    <w:rsid w:val="75040F86"/>
    <w:rsid w:val="750D2EF3"/>
    <w:rsid w:val="751F654B"/>
    <w:rsid w:val="752D5343"/>
    <w:rsid w:val="75322959"/>
    <w:rsid w:val="753C5586"/>
    <w:rsid w:val="754F09DB"/>
    <w:rsid w:val="75667C86"/>
    <w:rsid w:val="75686BCC"/>
    <w:rsid w:val="75693EA1"/>
    <w:rsid w:val="75752846"/>
    <w:rsid w:val="75842A89"/>
    <w:rsid w:val="75932CCC"/>
    <w:rsid w:val="75AF45AE"/>
    <w:rsid w:val="75B275F6"/>
    <w:rsid w:val="75D237F5"/>
    <w:rsid w:val="75DE03EB"/>
    <w:rsid w:val="75E55456"/>
    <w:rsid w:val="760D7FB3"/>
    <w:rsid w:val="76391AC6"/>
    <w:rsid w:val="764346F2"/>
    <w:rsid w:val="7645046A"/>
    <w:rsid w:val="764C557E"/>
    <w:rsid w:val="765C57B4"/>
    <w:rsid w:val="767174B1"/>
    <w:rsid w:val="76780840"/>
    <w:rsid w:val="76783F68"/>
    <w:rsid w:val="76793892"/>
    <w:rsid w:val="76903064"/>
    <w:rsid w:val="76941B1A"/>
    <w:rsid w:val="76AD7DBE"/>
    <w:rsid w:val="76DE441B"/>
    <w:rsid w:val="76E45ED5"/>
    <w:rsid w:val="770D1EB1"/>
    <w:rsid w:val="770F2014"/>
    <w:rsid w:val="77147E3D"/>
    <w:rsid w:val="771A3ADA"/>
    <w:rsid w:val="7725204A"/>
    <w:rsid w:val="7730111A"/>
    <w:rsid w:val="77391FC6"/>
    <w:rsid w:val="773D3837"/>
    <w:rsid w:val="7746449A"/>
    <w:rsid w:val="77551879"/>
    <w:rsid w:val="776668EA"/>
    <w:rsid w:val="776963DA"/>
    <w:rsid w:val="776D0DB5"/>
    <w:rsid w:val="779C40BA"/>
    <w:rsid w:val="779F1CDF"/>
    <w:rsid w:val="77AB69F3"/>
    <w:rsid w:val="77B07A95"/>
    <w:rsid w:val="77B72D5D"/>
    <w:rsid w:val="77C6382D"/>
    <w:rsid w:val="77D20F95"/>
    <w:rsid w:val="77E048EF"/>
    <w:rsid w:val="78052DD9"/>
    <w:rsid w:val="780C3B22"/>
    <w:rsid w:val="787D038F"/>
    <w:rsid w:val="78960636"/>
    <w:rsid w:val="789F0530"/>
    <w:rsid w:val="78AC169E"/>
    <w:rsid w:val="78B96EEE"/>
    <w:rsid w:val="78C0027C"/>
    <w:rsid w:val="78CA55CE"/>
    <w:rsid w:val="78DC11E9"/>
    <w:rsid w:val="78EF46BD"/>
    <w:rsid w:val="78F9488B"/>
    <w:rsid w:val="78FB12B4"/>
    <w:rsid w:val="79074B53"/>
    <w:rsid w:val="790E7239"/>
    <w:rsid w:val="791F31F5"/>
    <w:rsid w:val="79257DFE"/>
    <w:rsid w:val="793A6280"/>
    <w:rsid w:val="794C5FB4"/>
    <w:rsid w:val="79716072"/>
    <w:rsid w:val="797A667D"/>
    <w:rsid w:val="797D43BF"/>
    <w:rsid w:val="798471EA"/>
    <w:rsid w:val="79870D9A"/>
    <w:rsid w:val="7997722F"/>
    <w:rsid w:val="79993610"/>
    <w:rsid w:val="79B81A3C"/>
    <w:rsid w:val="79C478F8"/>
    <w:rsid w:val="79DD60B2"/>
    <w:rsid w:val="79EA1A55"/>
    <w:rsid w:val="79FA5A10"/>
    <w:rsid w:val="79FF6B82"/>
    <w:rsid w:val="7A2455EA"/>
    <w:rsid w:val="7A2D118F"/>
    <w:rsid w:val="7A356A48"/>
    <w:rsid w:val="7A454EDD"/>
    <w:rsid w:val="7A551C2F"/>
    <w:rsid w:val="7A5769BE"/>
    <w:rsid w:val="7A8157E9"/>
    <w:rsid w:val="7A833F3B"/>
    <w:rsid w:val="7AB82530"/>
    <w:rsid w:val="7AE26947"/>
    <w:rsid w:val="7AF64429"/>
    <w:rsid w:val="7AF661D7"/>
    <w:rsid w:val="7AF75AAB"/>
    <w:rsid w:val="7B086666"/>
    <w:rsid w:val="7B220D7A"/>
    <w:rsid w:val="7B2F3497"/>
    <w:rsid w:val="7B2F5245"/>
    <w:rsid w:val="7B430CF1"/>
    <w:rsid w:val="7B4C42AB"/>
    <w:rsid w:val="7B5237E2"/>
    <w:rsid w:val="7B786BEC"/>
    <w:rsid w:val="7B940C71"/>
    <w:rsid w:val="7BA7127F"/>
    <w:rsid w:val="7BBA7D61"/>
    <w:rsid w:val="7BC24845"/>
    <w:rsid w:val="7BE14907"/>
    <w:rsid w:val="7BEE62DE"/>
    <w:rsid w:val="7C1740E9"/>
    <w:rsid w:val="7C322F29"/>
    <w:rsid w:val="7C430CD5"/>
    <w:rsid w:val="7C4371FA"/>
    <w:rsid w:val="7C796B83"/>
    <w:rsid w:val="7C7C270C"/>
    <w:rsid w:val="7C820097"/>
    <w:rsid w:val="7C896B62"/>
    <w:rsid w:val="7C913580"/>
    <w:rsid w:val="7CA659DB"/>
    <w:rsid w:val="7CB2612E"/>
    <w:rsid w:val="7CCB222D"/>
    <w:rsid w:val="7CD24A22"/>
    <w:rsid w:val="7CD930BA"/>
    <w:rsid w:val="7CED360A"/>
    <w:rsid w:val="7CFE0C47"/>
    <w:rsid w:val="7D006E99"/>
    <w:rsid w:val="7D3F43D5"/>
    <w:rsid w:val="7D4C0208"/>
    <w:rsid w:val="7D4F5B8A"/>
    <w:rsid w:val="7D517499"/>
    <w:rsid w:val="7D6F401F"/>
    <w:rsid w:val="7D752025"/>
    <w:rsid w:val="7D89203A"/>
    <w:rsid w:val="7D9D0B8C"/>
    <w:rsid w:val="7D9F1E09"/>
    <w:rsid w:val="7DA168CE"/>
    <w:rsid w:val="7DA56368"/>
    <w:rsid w:val="7DA8292D"/>
    <w:rsid w:val="7DBB54B6"/>
    <w:rsid w:val="7DDD542C"/>
    <w:rsid w:val="7E0368D8"/>
    <w:rsid w:val="7E316CA7"/>
    <w:rsid w:val="7E4159BB"/>
    <w:rsid w:val="7E553215"/>
    <w:rsid w:val="7E7044F2"/>
    <w:rsid w:val="7E7B31DC"/>
    <w:rsid w:val="7E9235AA"/>
    <w:rsid w:val="7ED2135E"/>
    <w:rsid w:val="7EE01021"/>
    <w:rsid w:val="7EE5787B"/>
    <w:rsid w:val="7EED78F1"/>
    <w:rsid w:val="7EFB4FBB"/>
    <w:rsid w:val="7F07123A"/>
    <w:rsid w:val="7F2E23E3"/>
    <w:rsid w:val="7F2F641F"/>
    <w:rsid w:val="7F390F10"/>
    <w:rsid w:val="7F47040C"/>
    <w:rsid w:val="7F4E65E2"/>
    <w:rsid w:val="7F6C6A68"/>
    <w:rsid w:val="7F7153BB"/>
    <w:rsid w:val="7F871C42"/>
    <w:rsid w:val="7F911BD4"/>
    <w:rsid w:val="7FBB79EF"/>
    <w:rsid w:val="7FBE3022"/>
    <w:rsid w:val="7FBF1CF8"/>
    <w:rsid w:val="7FD665D7"/>
    <w:rsid w:val="7FF058EB"/>
    <w:rsid w:val="7FF134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rPr>
      <w:rFonts w:ascii="仿宋" w:hAnsi="仿宋" w:eastAsia="仿宋" w:cs="仿宋"/>
      <w:sz w:val="30"/>
      <w:szCs w:val="30"/>
      <w:lang w:val="zh-CN" w:eastAsia="zh-CN" w:bidi="zh-CN"/>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9">
    <w:name w:val="toc 2"/>
    <w:basedOn w:val="1"/>
    <w:next w:val="1"/>
    <w:qFormat/>
    <w:uiPriority w:val="0"/>
    <w:pPr>
      <w:ind w:left="420" w:leftChars="200"/>
    </w:pPr>
  </w:style>
  <w:style w:type="paragraph" w:styleId="10">
    <w:name w:val="Normal (Web)"/>
    <w:basedOn w:val="1"/>
    <w:qFormat/>
    <w:uiPriority w:val="0"/>
    <w:rPr>
      <w:sz w:val="24"/>
    </w:rPr>
  </w:style>
  <w:style w:type="paragraph" w:styleId="11">
    <w:name w:val="Body Text First Indent 2"/>
    <w:basedOn w:val="5"/>
    <w:qFormat/>
    <w:uiPriority w:val="0"/>
    <w:pPr>
      <w:widowControl w:val="0"/>
      <w:tabs>
        <w:tab w:val="left" w:pos="-116"/>
        <w:tab w:val="left" w:pos="420"/>
      </w:tabs>
      <w:ind w:firstLine="420" w:firstLineChars="200"/>
      <w:jc w:val="left"/>
    </w:pPr>
    <w:rPr>
      <w:rFonts w:ascii="宋体" w:hAnsi="Times New Roman" w:eastAsia="宋体" w:cs="Times New Roman"/>
      <w:kern w:val="2"/>
      <w:sz w:val="28"/>
      <w:szCs w:val="20"/>
      <w:lang w:val="en-US" w:eastAsia="zh-CN" w:bidi="ar-SA"/>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Arial" w:hAnsi="Arial" w:eastAsia="Arial" w:cs="Arial"/>
      <w:sz w:val="21"/>
      <w:szCs w:val="21"/>
      <w:lang w:val="en-US" w:eastAsia="en-US" w:bidi="ar-SA"/>
    </w:rPr>
  </w:style>
  <w:style w:type="character" w:customStyle="1" w:styleId="19">
    <w:name w:val="font101"/>
    <w:basedOn w:val="14"/>
    <w:qFormat/>
    <w:uiPriority w:val="0"/>
    <w:rPr>
      <w:rFonts w:ascii="宋体" w:hAnsi="宋体" w:eastAsia="宋体" w:cs="宋体"/>
      <w:b/>
      <w:bCs/>
      <w:color w:val="000000"/>
      <w:sz w:val="36"/>
      <w:szCs w:val="36"/>
      <w:u w:val="none"/>
    </w:rPr>
  </w:style>
  <w:style w:type="character" w:customStyle="1" w:styleId="20">
    <w:name w:val="font112"/>
    <w:basedOn w:val="14"/>
    <w:qFormat/>
    <w:uiPriority w:val="0"/>
    <w:rPr>
      <w:rFonts w:ascii="宋体" w:hAnsi="宋体" w:eastAsia="宋体" w:cs="宋体"/>
      <w:color w:val="000000"/>
      <w:sz w:val="18"/>
      <w:szCs w:val="18"/>
      <w:u w:val="none"/>
    </w:rPr>
  </w:style>
  <w:style w:type="character" w:customStyle="1" w:styleId="21">
    <w:name w:val="font121"/>
    <w:basedOn w:val="14"/>
    <w:qFormat/>
    <w:uiPriority w:val="0"/>
    <w:rPr>
      <w:rFonts w:hint="default" w:ascii="Arial" w:hAnsi="Arial" w:cs="Arial"/>
      <w:b/>
      <w:bCs/>
      <w:color w:val="000000"/>
      <w:sz w:val="18"/>
      <w:szCs w:val="18"/>
      <w:u w:val="none"/>
    </w:rPr>
  </w:style>
  <w:style w:type="character" w:customStyle="1" w:styleId="22">
    <w:name w:val="font41"/>
    <w:basedOn w:val="14"/>
    <w:qFormat/>
    <w:uiPriority w:val="0"/>
    <w:rPr>
      <w:rFonts w:ascii="宋体" w:hAnsi="宋体" w:eastAsia="宋体" w:cs="宋体"/>
      <w:b/>
      <w:bCs/>
      <w:color w:val="000000"/>
      <w:sz w:val="18"/>
      <w:szCs w:val="18"/>
      <w:u w:val="none"/>
    </w:rPr>
  </w:style>
  <w:style w:type="character" w:customStyle="1" w:styleId="23">
    <w:name w:val="font131"/>
    <w:basedOn w:val="14"/>
    <w:qFormat/>
    <w:uiPriority w:val="0"/>
    <w:rPr>
      <w:rFonts w:hint="eastAsia" w:ascii="仿宋" w:hAnsi="仿宋" w:eastAsia="仿宋" w:cs="仿宋"/>
      <w:color w:val="000000"/>
      <w:sz w:val="18"/>
      <w:szCs w:val="18"/>
      <w:u w:val="none"/>
    </w:rPr>
  </w:style>
  <w:style w:type="character" w:customStyle="1" w:styleId="24">
    <w:name w:val="font71"/>
    <w:basedOn w:val="14"/>
    <w:qFormat/>
    <w:uiPriority w:val="0"/>
    <w:rPr>
      <w:rFonts w:ascii="宋体" w:hAnsi="宋体" w:eastAsia="宋体" w:cs="宋体"/>
      <w:color w:val="000000"/>
      <w:sz w:val="18"/>
      <w:szCs w:val="18"/>
      <w:u w:val="none"/>
    </w:rPr>
  </w:style>
  <w:style w:type="character" w:customStyle="1" w:styleId="25">
    <w:name w:val="font81"/>
    <w:basedOn w:val="14"/>
    <w:qFormat/>
    <w:uiPriority w:val="0"/>
    <w:rPr>
      <w:rFonts w:hint="default" w:ascii="Arial" w:hAnsi="Arial" w:cs="Arial"/>
      <w:b/>
      <w:bCs/>
      <w:color w:val="000000"/>
      <w:sz w:val="18"/>
      <w:szCs w:val="18"/>
      <w:u w:val="none"/>
    </w:rPr>
  </w:style>
  <w:style w:type="character" w:customStyle="1" w:styleId="26">
    <w:name w:val="font31"/>
    <w:basedOn w:val="14"/>
    <w:qFormat/>
    <w:uiPriority w:val="0"/>
    <w:rPr>
      <w:rFonts w:ascii="宋体" w:hAnsi="宋体" w:eastAsia="宋体" w:cs="宋体"/>
      <w:b/>
      <w:bCs/>
      <w:color w:val="000000"/>
      <w:sz w:val="18"/>
      <w:szCs w:val="18"/>
      <w:u w:val="none"/>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15727</Words>
  <Characters>16340</Characters>
  <Lines>0</Lines>
  <Paragraphs>0</Paragraphs>
  <TotalTime>10</TotalTime>
  <ScaleCrop>false</ScaleCrop>
  <LinksUpToDate>false</LinksUpToDate>
  <CharactersWithSpaces>17635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2021-11-16T09:54:00Z</dcterms:created>
  <dc:creator>Administrator</dc:creator>
  <cp:lastModifiedBy>招采中心2</cp:lastModifiedBy>
  <cp:lastPrinted>2024-12-04T08:33:00Z</cp:lastPrinted>
  <dcterms:modified xsi:type="dcterms:W3CDTF">2025-05-22T08:10:54Z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835010B12A264D779E17178DAD61A061_13</vt:lpwstr>
  </property>
  <property fmtid="{D5CDD505-2E9C-101B-9397-08002B2CF9AE}" pid="4" name="commondata">
    <vt:lpwstr>eyJoZGlkIjoiZDJiMzdlZTkyZWRmN2IzYzY2ZmI2ZTBlN2MyMWRiOWEifQ==</vt:lpwstr>
  </property>
  <property fmtid="{D5CDD505-2E9C-101B-9397-08002B2CF9AE}" pid="5" name="KSOTemplateDocerSaveRecord">
    <vt:lpwstr>eyJoZGlkIjoiNDY4Mzk4NDk3NmJmZGQ0NTZjNzZiNDA5YzYyYWUyZGEiLCJ1c2VySWQiOiIzMjYyOTIwOTcifQ==</vt:lpwstr>
  </property>
</Properties>
</file>