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067C">
      <w:pPr>
        <w:jc w:val="both"/>
        <w:rPr>
          <w:rFonts w:hint="eastAsia" w:ascii="仿宋" w:hAnsi="仿宋" w:eastAsia="仿宋" w:cs="仿宋"/>
          <w:color w:val="auto"/>
          <w:highlight w:val="none"/>
          <w:shd w:val="clear" w:color="auto" w:fill="auto"/>
          <w:lang w:val="en-US" w:eastAsia="zh-CN"/>
        </w:rPr>
      </w:pPr>
      <w:bookmarkStart w:id="340" w:name="_GoBack"/>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85090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14:paraId="4315B033">
      <w:pPr>
        <w:jc w:val="both"/>
        <w:rPr>
          <w:rFonts w:hint="eastAsia" w:ascii="仿宋" w:hAnsi="仿宋" w:eastAsia="仿宋" w:cs="仿宋"/>
          <w:color w:val="auto"/>
          <w:highlight w:val="none"/>
          <w:shd w:val="clear" w:color="auto" w:fill="auto"/>
          <w:lang w:val="en-US" w:eastAsia="zh-CN"/>
        </w:rPr>
      </w:pPr>
    </w:p>
    <w:p w14:paraId="0BB7AA22">
      <w:pPr>
        <w:jc w:val="both"/>
        <w:rPr>
          <w:rFonts w:hint="eastAsia" w:ascii="仿宋" w:hAnsi="仿宋" w:eastAsia="仿宋" w:cs="仿宋"/>
          <w:color w:val="auto"/>
          <w:highlight w:val="none"/>
          <w:shd w:val="clear" w:color="auto" w:fill="auto"/>
          <w:lang w:val="en-US" w:eastAsia="zh-CN"/>
        </w:rPr>
      </w:pPr>
    </w:p>
    <w:p w14:paraId="6406199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10535"/>
      <w:bookmarkStart w:id="1" w:name="_Toc32493"/>
      <w:bookmarkStart w:id="2" w:name="_Toc19409"/>
    </w:p>
    <w:p w14:paraId="3C28265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p>
    <w:bookmarkEnd w:id="0"/>
    <w:bookmarkEnd w:id="1"/>
    <w:bookmarkEnd w:id="2"/>
    <w:p w14:paraId="3965D469">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3" w:name="_Toc3493"/>
      <w:r>
        <w:rPr>
          <w:rFonts w:hint="eastAsia" w:ascii="仿宋" w:hAnsi="仿宋" w:eastAsia="仿宋" w:cs="仿宋"/>
          <w:b/>
          <w:color w:val="auto"/>
          <w:sz w:val="44"/>
          <w:szCs w:val="44"/>
          <w:highlight w:val="none"/>
          <w:lang w:val="en-US" w:eastAsia="zh-CN"/>
        </w:rPr>
        <w:t>东莞市麻涌镇豪丰电镀、印染专业基地集中污水</w:t>
      </w:r>
      <w:bookmarkEnd w:id="3"/>
    </w:p>
    <w:p w14:paraId="691E1EE5">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4" w:name="_Toc15372"/>
      <w:r>
        <w:rPr>
          <w:rFonts w:hint="eastAsia" w:ascii="仿宋" w:hAnsi="仿宋" w:eastAsia="仿宋" w:cs="仿宋"/>
          <w:b/>
          <w:color w:val="auto"/>
          <w:sz w:val="44"/>
          <w:szCs w:val="44"/>
          <w:highlight w:val="none"/>
          <w:lang w:val="en-US" w:eastAsia="zh-CN"/>
        </w:rPr>
        <w:t>处理厂二期工程深度处理池基坑支护工程</w:t>
      </w:r>
      <w:bookmarkEnd w:id="4"/>
    </w:p>
    <w:p w14:paraId="24A46E8D">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5" w:name="_Toc25856"/>
      <w:r>
        <w:rPr>
          <w:rFonts w:hint="eastAsia" w:ascii="仿宋" w:hAnsi="仿宋" w:eastAsia="仿宋" w:cs="仿宋"/>
          <w:b/>
          <w:color w:val="auto"/>
          <w:sz w:val="44"/>
          <w:szCs w:val="44"/>
          <w:highlight w:val="none"/>
          <w:lang w:val="en-US" w:eastAsia="zh-CN"/>
        </w:rPr>
        <w:t>施</w:t>
      </w:r>
      <w:bookmarkEnd w:id="5"/>
    </w:p>
    <w:p w14:paraId="54978979">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6" w:name="_Toc21403"/>
      <w:r>
        <w:rPr>
          <w:rFonts w:hint="eastAsia" w:ascii="仿宋" w:hAnsi="仿宋" w:eastAsia="仿宋" w:cs="仿宋"/>
          <w:b/>
          <w:color w:val="auto"/>
          <w:sz w:val="44"/>
          <w:szCs w:val="44"/>
          <w:highlight w:val="none"/>
          <w:lang w:val="en-US" w:eastAsia="zh-CN"/>
        </w:rPr>
        <w:t>工</w:t>
      </w:r>
      <w:bookmarkEnd w:id="6"/>
    </w:p>
    <w:p w14:paraId="653C61D1">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7" w:name="_Toc31127"/>
      <w:r>
        <w:rPr>
          <w:rFonts w:hint="eastAsia" w:ascii="仿宋" w:hAnsi="仿宋" w:eastAsia="仿宋" w:cs="仿宋"/>
          <w:b/>
          <w:color w:val="auto"/>
          <w:sz w:val="44"/>
          <w:szCs w:val="44"/>
          <w:highlight w:val="none"/>
          <w:lang w:val="en-US" w:eastAsia="zh-CN"/>
        </w:rPr>
        <w:t>合</w:t>
      </w:r>
      <w:bookmarkEnd w:id="7"/>
    </w:p>
    <w:p w14:paraId="7463BF63">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color w:val="auto"/>
          <w:highlight w:val="none"/>
          <w:lang w:val="en-US" w:eastAsia="zh-CN"/>
        </w:rPr>
      </w:pPr>
      <w:bookmarkStart w:id="8" w:name="_Toc26535"/>
      <w:r>
        <w:rPr>
          <w:rFonts w:hint="eastAsia" w:ascii="仿宋" w:hAnsi="仿宋" w:eastAsia="仿宋" w:cs="仿宋"/>
          <w:b/>
          <w:color w:val="auto"/>
          <w:sz w:val="44"/>
          <w:szCs w:val="44"/>
          <w:highlight w:val="none"/>
          <w:lang w:val="en-US" w:eastAsia="zh-CN"/>
        </w:rPr>
        <w:t>同</w:t>
      </w:r>
      <w:bookmarkEnd w:id="8"/>
    </w:p>
    <w:p w14:paraId="36950808">
      <w:pPr>
        <w:jc w:val="center"/>
        <w:rPr>
          <w:rFonts w:hint="eastAsia" w:ascii="仿宋" w:hAnsi="仿宋" w:eastAsia="仿宋" w:cs="仿宋"/>
          <w:b/>
          <w:bCs/>
          <w:color w:val="auto"/>
          <w:sz w:val="24"/>
          <w:szCs w:val="28"/>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7DB8EA7C">
      <w:pPr>
        <w:jc w:val="center"/>
        <w:rPr>
          <w:rFonts w:hint="default" w:ascii="仿宋" w:hAnsi="仿宋" w:eastAsia="仿宋" w:cs="仿宋"/>
          <w:color w:val="auto"/>
          <w:sz w:val="28"/>
          <w:szCs w:val="28"/>
          <w:highlight w:val="none"/>
          <w:shd w:val="clear" w:color="auto" w:fill="auto"/>
          <w:lang w:val="en-US" w:eastAsia="zh-CN"/>
        </w:rPr>
      </w:pPr>
    </w:p>
    <w:p w14:paraId="00A5B211">
      <w:pPr>
        <w:jc w:val="both"/>
        <w:rPr>
          <w:rFonts w:hint="eastAsia" w:ascii="仿宋" w:hAnsi="仿宋" w:eastAsia="仿宋" w:cs="仿宋"/>
          <w:color w:val="auto"/>
          <w:highlight w:val="none"/>
          <w:shd w:val="clear" w:color="auto" w:fill="auto"/>
          <w:lang w:val="en-US" w:eastAsia="zh-CN"/>
        </w:rPr>
      </w:pPr>
    </w:p>
    <w:p w14:paraId="55527CD0">
      <w:pPr>
        <w:jc w:val="both"/>
        <w:rPr>
          <w:rFonts w:hint="eastAsia" w:ascii="仿宋" w:hAnsi="仿宋" w:eastAsia="仿宋" w:cs="仿宋"/>
          <w:color w:val="auto"/>
          <w:highlight w:val="none"/>
          <w:shd w:val="clear" w:color="auto" w:fill="auto"/>
          <w:lang w:val="en-US" w:eastAsia="zh-CN"/>
        </w:rPr>
      </w:pPr>
    </w:p>
    <w:p w14:paraId="3C1B4BC5">
      <w:pPr>
        <w:jc w:val="both"/>
        <w:rPr>
          <w:rFonts w:hint="eastAsia" w:ascii="仿宋" w:hAnsi="仿宋" w:eastAsia="仿宋" w:cs="仿宋"/>
          <w:color w:val="auto"/>
          <w:highlight w:val="none"/>
          <w:shd w:val="clear" w:color="auto" w:fill="auto"/>
          <w:lang w:val="en-US" w:eastAsia="zh-CN"/>
        </w:rPr>
      </w:pPr>
    </w:p>
    <w:p w14:paraId="6FF55CFE">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default"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66E385D1">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76B9E795">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乙方（承包方）：</w:t>
      </w:r>
    </w:p>
    <w:p w14:paraId="119D52D7">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61632EC2">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1"/>
          <w:szCs w:val="22"/>
          <w:highlight w:val="none"/>
          <w:lang w:val="en-US" w:eastAsia="zh-CN" w:bidi="ar-SA"/>
        </w:rPr>
      </w:sdtEndPr>
      <w:sdtContent>
        <w:p w14:paraId="32A92B3A">
          <w:pPr>
            <w:spacing w:before="0" w:beforeLines="0" w:after="0" w:afterLines="0" w:line="360" w:lineRule="auto"/>
            <w:ind w:left="0" w:leftChars="0" w:right="0" w:rightChars="0" w:firstLine="0" w:firstLineChars="0"/>
            <w:jc w:val="center"/>
            <w:rPr>
              <w:rFonts w:hint="eastAsia" w:ascii="仿宋" w:hAnsi="仿宋" w:eastAsia="仿宋" w:cs="仿宋"/>
              <w:color w:val="auto"/>
              <w:sz w:val="24"/>
              <w:szCs w:val="24"/>
            </w:rPr>
          </w:pPr>
          <w:bookmarkStart w:id="9" w:name="_Toc21482"/>
          <w:r>
            <w:rPr>
              <w:rFonts w:hint="eastAsia" w:ascii="仿宋" w:hAnsi="仿宋" w:eastAsia="仿宋" w:cs="仿宋"/>
              <w:b/>
              <w:bCs/>
              <w:color w:val="auto"/>
              <w:sz w:val="28"/>
              <w:szCs w:val="28"/>
              <w:highlight w:val="none"/>
            </w:rPr>
            <w:t>目录</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TOC \o "1-2" \h \u </w:instrText>
          </w:r>
          <w:r>
            <w:rPr>
              <w:rFonts w:hint="eastAsia" w:ascii="仿宋" w:hAnsi="仿宋" w:eastAsia="仿宋" w:cs="仿宋"/>
              <w:color w:val="auto"/>
              <w:sz w:val="24"/>
              <w:szCs w:val="24"/>
              <w:highlight w:val="none"/>
            </w:rPr>
            <w:fldChar w:fldCharType="separate"/>
          </w:r>
        </w:p>
        <w:p w14:paraId="5DA9542C">
          <w:pPr>
            <w:pStyle w:val="10"/>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_Toc24263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kern w:val="0"/>
              <w:sz w:val="24"/>
              <w:szCs w:val="24"/>
              <w:shd w:val="clear" w:fill="auto"/>
              <w:lang w:val="en-US" w:eastAsia="zh-CN"/>
            </w:rPr>
            <w:t xml:space="preserve">第一部分 </w:t>
          </w:r>
          <w:r>
            <w:rPr>
              <w:rFonts w:hint="eastAsia" w:ascii="仿宋" w:hAnsi="仿宋" w:eastAsia="仿宋" w:cs="仿宋"/>
              <w:bCs/>
              <w:i w:val="0"/>
              <w:iCs w:val="0"/>
              <w:color w:val="auto"/>
              <w:kern w:val="0"/>
              <w:sz w:val="24"/>
              <w:szCs w:val="24"/>
              <w:highlight w:val="none"/>
              <w:shd w:val="clear" w:color="auto" w:fill="auto"/>
              <w:lang w:val="en-US" w:eastAsia="zh-CN"/>
            </w:rPr>
            <w:t>合同专用条款</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_Toc24263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61EE5FE">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_Toc4319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第一章</w:t>
          </w:r>
          <w:r>
            <w:rPr>
              <w:rFonts w:hint="eastAsia" w:ascii="仿宋" w:hAnsi="仿宋" w:eastAsia="仿宋" w:cs="仿宋"/>
              <w:bCs/>
              <w:i w:val="0"/>
              <w:iCs w:val="0"/>
              <w:color w:val="auto"/>
              <w:sz w:val="24"/>
              <w:szCs w:val="24"/>
              <w:highlight w:val="none"/>
              <w:shd w:val="clear" w:color="auto" w:fill="auto"/>
            </w:rPr>
            <w:t>、项目概况</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_Toc4319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3D0FC857">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_Toc32170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第二章、承包方式</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_Toc32170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2214B5D">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_Toc13509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第三章、承包范围及主要工程内容</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_Toc13509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47F7C877">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_Toc17140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第四章、工期</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_Toc17140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4</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1A06B76">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_Toc14867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第五章、工程质量标准</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_Toc14867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5</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44ED5407">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_Toc31521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第六章、合同价款</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_Toc31521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5</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22BCDBBA">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_Toc25190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第七章、计量计价方式及结算方式</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_Toc25190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6</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7312F43C">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_Toc12752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第八章、付款方式（每个组团独立付款）</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_Toc12752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8</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4C6D2982">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_Toc31992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第九章、双方责任和权利</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_Toc31992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9</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A6543CA">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_Toc21635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第十章、甲供材料、设备</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_Toc21635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10</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7E3F3CD0">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_Toc32394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第十一章、验收及保修</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_Toc32394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10</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3B870AE3">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_Toc7026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第十二章、其他</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_Toc7026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11</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72A38FAB">
          <w:pPr>
            <w:pStyle w:val="10"/>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_Toc11507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kern w:val="0"/>
              <w:sz w:val="24"/>
              <w:szCs w:val="24"/>
              <w:shd w:val="clear" w:fill="auto"/>
              <w:lang w:val="en-US" w:eastAsia="zh-CN"/>
            </w:rPr>
            <w:t xml:space="preserve">第二部分 </w:t>
          </w:r>
          <w:r>
            <w:rPr>
              <w:rFonts w:hint="eastAsia" w:ascii="仿宋" w:hAnsi="仿宋" w:eastAsia="仿宋" w:cs="仿宋"/>
              <w:bCs/>
              <w:i w:val="0"/>
              <w:iCs w:val="0"/>
              <w:color w:val="auto"/>
              <w:kern w:val="0"/>
              <w:sz w:val="24"/>
              <w:szCs w:val="24"/>
              <w:highlight w:val="none"/>
              <w:shd w:val="clear" w:color="auto" w:fill="auto"/>
              <w:lang w:val="en-US" w:eastAsia="zh-CN"/>
            </w:rPr>
            <w:t>合同通用条款</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_Toc11507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D6CDC51">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_Toc21555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第一章、承包方式</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_Toc21555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6977A1E3">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_Toc19936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第二章、承包范围及主要工程内容</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_Toc19936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F8DBBBF">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_Toc19073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第三章、工期</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_Toc19073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14</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5239F252">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_Toc12243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第四章、工程质量标准</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_Toc12243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15</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68572875">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_Toc26025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第五章、合同价款</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_Toc26025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17</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20D34424">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_Toc27768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第六章、计量计价方式及结算方式</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_Toc27768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18</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97C1BFB">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_Toc4618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第七章、付款方式</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_Toc4618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22</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7449028B">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_Toc6789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第八章、双方责任和权利</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_Toc6789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24</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77272AE">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_Toc24563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第九章、安全生产、文明施工要求</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_Toc24563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30</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3F6E8AF6">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_Toc21432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第十章、甲供材料设备</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_Toc21432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31</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641FD669">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_Toc18988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第十一章、验收及保修</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_Toc18988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32</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0DAFD95">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_Toc22452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第十二章、保险</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_Toc22452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7FAD1728">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_Toc27103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第十三章、奖罚条款</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_Toc27103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34</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4584D092">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_Toc6855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第十四章、违约条款</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_Toc6855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36</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A075438">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_Toc19141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第十五章、廉洁条款</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_Toc19141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39</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006567E">
          <w:pPr>
            <w:pStyle w:val="11"/>
            <w:keepNext w:val="0"/>
            <w:keepLines w:val="0"/>
            <w:pageBreakBefore w:val="0"/>
            <w:widowControl w:val="0"/>
            <w:tabs>
              <w:tab w:val="right" w:leader="dot" w:pos="8820"/>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_Toc18400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第十六章、其他</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_Toc18400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39</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89320E0">
          <w:pPr>
            <w:spacing w:line="360" w:lineRule="auto"/>
            <w:rPr>
              <w:rFonts w:hint="eastAsia" w:ascii="仿宋" w:hAnsi="仿宋" w:eastAsia="仿宋" w:cs="仿宋"/>
              <w:b/>
              <w:bCs/>
              <w:i w:val="0"/>
              <w:iCs w:val="0"/>
              <w:color w:val="auto"/>
              <w:kern w:val="0"/>
              <w:sz w:val="28"/>
              <w:szCs w:val="28"/>
              <w:highlight w:val="none"/>
              <w:u w:val="none"/>
              <w:shd w:val="clear" w:color="auto" w:fill="auto"/>
              <w:lang w:val="en-US" w:eastAsia="zh-CN"/>
            </w:rPr>
          </w:pPr>
          <w:r>
            <w:rPr>
              <w:rFonts w:hint="eastAsia" w:ascii="仿宋" w:hAnsi="仿宋" w:eastAsia="仿宋" w:cs="仿宋"/>
              <w:color w:val="auto"/>
              <w:sz w:val="24"/>
              <w:szCs w:val="24"/>
              <w:highlight w:val="none"/>
            </w:rPr>
            <w:fldChar w:fldCharType="end"/>
          </w:r>
        </w:p>
      </w:sdtContent>
    </w:sdt>
    <w:p w14:paraId="69FE0F17">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49010874">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p>
    <w:p w14:paraId="4024AFD5">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10" w:name="_Toc24263"/>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9"/>
      <w:bookmarkEnd w:id="10"/>
    </w:p>
    <w:p w14:paraId="7F368EA5">
      <w:pPr>
        <w:keepNext w:val="0"/>
        <w:keepLines w:val="0"/>
        <w:pageBreakBefore w:val="0"/>
        <w:widowControl w:val="0"/>
        <w:tabs>
          <w:tab w:val="left" w:pos="6272"/>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在乙方确认并承诺自身满足本项目所在地住建主管部门相关要求（如资质资格等）的前提下，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_GB2312" w:hAnsi="仿宋_GB2312" w:eastAsia="仿宋_GB2312" w:cs="仿宋_GB2312"/>
          <w:b/>
          <w:bCs/>
          <w:i w:val="0"/>
          <w:iCs w:val="0"/>
          <w:color w:val="auto"/>
          <w:sz w:val="28"/>
          <w:szCs w:val="28"/>
          <w:highlight w:val="none"/>
          <w:u w:val="single"/>
          <w:shd w:val="clear" w:color="auto" w:fill="auto"/>
        </w:rPr>
        <w:t>东莞市麻涌镇豪丰电镀、印染专业基地集中污水处理厂二期工程深度处理池基坑支护工程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37693EAC">
      <w:pPr>
        <w:keepNext w:val="0"/>
        <w:keepLines w:val="0"/>
        <w:pageBreakBefore w:val="0"/>
        <w:widowControl w:val="0"/>
        <w:kinsoku/>
        <w:wordWrap/>
        <w:overflowPunct/>
        <w:topLinePunct w:val="0"/>
        <w:autoSpaceDE/>
        <w:autoSpaceDN/>
        <w:bidi w:val="0"/>
        <w:adjustRightInd w:val="0"/>
        <w:snapToGrid w:val="0"/>
        <w:spacing w:before="146" w:beforeLines="50" w:after="0" w:after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11" w:name="_Toc4319"/>
      <w:bookmarkStart w:id="12" w:name="_Toc26146"/>
      <w:bookmarkStart w:id="13" w:name="_Toc1208"/>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11"/>
      <w:bookmarkEnd w:id="12"/>
      <w:bookmarkEnd w:id="13"/>
    </w:p>
    <w:p w14:paraId="07FF6DE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东莞市麻涌镇豪丰电镀、印染专业基地集中污水处理厂二期工程深度处理池基坑支护工程</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14:paraId="10CD0B2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lang w:val="en-US" w:eastAsia="zh-CN"/>
        </w:rPr>
        <w:t xml:space="preserve"> 东莞市麻涌镇麻三村第二涌桥豪丰工业园内</w:t>
      </w:r>
      <w:r>
        <w:rPr>
          <w:rFonts w:hint="eastAsia" w:ascii="仿宋" w:hAnsi="仿宋" w:eastAsia="仿宋" w:cs="仿宋"/>
          <w:i w:val="0"/>
          <w:iCs w:val="0"/>
          <w:color w:val="auto"/>
          <w:sz w:val="28"/>
          <w:szCs w:val="28"/>
          <w:highlight w:val="none"/>
          <w:u w:val="single"/>
          <w:shd w:val="clear" w:color="auto" w:fill="auto"/>
        </w:rPr>
        <w:t xml:space="preserve"> </w:t>
      </w:r>
    </w:p>
    <w:p w14:paraId="14ECBD9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1.3本工程的甲供材料：</w:t>
      </w:r>
      <w:r>
        <w:rPr>
          <w:rFonts w:hint="eastAsia" w:ascii="仿宋" w:hAnsi="仿宋" w:eastAsia="仿宋" w:cs="仿宋"/>
          <w:i w:val="0"/>
          <w:iCs w:val="0"/>
          <w:color w:val="auto"/>
          <w:sz w:val="28"/>
          <w:szCs w:val="28"/>
          <w:highlight w:val="none"/>
          <w:u w:val="single"/>
          <w:shd w:val="clear" w:color="auto" w:fill="auto"/>
          <w:lang w:val="en-US" w:eastAsia="zh-CN"/>
        </w:rPr>
        <w:t xml:space="preserve"> 详见附件《报价清单》。  </w:t>
      </w:r>
    </w:p>
    <w:p w14:paraId="22768D9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 xml:space="preserve">乙方施工期间可使用甲方现场已有设施，甲方不另提供其他设施。本工程施工的水费、电费由甲方承担（水电接线由乙方负责），乙方自行解决乙方人员的食宿且相关费用由乙方自行承担，并已包含于各项合同单价中，不另行单列计费。 </w:t>
      </w:r>
    </w:p>
    <w:p w14:paraId="4566030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 w:name="_Toc32170"/>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14"/>
    </w:p>
    <w:p w14:paraId="0FAA310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color w:val="auto"/>
          <w:sz w:val="28"/>
          <w:szCs w:val="28"/>
          <w:highlight w:val="none"/>
          <w:lang w:val="en-US" w:eastAsia="zh-CN"/>
        </w:rPr>
        <w:t>。</w:t>
      </w:r>
    </w:p>
    <w:p w14:paraId="51D3182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乙方绘制。</w:t>
      </w:r>
    </w:p>
    <w:p w14:paraId="435567D3">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5" w:name="_Toc27213"/>
      <w:bookmarkStart w:id="16" w:name="_Toc13509"/>
      <w:bookmarkStart w:id="17" w:name="_Toc9670"/>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15"/>
      <w:bookmarkEnd w:id="16"/>
      <w:bookmarkEnd w:id="17"/>
    </w:p>
    <w:p w14:paraId="662D283E">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3.1本项目及所辖的包括用地红线范围内及本工程图纸</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color w:val="auto"/>
          <w:sz w:val="28"/>
          <w:szCs w:val="28"/>
          <w:highlight w:val="none"/>
          <w:lang w:val="en-US" w:eastAsia="zh-CN"/>
        </w:rPr>
        <w:t>即甲方确认的广州市环境保护工程设计院有限公司设计的2024年10月版本工程施工图，详见附件《图纸目录清单》</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color w:val="auto"/>
          <w:sz w:val="28"/>
          <w:szCs w:val="28"/>
          <w:highlight w:val="none"/>
          <w:lang w:val="en-US" w:eastAsia="zh-CN"/>
        </w:rPr>
        <w:t>范围及经甲方权限领导审批的本工程与本项目其他专业施工界限文件（如有）内</w:t>
      </w:r>
      <w:r>
        <w:rPr>
          <w:rFonts w:hint="eastAsia" w:ascii="仿宋" w:hAnsi="仿宋" w:eastAsia="仿宋" w:cs="仿宋"/>
          <w:color w:val="auto"/>
          <w:sz w:val="28"/>
          <w:szCs w:val="28"/>
          <w:highlight w:val="none"/>
          <w:u w:val="single"/>
          <w:lang w:val="en-US" w:eastAsia="zh-CN"/>
        </w:rPr>
        <w:t xml:space="preserve"> 基坑支护 </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等全部相关工程</w:t>
      </w:r>
      <w:r>
        <w:rPr>
          <w:rFonts w:hint="eastAsia" w:ascii="仿宋" w:hAnsi="仿宋" w:eastAsia="仿宋" w:cs="仿宋"/>
          <w:color w:val="auto"/>
          <w:sz w:val="28"/>
          <w:szCs w:val="28"/>
          <w:highlight w:val="none"/>
          <w:lang w:val="en-US" w:eastAsia="zh-CN"/>
        </w:rPr>
        <w:t>由乙方施工（具体施工范围按甲方要求），过程中产生的全部人员报酬、材料（本合同约定的甲供材除外）、机具、施工管理等由乙方解决。</w:t>
      </w:r>
      <w:bookmarkStart w:id="18" w:name="_Toc25442"/>
      <w:bookmarkStart w:id="19" w:name="_Toc22020"/>
      <w:bookmarkStart w:id="20" w:name="_Toc2486"/>
    </w:p>
    <w:p w14:paraId="3008B4DB">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3.2</w:t>
      </w:r>
      <w:r>
        <w:rPr>
          <w:rFonts w:hint="eastAsia" w:ascii="仿宋" w:hAnsi="仿宋" w:eastAsia="仿宋" w:cs="仿宋"/>
          <w:b w:val="0"/>
          <w:bCs w:val="0"/>
          <w:i w:val="0"/>
          <w:iCs w:val="0"/>
          <w:color w:val="auto"/>
          <w:sz w:val="28"/>
          <w:szCs w:val="28"/>
          <w:highlight w:val="none"/>
          <w:shd w:val="clear" w:color="auto" w:fill="auto"/>
          <w:lang w:val="en-US" w:eastAsia="zh-CN"/>
        </w:rPr>
        <w:t>乙方负责承包范围包括并严格按照经过甲方权限审批的工程施工方案（如有）、报价清单、图纸会审文件及甲方要求的书面施工做法等执行，</w:t>
      </w:r>
      <w:bookmarkEnd w:id="18"/>
      <w:bookmarkEnd w:id="19"/>
      <w:bookmarkEnd w:id="20"/>
      <w:bookmarkStart w:id="21" w:name="_Toc7507"/>
      <w:bookmarkStart w:id="22" w:name="_Toc8523"/>
      <w:bookmarkStart w:id="23" w:name="_Toc13389"/>
      <w:r>
        <w:rPr>
          <w:rFonts w:hint="eastAsia" w:ascii="仿宋" w:hAnsi="仿宋" w:eastAsia="仿宋" w:cs="仿宋"/>
          <w:b w:val="0"/>
          <w:bCs w:val="0"/>
          <w:i w:val="0"/>
          <w:iCs w:val="0"/>
          <w:color w:val="auto"/>
          <w:sz w:val="28"/>
          <w:szCs w:val="28"/>
          <w:highlight w:val="none"/>
          <w:shd w:val="clear" w:color="auto" w:fill="auto"/>
          <w:lang w:val="en-US" w:eastAsia="zh-CN"/>
        </w:rPr>
        <w:t>同时，乙方负责施工的内容包括但不限于乙方负责的内容还包括但不限于</w:t>
      </w:r>
      <w:r>
        <w:rPr>
          <w:rFonts w:hint="eastAsia" w:ascii="仿宋" w:hAnsi="仿宋" w:eastAsia="仿宋" w:cs="仿宋"/>
          <w:b w:val="0"/>
          <w:bCs w:val="0"/>
          <w:i w:val="0"/>
          <w:iCs w:val="0"/>
          <w:color w:val="auto"/>
          <w:sz w:val="28"/>
          <w:szCs w:val="28"/>
          <w:highlight w:val="none"/>
          <w:u w:val="none"/>
          <w:lang w:val="en-US" w:eastAsia="zh-CN"/>
        </w:rPr>
        <w:t>：</w:t>
      </w:r>
      <w:bookmarkEnd w:id="21"/>
      <w:bookmarkEnd w:id="22"/>
      <w:bookmarkEnd w:id="23"/>
    </w:p>
    <w:p w14:paraId="4DAF5CF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3.2.1.拉森IV钢板桩，型号SP-IV，长12米；</w:t>
      </w:r>
    </w:p>
    <w:p w14:paraId="7DCBDBD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3.2.2.C20喷射砼h=100mm，三级钢8 @200 *200钢筋网；C20喷射砼h=80mm，三级钢6 @200 *200钢筋网；</w:t>
      </w:r>
    </w:p>
    <w:p w14:paraId="55AC56B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3.2.3.φ50PVC泄水孔，2.0m*2.0m均匀布置；</w:t>
      </w:r>
    </w:p>
    <w:p w14:paraId="37AE41CD">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3.2.4.三级钢16@1500mm插筋，长度1m；</w:t>
      </w:r>
    </w:p>
    <w:p w14:paraId="4485877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3.2.5.基坑护栏，采用φ48钢管搭设，刷红白相间油漆，其间相交部位用扣件联接，护栏挂设密目安全网，底部设挡脚板；</w:t>
      </w:r>
    </w:p>
    <w:p w14:paraId="1879704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3.2.6.基坑上下人梯道（1.2m宽），采用φ48钢管搭设，两侧设护栏并刷红白相间油漆，其间相交部位用扣件联接，护栏挂设密目安全网，梯步采用模板制安并固定牢固；</w:t>
      </w:r>
    </w:p>
    <w:p w14:paraId="1DEDF51B">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3.2.7.基坑排水沟、集水井；</w:t>
      </w:r>
    </w:p>
    <w:p w14:paraId="54EB9B94">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3.2.8.加气块挡土墙。 </w:t>
      </w:r>
    </w:p>
    <w:p w14:paraId="5A75B4C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3.2.9.</w:t>
      </w:r>
      <w:r>
        <w:rPr>
          <w:rFonts w:hint="eastAsia" w:ascii="仿宋" w:hAnsi="仿宋" w:eastAsia="仿宋" w:cs="仿宋"/>
          <w:i w:val="0"/>
          <w:iCs w:val="0"/>
          <w:color w:val="auto"/>
          <w:sz w:val="28"/>
          <w:szCs w:val="28"/>
          <w:highlight w:val="none"/>
          <w:u w:val="none"/>
          <w:shd w:val="clear" w:color="auto" w:fill="auto"/>
          <w:lang w:val="en-US" w:eastAsia="zh-CN"/>
        </w:rPr>
        <w:t>以上所列举工程内容为乙方不完全承包范围，具体以招标施工图纸和清单为准</w:t>
      </w:r>
      <w:r>
        <w:rPr>
          <w:rFonts w:hint="eastAsia" w:ascii="仿宋" w:hAnsi="仿宋" w:eastAsia="仿宋" w:cs="仿宋"/>
          <w:b w:val="0"/>
          <w:bCs w:val="0"/>
          <w:i w:val="0"/>
          <w:iCs w:val="0"/>
          <w:color w:val="auto"/>
          <w:sz w:val="28"/>
          <w:szCs w:val="28"/>
          <w:highlight w:val="none"/>
          <w:u w:val="single"/>
          <w:shd w:val="clear" w:color="auto" w:fill="auto"/>
          <w:lang w:val="en-US" w:eastAsia="zh-CN"/>
        </w:rPr>
        <w:t>所有甲供材由乙方负责场内转运至甲方指定安装点，转运费用已包含在各项合同单价内</w:t>
      </w:r>
      <w:r>
        <w:rPr>
          <w:rFonts w:hint="eastAsia" w:ascii="仿宋" w:hAnsi="仿宋" w:eastAsia="仿宋" w:cs="仿宋"/>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上述3.2.1-3.2.8范围内容仅供乙方参考，</w:t>
      </w:r>
      <w:r>
        <w:rPr>
          <w:rFonts w:hint="eastAsia" w:ascii="仿宋" w:hAnsi="仿宋" w:eastAsia="仿宋" w:cs="仿宋"/>
          <w:color w:val="auto"/>
          <w:sz w:val="28"/>
          <w:szCs w:val="28"/>
          <w:highlight w:val="none"/>
          <w:lang w:val="en-US" w:eastAsia="zh-CN"/>
        </w:rPr>
        <w:t>乙方承包范围以甲方出具的经甲方权限领导审批的临时设施总平面图及相关要求为准。</w:t>
      </w:r>
    </w:p>
    <w:p w14:paraId="2987F45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bookmarkStart w:id="24" w:name="_Toc15548"/>
      <w:bookmarkStart w:id="25" w:name="_Toc15468"/>
      <w:r>
        <w:rPr>
          <w:rFonts w:hint="eastAsia" w:ascii="仿宋" w:hAnsi="仿宋" w:eastAsia="仿宋" w:cs="仿宋"/>
          <w:i w:val="0"/>
          <w:iCs w:val="0"/>
          <w:color w:val="auto"/>
          <w:kern w:val="0"/>
          <w:sz w:val="28"/>
          <w:szCs w:val="28"/>
          <w:highlight w:val="none"/>
          <w:shd w:val="clear" w:color="auto" w:fill="auto"/>
          <w:lang w:val="en-US" w:eastAsia="zh-CN"/>
        </w:rPr>
        <w:t>3.3乙方负责购买其在本项目工作的所有人员的社会保险、工伤保险、人身意外伤害保险，费用已包含在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合同总价中。</w:t>
      </w:r>
    </w:p>
    <w:p w14:paraId="1228B5E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3.4施工现场内，本工程所需材料、机具的运输不另计费。材料进、出场时，乙方派工人上、下车，上下车费用包含在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合同总价内，甲供材料的卸车由乙方负责且费用已包含在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合同总价中，不另行单列计费。</w:t>
      </w:r>
    </w:p>
    <w:p w14:paraId="03A52EC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3.5本工程全部抽水属乙方责任，费用已包含在合同单价内，不另计费。</w:t>
      </w:r>
    </w:p>
    <w:p w14:paraId="4A5D5C8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3.6乙方施工机械设备从工地大门进入工地各点位时，乙方自备钢板铺路等，相关费用已包含在合同单价内，不另行计取。</w:t>
      </w:r>
    </w:p>
    <w:p w14:paraId="006F7FEB">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6" w:name="_Toc17140"/>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24"/>
      <w:bookmarkEnd w:id="25"/>
      <w:bookmarkEnd w:id="26"/>
    </w:p>
    <w:p w14:paraId="339277FB">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FFFFFF" w:themeFill="background1"/>
          <w:lang w:val="en-US" w:eastAsia="zh-CN"/>
        </w:rPr>
      </w:pPr>
      <w:r>
        <w:rPr>
          <w:rFonts w:hint="eastAsia" w:ascii="仿宋" w:hAnsi="仿宋" w:eastAsia="仿宋" w:cs="仿宋"/>
          <w:i w:val="0"/>
          <w:iCs w:val="0"/>
          <w:color w:val="auto"/>
          <w:sz w:val="28"/>
          <w:szCs w:val="28"/>
          <w:highlight w:val="none"/>
          <w:shd w:val="clear" w:color="auto" w:fill="FFFFFF" w:themeFill="background1"/>
          <w:lang w:val="en-US" w:eastAsia="zh-CN"/>
        </w:rPr>
        <w:t>4</w:t>
      </w:r>
      <w:r>
        <w:rPr>
          <w:rFonts w:hint="eastAsia" w:ascii="仿宋" w:hAnsi="仿宋" w:eastAsia="仿宋" w:cs="仿宋"/>
          <w:i w:val="0"/>
          <w:iCs w:val="0"/>
          <w:color w:val="auto"/>
          <w:sz w:val="28"/>
          <w:szCs w:val="28"/>
          <w:highlight w:val="none"/>
          <w:shd w:val="clear" w:color="auto" w:fill="FFFFFF" w:themeFill="background1"/>
        </w:rPr>
        <w:t>.1</w:t>
      </w:r>
      <w:r>
        <w:rPr>
          <w:rFonts w:hint="eastAsia" w:ascii="仿宋" w:hAnsi="仿宋" w:eastAsia="仿宋" w:cs="仿宋"/>
          <w:i w:val="0"/>
          <w:iCs w:val="0"/>
          <w:color w:val="auto"/>
          <w:sz w:val="28"/>
          <w:szCs w:val="28"/>
          <w:highlight w:val="none"/>
          <w:u w:val="none"/>
          <w:shd w:val="clear" w:fill="FFFFFF" w:themeFill="background1"/>
          <w:lang w:val="en-US" w:eastAsia="zh-CN"/>
        </w:rPr>
        <w:t xml:space="preserve"> </w:t>
      </w:r>
      <w:r>
        <w:rPr>
          <w:rFonts w:hint="eastAsia" w:ascii="仿宋" w:hAnsi="仿宋" w:eastAsia="仿宋" w:cs="仿宋"/>
          <w:i w:val="0"/>
          <w:iCs w:val="0"/>
          <w:color w:val="auto"/>
          <w:sz w:val="28"/>
          <w:szCs w:val="28"/>
          <w:highlight w:val="none"/>
          <w:u w:val="none"/>
          <w:shd w:val="clear" w:color="auto" w:fill="FFFFFF" w:themeFill="background1"/>
          <w:lang w:val="en-US" w:eastAsia="zh-CN"/>
        </w:rPr>
        <w:t>本工程合同工期：</w:t>
      </w:r>
    </w:p>
    <w:tbl>
      <w:tblPr>
        <w:tblStyle w:val="15"/>
        <w:tblpPr w:leftFromText="180" w:rightFromText="180" w:vertAnchor="text" w:horzAnchor="page" w:tblpX="1841" w:tblpY="205"/>
        <w:tblOverlap w:val="never"/>
        <w:tblW w:w="482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340"/>
        <w:gridCol w:w="1245"/>
        <w:gridCol w:w="1920"/>
        <w:gridCol w:w="1875"/>
        <w:gridCol w:w="660"/>
      </w:tblGrid>
      <w:tr w14:paraId="6286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78" w:type="pct"/>
            <w:tcBorders>
              <w:tl2br w:val="nil"/>
              <w:tr2bl w:val="nil"/>
            </w:tcBorders>
            <w:noWrap/>
            <w:tcMar>
              <w:top w:w="15" w:type="dxa"/>
              <w:left w:w="15" w:type="dxa"/>
              <w:right w:w="15" w:type="dxa"/>
            </w:tcMar>
            <w:vAlign w:val="center"/>
          </w:tcPr>
          <w:p w14:paraId="79F5182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序号</w:t>
            </w:r>
          </w:p>
        </w:tc>
        <w:tc>
          <w:tcPr>
            <w:tcW w:w="1316" w:type="pct"/>
            <w:tcBorders>
              <w:tl2br w:val="nil"/>
              <w:tr2bl w:val="nil"/>
            </w:tcBorders>
            <w:noWrap/>
            <w:tcMar>
              <w:top w:w="15" w:type="dxa"/>
              <w:left w:w="15" w:type="dxa"/>
              <w:right w:w="15" w:type="dxa"/>
            </w:tcMar>
            <w:vAlign w:val="center"/>
          </w:tcPr>
          <w:p w14:paraId="752CA0CE">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楼栋</w:t>
            </w:r>
          </w:p>
        </w:tc>
        <w:tc>
          <w:tcPr>
            <w:tcW w:w="700" w:type="pct"/>
            <w:tcBorders>
              <w:tl2br w:val="nil"/>
              <w:tr2bl w:val="nil"/>
            </w:tcBorders>
            <w:noWrap/>
            <w:tcMar>
              <w:top w:w="15" w:type="dxa"/>
              <w:left w:w="15" w:type="dxa"/>
              <w:right w:w="15" w:type="dxa"/>
            </w:tcMar>
            <w:vAlign w:val="center"/>
          </w:tcPr>
          <w:p w14:paraId="51C8756D">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合同工期</w:t>
            </w:r>
          </w:p>
          <w:p w14:paraId="4891FAA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（日历天）</w:t>
            </w:r>
          </w:p>
        </w:tc>
        <w:tc>
          <w:tcPr>
            <w:tcW w:w="1079" w:type="pct"/>
            <w:tcBorders>
              <w:tl2br w:val="nil"/>
              <w:tr2bl w:val="nil"/>
            </w:tcBorders>
            <w:noWrap/>
            <w:tcMar>
              <w:top w:w="15" w:type="dxa"/>
              <w:left w:w="15" w:type="dxa"/>
              <w:right w:w="15" w:type="dxa"/>
            </w:tcMar>
            <w:vAlign w:val="center"/>
          </w:tcPr>
          <w:p w14:paraId="58B0D047">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计划进场开工日期</w:t>
            </w:r>
          </w:p>
        </w:tc>
        <w:tc>
          <w:tcPr>
            <w:tcW w:w="1054" w:type="pct"/>
            <w:tcBorders>
              <w:tl2br w:val="nil"/>
              <w:tr2bl w:val="nil"/>
            </w:tcBorders>
            <w:noWrap/>
            <w:tcMar>
              <w:top w:w="15" w:type="dxa"/>
              <w:left w:w="15" w:type="dxa"/>
              <w:right w:w="15" w:type="dxa"/>
            </w:tcMar>
            <w:vAlign w:val="center"/>
          </w:tcPr>
          <w:p w14:paraId="4CA21F55">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计划完工日期</w:t>
            </w:r>
          </w:p>
        </w:tc>
        <w:tc>
          <w:tcPr>
            <w:tcW w:w="371" w:type="pct"/>
            <w:tcBorders>
              <w:tl2br w:val="nil"/>
              <w:tr2bl w:val="nil"/>
            </w:tcBorders>
            <w:noWrap/>
            <w:tcMar>
              <w:top w:w="15" w:type="dxa"/>
              <w:left w:w="15" w:type="dxa"/>
              <w:right w:w="15" w:type="dxa"/>
            </w:tcMar>
            <w:vAlign w:val="center"/>
          </w:tcPr>
          <w:p w14:paraId="49432A9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备 注</w:t>
            </w:r>
          </w:p>
        </w:tc>
      </w:tr>
      <w:tr w14:paraId="2273B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478" w:type="pct"/>
            <w:tcBorders>
              <w:tl2br w:val="nil"/>
              <w:tr2bl w:val="nil"/>
            </w:tcBorders>
            <w:noWrap/>
            <w:tcMar>
              <w:top w:w="15" w:type="dxa"/>
              <w:left w:w="15" w:type="dxa"/>
              <w:right w:w="15" w:type="dxa"/>
            </w:tcMar>
            <w:vAlign w:val="center"/>
          </w:tcPr>
          <w:p w14:paraId="405DC8B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4"/>
                <w:szCs w:val="24"/>
                <w:highlight w:val="none"/>
                <w:shd w:val="clear" w:color="auto" w:fill="auto"/>
              </w:rPr>
            </w:pPr>
            <w:r>
              <w:rPr>
                <w:rFonts w:hint="eastAsia" w:ascii="宋体" w:hAnsi="宋体" w:eastAsia="宋体" w:cs="宋体"/>
                <w:b w:val="0"/>
                <w:bCs w:val="0"/>
                <w:i w:val="0"/>
                <w:iCs w:val="0"/>
                <w:color w:val="auto"/>
                <w:sz w:val="24"/>
                <w:szCs w:val="24"/>
                <w:highlight w:val="none"/>
                <w:shd w:val="clear" w:color="auto" w:fill="auto"/>
                <w:lang w:val="en-US" w:eastAsia="zh-CN"/>
              </w:rPr>
              <w:t>1</w:t>
            </w:r>
          </w:p>
        </w:tc>
        <w:tc>
          <w:tcPr>
            <w:tcW w:w="1316" w:type="pct"/>
            <w:tcBorders>
              <w:tl2br w:val="nil"/>
              <w:tr2bl w:val="nil"/>
            </w:tcBorders>
            <w:noWrap/>
            <w:tcMar>
              <w:top w:w="15" w:type="dxa"/>
              <w:left w:w="15" w:type="dxa"/>
              <w:right w:w="15" w:type="dxa"/>
            </w:tcMar>
            <w:vAlign w:val="center"/>
          </w:tcPr>
          <w:p w14:paraId="5A906C8A">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both"/>
              <w:textAlignment w:val="auto"/>
              <w:rPr>
                <w:rFonts w:hint="default"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cs="宋体"/>
                <w:color w:val="auto"/>
                <w:highlight w:val="none"/>
                <w:lang w:val="en-US" w:eastAsia="zh-CN"/>
              </w:rPr>
              <w:t>本工程等</w:t>
            </w:r>
            <w:r>
              <w:rPr>
                <w:rFonts w:hint="eastAsia" w:ascii="宋体" w:hAnsi="宋体" w:eastAsia="宋体" w:cs="宋体"/>
                <w:color w:val="auto"/>
                <w:highlight w:val="none"/>
              </w:rPr>
              <w:t>配套附属工程</w:t>
            </w:r>
            <w:r>
              <w:rPr>
                <w:rFonts w:hint="eastAsia" w:ascii="宋体" w:hAnsi="宋体" w:cs="宋体"/>
                <w:color w:val="auto"/>
                <w:highlight w:val="none"/>
                <w:lang w:val="en-US" w:eastAsia="zh-CN"/>
              </w:rPr>
              <w:t>的临时设施</w:t>
            </w:r>
          </w:p>
        </w:tc>
        <w:tc>
          <w:tcPr>
            <w:tcW w:w="700" w:type="pct"/>
            <w:tcBorders>
              <w:tl2br w:val="nil"/>
              <w:tr2bl w:val="nil"/>
            </w:tcBorders>
            <w:noWrap/>
            <w:tcMar>
              <w:top w:w="15" w:type="dxa"/>
              <w:left w:w="15" w:type="dxa"/>
              <w:right w:w="15" w:type="dxa"/>
            </w:tcMar>
            <w:vAlign w:val="center"/>
          </w:tcPr>
          <w:p w14:paraId="04C7D9E1">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20</w:t>
            </w:r>
          </w:p>
        </w:tc>
        <w:tc>
          <w:tcPr>
            <w:tcW w:w="1079" w:type="pct"/>
            <w:tcBorders>
              <w:tl2br w:val="nil"/>
              <w:tr2bl w:val="nil"/>
            </w:tcBorders>
            <w:noWrap/>
            <w:tcMar>
              <w:top w:w="15" w:type="dxa"/>
              <w:left w:w="15" w:type="dxa"/>
              <w:right w:w="15" w:type="dxa"/>
            </w:tcMar>
            <w:vAlign w:val="center"/>
          </w:tcPr>
          <w:p w14:paraId="7870E8D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2025年9月2日</w:t>
            </w:r>
          </w:p>
        </w:tc>
        <w:tc>
          <w:tcPr>
            <w:tcW w:w="1054" w:type="pct"/>
            <w:tcBorders>
              <w:tl2br w:val="nil"/>
              <w:tr2bl w:val="nil"/>
            </w:tcBorders>
            <w:noWrap/>
            <w:tcMar>
              <w:top w:w="15" w:type="dxa"/>
              <w:left w:w="15" w:type="dxa"/>
              <w:right w:w="15" w:type="dxa"/>
            </w:tcMar>
            <w:vAlign w:val="center"/>
          </w:tcPr>
          <w:p w14:paraId="1E6C939C">
            <w:pPr>
              <w:ind w:firstLine="210" w:firstLineChars="100"/>
              <w:rPr>
                <w:color w:val="auto"/>
              </w:rPr>
            </w:pPr>
            <w:r>
              <w:rPr>
                <w:rFonts w:hint="eastAsia" w:ascii="宋体" w:hAnsi="宋体" w:eastAsia="宋体" w:cs="宋体"/>
                <w:color w:val="auto"/>
                <w:highlight w:val="none"/>
                <w:lang w:val="en-US" w:eastAsia="zh-CN"/>
              </w:rPr>
              <w:t>2025年9月21日</w:t>
            </w:r>
          </w:p>
        </w:tc>
        <w:tc>
          <w:tcPr>
            <w:tcW w:w="371" w:type="pct"/>
            <w:tcBorders>
              <w:tl2br w:val="nil"/>
              <w:tr2bl w:val="nil"/>
            </w:tcBorders>
            <w:noWrap/>
            <w:tcMar>
              <w:top w:w="15" w:type="dxa"/>
              <w:left w:w="15" w:type="dxa"/>
              <w:right w:w="15" w:type="dxa"/>
            </w:tcMar>
            <w:vAlign w:val="center"/>
          </w:tcPr>
          <w:p w14:paraId="610F6E8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80" w:firstLineChars="200"/>
              <w:jc w:val="both"/>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p>
        </w:tc>
      </w:tr>
    </w:tbl>
    <w:p w14:paraId="33D09DC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FFFFFF" w:themeFill="background1"/>
          <w:lang w:val="en-US" w:eastAsia="zh-CN"/>
        </w:rPr>
      </w:pPr>
      <w:r>
        <w:rPr>
          <w:rFonts w:hint="eastAsia" w:ascii="仿宋" w:hAnsi="仿宋" w:eastAsia="仿宋" w:cs="仿宋"/>
          <w:i w:val="0"/>
          <w:iCs w:val="0"/>
          <w:color w:val="auto"/>
          <w:sz w:val="28"/>
          <w:szCs w:val="28"/>
          <w:highlight w:val="none"/>
          <w:u w:val="none"/>
          <w:shd w:val="clear" w:color="auto" w:fill="FFFFFF" w:themeFill="background1"/>
          <w:lang w:val="en-US" w:eastAsia="zh-CN"/>
        </w:rPr>
        <w:t>工期以全面满足甲方要求为准。甲方通知后 24 小时内，乙方项目现场负责人及主要工作人员须进场开始工作，具体按甲方要求为准，必须满足甲方项目工期要求。</w:t>
      </w:r>
    </w:p>
    <w:p w14:paraId="66A79DD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bookmarkStart w:id="27" w:name="_Toc14867"/>
      <w:bookmarkStart w:id="28" w:name="_Toc22079"/>
      <w:bookmarkStart w:id="29" w:name="_Toc3824"/>
      <w:r>
        <w:rPr>
          <w:rFonts w:hint="eastAsia" w:ascii="仿宋" w:hAnsi="仿宋" w:eastAsia="仿宋" w:cs="仿宋"/>
          <w:i w:val="0"/>
          <w:iCs w:val="0"/>
          <w:color w:val="auto"/>
          <w:sz w:val="28"/>
          <w:szCs w:val="28"/>
          <w:highlight w:val="none"/>
          <w:lang w:val="en-US" w:eastAsia="zh-CN"/>
        </w:rPr>
        <w:t>4.2乙方必须满足甲方的工期要求，配备符合本工程需求的熟练技术</w:t>
      </w:r>
      <w:r>
        <w:rPr>
          <w:rFonts w:hint="eastAsia" w:ascii="仿宋" w:hAnsi="仿宋" w:eastAsia="仿宋" w:cs="仿宋"/>
          <w:i w:val="0"/>
          <w:iCs w:val="0"/>
          <w:color w:val="auto"/>
          <w:sz w:val="28"/>
          <w:szCs w:val="28"/>
          <w:highlight w:val="none"/>
          <w:lang w:val="en-US" w:eastAsia="zh-CN"/>
        </w:rPr>
        <w:t>工人不少于</w:t>
      </w:r>
      <w:r>
        <w:rPr>
          <w:rFonts w:hint="eastAsia" w:ascii="仿宋" w:hAnsi="仿宋" w:eastAsia="仿宋" w:cs="仿宋"/>
          <w:i w:val="0"/>
          <w:iCs w:val="0"/>
          <w:color w:val="auto"/>
          <w:sz w:val="28"/>
          <w:szCs w:val="28"/>
          <w:highlight w:val="none"/>
          <w:u w:val="single"/>
          <w:lang w:val="en-US" w:eastAsia="zh-CN"/>
        </w:rPr>
        <w:t xml:space="preserve"> 15 </w:t>
      </w:r>
      <w:r>
        <w:rPr>
          <w:rFonts w:hint="eastAsia" w:ascii="仿宋" w:hAnsi="仿宋" w:eastAsia="仿宋" w:cs="仿宋"/>
          <w:i w:val="0"/>
          <w:iCs w:val="0"/>
          <w:color w:val="auto"/>
          <w:sz w:val="28"/>
          <w:szCs w:val="28"/>
          <w:highlight w:val="none"/>
          <w:lang w:val="en-US" w:eastAsia="zh-CN"/>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，随时增加或减少乙方人员以满足本工程施工要求。</w:t>
      </w:r>
      <w:r>
        <w:rPr>
          <w:rFonts w:ascii="微软雅黑" w:hAnsi="微软雅黑" w:eastAsia="微软雅黑" w:cs="微软雅黑"/>
          <w:i w:val="0"/>
          <w:iCs w:val="0"/>
          <w:caps w:val="0"/>
          <w:color w:val="auto"/>
          <w:spacing w:val="0"/>
          <w:sz w:val="18"/>
          <w:szCs w:val="18"/>
          <w:shd w:val="clear" w:fill="FFFFFF"/>
        </w:rPr>
        <w:t xml:space="preserve"> </w:t>
      </w:r>
    </w:p>
    <w:p w14:paraId="44202412">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u w:val="single"/>
          <w:shd w:val="clear" w:fill="FFFFFF" w:themeFill="background1"/>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shd w:val="clear" w:fill="FFFFFF" w:themeFill="background1"/>
          <w:lang w:val="en-US" w:eastAsia="zh-CN"/>
        </w:rPr>
        <w:t>.3</w:t>
      </w:r>
      <w:r>
        <w:rPr>
          <w:rFonts w:hint="eastAsia" w:ascii="仿宋" w:hAnsi="仿宋" w:eastAsia="仿宋" w:cs="仿宋"/>
          <w:b w:val="0"/>
          <w:bCs w:val="0"/>
          <w:color w:val="auto"/>
          <w:sz w:val="28"/>
          <w:szCs w:val="28"/>
          <w:highlight w:val="none"/>
          <w:u w:val="single"/>
          <w:shd w:val="clear" w:fill="FFFFFF" w:themeFill="background1"/>
          <w:lang w:val="en-US" w:eastAsia="zh-CN"/>
        </w:rPr>
        <w:t xml:space="preserve"> </w:t>
      </w:r>
      <w:r>
        <w:rPr>
          <w:rFonts w:hint="eastAsia" w:ascii="仿宋" w:hAnsi="仿宋" w:eastAsia="仿宋" w:cs="仿宋"/>
          <w:b w:val="0"/>
          <w:bCs w:val="0"/>
          <w:color w:val="auto"/>
          <w:sz w:val="28"/>
          <w:szCs w:val="28"/>
          <w:highlight w:val="none"/>
          <w:u w:val="single"/>
          <w:shd w:val="clear" w:fill="FFFFFF" w:themeFill="background1"/>
          <w:lang w:val="en-US" w:eastAsia="zh-CN"/>
        </w:rPr>
        <w:t>各种</w:t>
      </w:r>
      <w:r>
        <w:rPr>
          <w:rFonts w:hint="eastAsia" w:ascii="仿宋" w:hAnsi="仿宋" w:eastAsia="仿宋" w:cs="仿宋"/>
          <w:b w:val="0"/>
          <w:bCs w:val="0"/>
          <w:color w:val="auto"/>
          <w:sz w:val="28"/>
          <w:szCs w:val="28"/>
          <w:highlight w:val="none"/>
          <w:u w:val="single"/>
          <w:shd w:val="clear" w:fill="FFFFFF" w:themeFill="background1"/>
          <w:lang w:val="en-US" w:eastAsia="zh-CN"/>
        </w:rPr>
        <w:t>原因引起的工期延误（无论时间长短）导致的相关费用和损失，乙方已综合考虑在各项合同单价里，不向甲方索赔也不要求甲方承担责任。</w:t>
      </w:r>
    </w:p>
    <w:p w14:paraId="5170039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微软雅黑" w:cs="仿宋"/>
          <w:b w:val="0"/>
          <w:bCs w:val="0"/>
          <w:color w:val="auto"/>
          <w:sz w:val="28"/>
          <w:szCs w:val="28"/>
          <w:highlight w:val="none"/>
          <w:u w:val="single"/>
          <w:shd w:val="clear" w:fill="FFFFFF" w:themeFill="background1"/>
          <w:lang w:val="en-US" w:eastAsia="zh-CN"/>
        </w:rPr>
      </w:pPr>
      <w:r>
        <w:rPr>
          <w:rFonts w:hint="eastAsia" w:ascii="仿宋" w:hAnsi="仿宋" w:eastAsia="仿宋" w:cs="仿宋"/>
          <w:b w:val="0"/>
          <w:bCs w:val="0"/>
          <w:color w:val="auto"/>
          <w:sz w:val="28"/>
          <w:szCs w:val="28"/>
          <w:highlight w:val="none"/>
          <w:u w:val="single"/>
          <w:shd w:val="clear" w:fill="FFFFFF" w:themeFill="background1"/>
          <w:lang w:val="en-US" w:eastAsia="zh-CN"/>
        </w:rPr>
        <w:t>4.4拉森钢板桩施打完成并完成内支撑开始计算使用时间，甲方通知钢板桩拔时间为使用截止时间，采用《分包单位签证单》形式办理。</w:t>
      </w:r>
    </w:p>
    <w:p w14:paraId="7212A6B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27"/>
      <w:bookmarkEnd w:id="28"/>
      <w:bookmarkEnd w:id="29"/>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5148A34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标准，且以“主控项目”标准控制，本合同另有约定的亦须同时符合该约定。</w:t>
      </w:r>
    </w:p>
    <w:p w14:paraId="0DD74DD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5.2质量要点：</w:t>
      </w:r>
      <w:bookmarkStart w:id="30" w:name="_Toc2060"/>
      <w:bookmarkStart w:id="31" w:name="_Toc19252"/>
    </w:p>
    <w:p w14:paraId="5D109D2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5.2.1由于乙方原因导致工程任一部位质量达不到约定的质量标准或不符合施工规范的，该部位按相应的合同单价下浮10％结算且乙方无条件完成整改，所发生一切费用由乙方自行承担。</w:t>
      </w:r>
    </w:p>
    <w:p w14:paraId="152B6134">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5.2.2乙方必须以甲方验收合格为标准，无条件的接受返工、整改，工期不得顺延。 </w:t>
      </w:r>
    </w:p>
    <w:p w14:paraId="66F459B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 其它：</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lang w:val="en-US" w:eastAsia="zh-CN"/>
        </w:rPr>
        <w:t>/</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w:t>
      </w:r>
    </w:p>
    <w:p w14:paraId="54B61066">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2" w:name="_Toc31521"/>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0"/>
      <w:bookmarkEnd w:id="31"/>
      <w:bookmarkEnd w:id="32"/>
    </w:p>
    <w:p w14:paraId="5320DFB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工期要求、质量要求及承担合同义务、责任、风险的费用已包括在下列合同价（以打</w:t>
      </w:r>
      <w:r>
        <w:rPr>
          <w:rFonts w:hint="eastAsia" w:ascii="仿宋" w:hAnsi="仿宋" w:eastAsia="仿宋" w:cs="仿宋"/>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rPr>
        <w:t>为准）中。</w:t>
      </w:r>
    </w:p>
    <w:p w14:paraId="0D45946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本合同为固定单价合同，工程量按合同约定的计量规则计算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合同单价（详见附件《报价清单》）为全费用固定综合单价，乙方开具税率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%的增值税专用发票（税率按国家政策执行，如税率调整，合同单价随之调整），除合同另有约定外，合同单价不作任何调整。合同单价包含乙方完成合同附件所述内容的费用。</w:t>
      </w:r>
      <w:r>
        <w:rPr>
          <w:rFonts w:hint="eastAsia" w:ascii="仿宋" w:hAnsi="仿宋" w:eastAsia="仿宋" w:cs="仿宋"/>
          <w:b/>
          <w:bCs/>
          <w:i w:val="0"/>
          <w:iCs w:val="0"/>
          <w:color w:val="auto"/>
          <w:sz w:val="28"/>
          <w:szCs w:val="28"/>
          <w:highlight w:val="none"/>
          <w:lang w:val="en-US" w:eastAsia="zh-CN"/>
        </w:rPr>
        <w:t>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shd w:val="clear" w:color="auto" w:fill="auto"/>
          <w:lang w:val="en-US" w:eastAsia="zh-CN"/>
        </w:rPr>
        <w:t>，此价仅供参考，不作结算用途。</w:t>
      </w:r>
    </w:p>
    <w:p w14:paraId="57A4078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p>
    <w:p w14:paraId="0F360D0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3" w:name="_Toc9761"/>
      <w:bookmarkStart w:id="34" w:name="_Toc32757"/>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合同总价适用于本项目用地红线范围内的全部本工程工作内容，已有价格的子目双方无需另行确定单价，均按已确定价格执行。</w:t>
      </w:r>
    </w:p>
    <w:p w14:paraId="64F480E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2B36CA71">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5" w:name="_Toc19006"/>
      <w:bookmarkStart w:id="36" w:name="_Toc25190"/>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35"/>
      <w:bookmarkEnd w:id="36"/>
    </w:p>
    <w:bookmarkEnd w:id="33"/>
    <w:bookmarkEnd w:id="34"/>
    <w:p w14:paraId="2CB8E19E">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7" w:name="_Toc5184"/>
      <w:bookmarkStart w:id="38" w:name="_Toc26012"/>
      <w:bookmarkStart w:id="39" w:name="_Toc16700"/>
      <w:r>
        <w:rPr>
          <w:rFonts w:hint="eastAsia" w:ascii="仿宋" w:hAnsi="仿宋" w:eastAsia="仿宋" w:cs="仿宋"/>
          <w:b w:val="0"/>
          <w:bCs w:val="0"/>
          <w:color w:val="auto"/>
          <w:sz w:val="28"/>
          <w:szCs w:val="28"/>
          <w:highlight w:val="none"/>
          <w:lang w:val="en-US" w:eastAsia="zh-CN"/>
        </w:rPr>
        <w:t>7.1计量计价原则</w:t>
      </w:r>
      <w:bookmarkEnd w:id="37"/>
    </w:p>
    <w:p w14:paraId="692EC587">
      <w:pPr>
        <w:keepNext w:val="0"/>
        <w:keepLines w:val="0"/>
        <w:pageBreakBefore w:val="0"/>
        <w:widowControl w:val="0"/>
        <w:kinsoku/>
        <w:wordWrap/>
        <w:overflowPunct/>
        <w:topLinePunct w:val="0"/>
        <w:autoSpaceDE/>
        <w:autoSpaceDN/>
        <w:bidi w:val="0"/>
        <w:adjustRightInd w:val="0"/>
        <w:snapToGrid w:val="0"/>
        <w:spacing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bookmarkStart w:id="40" w:name="_Toc21222"/>
      <w:r>
        <w:rPr>
          <w:rFonts w:hint="eastAsia" w:ascii="仿宋" w:hAnsi="仿宋" w:eastAsia="仿宋" w:cs="仿宋"/>
          <w:b w:val="0"/>
          <w:bCs w:val="0"/>
          <w:color w:val="auto"/>
          <w:sz w:val="28"/>
          <w:szCs w:val="28"/>
          <w:highlight w:val="none"/>
          <w:lang w:val="en-US" w:eastAsia="zh-CN"/>
        </w:rPr>
        <w:sym w:font="Wingdings 2" w:char="00A3"/>
      </w:r>
      <w:r>
        <w:rPr>
          <w:rFonts w:hint="eastAsia" w:ascii="仿宋" w:hAnsi="仿宋" w:eastAsia="仿宋" w:cs="仿宋"/>
          <w:b w:val="0"/>
          <w:bCs w:val="0"/>
          <w:color w:val="auto"/>
          <w:sz w:val="28"/>
          <w:szCs w:val="28"/>
          <w:highlight w:val="none"/>
          <w:lang w:val="en-US" w:eastAsia="zh-CN"/>
        </w:rPr>
        <w:t>总价包干合同；合同范围内的按合同约定的计算原则执行，合同无约定或合同范围外的签证、变更工程计量方式按本合同相关条款执行。</w:t>
      </w:r>
      <w:bookmarkEnd w:id="40"/>
    </w:p>
    <w:p w14:paraId="0FB8B15E">
      <w:pPr>
        <w:keepNext w:val="0"/>
        <w:keepLines w:val="0"/>
        <w:pageBreakBefore w:val="0"/>
        <w:widowControl w:val="0"/>
        <w:kinsoku/>
        <w:wordWrap/>
        <w:overflowPunct/>
        <w:topLinePunct w:val="0"/>
        <w:autoSpaceDE/>
        <w:autoSpaceDN/>
        <w:bidi w:val="0"/>
        <w:adjustRightInd w:val="0"/>
        <w:snapToGrid w:val="0"/>
        <w:spacing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bookmarkStart w:id="41" w:name="_Toc14534"/>
      <w:r>
        <w:rPr>
          <w:rFonts w:hint="eastAsia" w:ascii="仿宋" w:hAnsi="仿宋" w:eastAsia="仿宋" w:cs="仿宋"/>
          <w:b w:val="0"/>
          <w:bCs w:val="0"/>
          <w:color w:val="auto"/>
          <w:sz w:val="28"/>
          <w:szCs w:val="28"/>
          <w:highlight w:val="none"/>
          <w:lang w:val="en-US" w:eastAsia="zh-CN"/>
        </w:rPr>
        <w:sym w:font="Wingdings 2" w:char="0052"/>
      </w:r>
      <w:r>
        <w:rPr>
          <w:rFonts w:hint="eastAsia" w:ascii="仿宋" w:hAnsi="仿宋" w:eastAsia="仿宋" w:cs="仿宋"/>
          <w:b w:val="0"/>
          <w:bCs w:val="0"/>
          <w:color w:val="auto"/>
          <w:sz w:val="28"/>
          <w:szCs w:val="28"/>
          <w:highlight w:val="none"/>
          <w:lang w:val="en-US" w:eastAsia="zh-CN"/>
        </w:rPr>
        <w:t>固定单价合同：</w:t>
      </w:r>
      <w:r>
        <w:rPr>
          <w:rFonts w:hint="eastAsia" w:ascii="仿宋" w:hAnsi="仿宋" w:eastAsia="仿宋" w:cs="仿宋"/>
          <w:b w:val="0"/>
          <w:bCs w:val="0"/>
          <w:i w:val="0"/>
          <w:iCs w:val="0"/>
          <w:color w:val="auto"/>
          <w:sz w:val="28"/>
          <w:szCs w:val="28"/>
          <w:highlight w:val="none"/>
          <w:shd w:val="clear" w:color="auto" w:fill="auto"/>
          <w:lang w:val="en-US" w:eastAsia="zh-CN"/>
        </w:rPr>
        <w:t>合同范围内的按合同约定的计算原则执行，合同无约定或合同范围外的签证、变更工程计量计价方式按下述7.2~7.3条款及本合同通用条款第六章约定的其他相关条款执行</w:t>
      </w:r>
      <w:r>
        <w:rPr>
          <w:rFonts w:hint="eastAsia" w:ascii="仿宋" w:hAnsi="仿宋" w:eastAsia="仿宋" w:cs="仿宋"/>
          <w:b w:val="0"/>
          <w:bCs w:val="0"/>
          <w:color w:val="auto"/>
          <w:sz w:val="28"/>
          <w:szCs w:val="28"/>
          <w:highlight w:val="none"/>
          <w:lang w:val="en-US" w:eastAsia="zh-CN"/>
        </w:rPr>
        <w:t>。</w:t>
      </w:r>
      <w:bookmarkEnd w:id="41"/>
    </w:p>
    <w:p w14:paraId="43085CC5">
      <w:pPr>
        <w:keepNext w:val="0"/>
        <w:keepLines w:val="0"/>
        <w:pageBreakBefore w:val="0"/>
        <w:widowControl w:val="0"/>
        <w:kinsoku/>
        <w:wordWrap/>
        <w:overflowPunct/>
        <w:topLinePunct w:val="0"/>
        <w:autoSpaceDE/>
        <w:autoSpaceDN/>
        <w:bidi w:val="0"/>
        <w:adjustRightInd w:val="0"/>
        <w:snapToGrid w:val="0"/>
        <w:spacing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bookmarkStart w:id="42" w:name="_Toc1632"/>
      <w:r>
        <w:rPr>
          <w:rFonts w:hint="eastAsia" w:ascii="仿宋" w:hAnsi="仿宋" w:eastAsia="仿宋" w:cs="仿宋"/>
          <w:b w:val="0"/>
          <w:bCs w:val="0"/>
          <w:color w:val="auto"/>
          <w:sz w:val="28"/>
          <w:szCs w:val="28"/>
          <w:highlight w:val="none"/>
          <w:lang w:val="en-US" w:eastAsia="zh-CN"/>
        </w:rPr>
        <w:t>7.2工程量计量规则：</w:t>
      </w:r>
      <w:bookmarkEnd w:id="42"/>
      <w:r>
        <w:rPr>
          <w:rFonts w:hint="eastAsia" w:ascii="仿宋" w:hAnsi="仿宋" w:eastAsia="仿宋" w:cs="仿宋"/>
          <w:b w:val="0"/>
          <w:bCs w:val="0"/>
          <w:color w:val="auto"/>
          <w:sz w:val="28"/>
          <w:szCs w:val="28"/>
          <w:highlight w:val="none"/>
          <w:lang w:val="en-US" w:eastAsia="zh-CN"/>
        </w:rPr>
        <w:t>执行《广东省房屋建筑与装饰工程综合定额(2018年)》、《广东省通用安装工程综合定额(2018年)》、《广东省市政工程综合定额(2018年)》、《广东省园林绿化工程综合定额(2018年)》等定额工程量计算规则、《建筑工程建筑面积计算规范（GB/T50353-2013）》进行计算。</w:t>
      </w:r>
    </w:p>
    <w:p w14:paraId="31DB427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319DA0B8">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580BFE7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0DEB6674">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593310E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02E2FA42">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7.3.2.3合同中没有适用或类似于变更工程的价格，按以下7.3.3条计价规则执行。</w:t>
      </w:r>
    </w:p>
    <w:p w14:paraId="6F3EB868">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0D1D7EE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本工程执行《2018</w:t>
      </w:r>
      <w:r>
        <w:rPr>
          <w:rFonts w:hint="eastAsia" w:ascii="仿宋" w:hAnsi="仿宋" w:eastAsia="仿宋" w:cs="仿宋"/>
          <w:b w:val="0"/>
          <w:bCs w:val="0"/>
          <w:color w:val="auto"/>
          <w:sz w:val="28"/>
          <w:szCs w:val="28"/>
          <w:highlight w:val="none"/>
          <w:lang w:val="en-US" w:eastAsia="zh-CN"/>
        </w:rPr>
        <w:t>广东省建筑与装饰工程综合定额</w:t>
      </w:r>
      <w:r>
        <w:rPr>
          <w:rFonts w:hint="eastAsia" w:ascii="仿宋" w:hAnsi="仿宋" w:eastAsia="仿宋" w:cs="仿宋"/>
          <w:b w:val="0"/>
          <w:bCs w:val="0"/>
          <w:i w:val="0"/>
          <w:iCs w:val="0"/>
          <w:color w:val="auto"/>
          <w:sz w:val="28"/>
          <w:szCs w:val="28"/>
          <w:highlight w:val="none"/>
          <w:u w:val="none"/>
          <w:shd w:val="clear" w:color="auto" w:fill="auto"/>
          <w:lang w:val="en-US" w:eastAsia="zh-CN"/>
        </w:rPr>
        <w:t>）》、《2018</w:t>
      </w:r>
      <w:r>
        <w:rPr>
          <w:rFonts w:hint="eastAsia" w:ascii="仿宋" w:hAnsi="仿宋" w:eastAsia="仿宋" w:cs="仿宋"/>
          <w:b w:val="0"/>
          <w:bCs w:val="0"/>
          <w:color w:val="auto"/>
          <w:sz w:val="28"/>
          <w:szCs w:val="28"/>
          <w:highlight w:val="none"/>
          <w:lang w:val="en-US" w:eastAsia="zh-CN"/>
        </w:rPr>
        <w:t>广东省安装工程综合定额</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color w:val="auto"/>
          <w:sz w:val="28"/>
          <w:szCs w:val="28"/>
          <w:highlight w:val="none"/>
          <w:lang w:val="en-US" w:eastAsia="zh-CN"/>
        </w:rPr>
        <w:t>《2018广东省市政工程综合定额》、《2018广东省园林绿化工程综合定额》清单计价程序表</w:t>
      </w:r>
      <w:r>
        <w:rPr>
          <w:rFonts w:hint="eastAsia" w:ascii="仿宋" w:hAnsi="仿宋" w:eastAsia="仿宋" w:cs="仿宋"/>
          <w:b w:val="0"/>
          <w:bCs w:val="0"/>
          <w:i w:val="0"/>
          <w:iCs w:val="0"/>
          <w:color w:val="auto"/>
          <w:sz w:val="28"/>
          <w:szCs w:val="28"/>
          <w:highlight w:val="none"/>
          <w:u w:val="none"/>
          <w:shd w:val="clear" w:color="auto" w:fill="auto"/>
          <w:lang w:val="en-US" w:eastAsia="zh-CN"/>
        </w:rPr>
        <w:t>。采用清单计价，执行《建设工程工程量清单计价规范》（GB50500—2013）；同时执行《广东省建设工程计价依据（2018）》：</w:t>
      </w:r>
      <w:r>
        <w:rPr>
          <w:rFonts w:hint="eastAsia" w:ascii="仿宋" w:hAnsi="仿宋" w:eastAsia="仿宋" w:cs="仿宋"/>
          <w:b w:val="0"/>
          <w:bCs w:val="0"/>
          <w:color w:val="auto"/>
          <w:sz w:val="28"/>
          <w:szCs w:val="28"/>
          <w:highlight w:val="none"/>
          <w:lang w:val="en-US" w:eastAsia="zh-CN"/>
        </w:rPr>
        <w:t>《广东省房屋建筑与装饰工程综合定额(2018年)》、《广东省通用安装工程综合定额(2018年)》、《广东省市政工程综合定额(2018年)》、《广东省园林绿化工程综合定额(2018年)》、《广东省建设工程施工机具台班费用编制规则（2018）》、</w:t>
      </w:r>
      <w:r>
        <w:rPr>
          <w:rFonts w:hint="eastAsia" w:ascii="仿宋" w:hAnsi="仿宋" w:eastAsia="仿宋" w:cs="仿宋"/>
          <w:b w:val="0"/>
          <w:bCs w:val="0"/>
          <w:i w:val="0"/>
          <w:iCs w:val="0"/>
          <w:color w:val="auto"/>
          <w:sz w:val="28"/>
          <w:szCs w:val="28"/>
          <w:highlight w:val="none"/>
          <w:u w:val="none"/>
          <w:shd w:val="clear" w:color="auto" w:fill="auto"/>
          <w:lang w:val="en-US" w:eastAsia="zh-CN"/>
        </w:rPr>
        <w:t>《广东省工程量清单计价指引（2013年）》等以及国家行政主管部门颁布的相关规定文件</w:t>
      </w:r>
      <w:r>
        <w:rPr>
          <w:rFonts w:hint="eastAsia" w:ascii="仿宋" w:hAnsi="仿宋" w:eastAsia="仿宋" w:cs="仿宋"/>
          <w:b w:val="0"/>
          <w:bCs w:val="0"/>
          <w:i w:val="0"/>
          <w:iCs w:val="0"/>
          <w:color w:val="auto"/>
          <w:sz w:val="28"/>
          <w:szCs w:val="28"/>
          <w:highlight w:val="none"/>
          <w:lang w:val="en-US" w:eastAsia="zh-CN"/>
        </w:rPr>
        <w:t>。</w:t>
      </w:r>
    </w:p>
    <w:p w14:paraId="34178D2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本项目所在地建设工程主管部门颁布的施工同期信息价。信息价上没有颁布的材料，由乙方按施工同期的市场价格合理报价给甲方进行认质认价。报价文件须提供相关证明文件（含材料的厂家、品牌、型号、规格等），经甲方确认综合单价后作为独立费计入总价（计取税金），甲乙双方认质认价的材料不参与任何取费及上下浮。</w:t>
      </w:r>
    </w:p>
    <w:p w14:paraId="5F23F5EA">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1F88B3B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052F6BDC">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b w:val="0"/>
          <w:bCs w:val="0"/>
          <w:color w:val="auto"/>
          <w:sz w:val="28"/>
          <w:szCs w:val="28"/>
          <w:highlight w:val="none"/>
          <w:u w:val="none"/>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val="en-US" w:eastAsia="zh-CN"/>
        </w:rPr>
        <w:t>工程</w:t>
      </w:r>
      <w:r>
        <w:rPr>
          <w:rFonts w:hint="eastAsia" w:ascii="仿宋" w:hAnsi="仿宋" w:eastAsia="仿宋" w:cs="仿宋"/>
          <w:b w:val="0"/>
          <w:bCs w:val="0"/>
          <w:i w:val="0"/>
          <w:iCs w:val="0"/>
          <w:color w:val="auto"/>
          <w:sz w:val="28"/>
          <w:szCs w:val="28"/>
          <w:highlight w:val="none"/>
          <w:lang w:val="en-US" w:eastAsia="zh-CN"/>
        </w:rPr>
        <w:t>按以上计价方式（仅计取人工费和分包提供的材料和机械费）下浮</w:t>
      </w:r>
      <w:r>
        <w:rPr>
          <w:rFonts w:hint="eastAsia" w:ascii="仿宋" w:hAnsi="仿宋" w:eastAsia="仿宋" w:cs="仿宋"/>
          <w:b w:val="0"/>
          <w:bCs w:val="0"/>
          <w:i w:val="0"/>
          <w:iCs w:val="0"/>
          <w:color w:val="auto"/>
          <w:sz w:val="28"/>
          <w:szCs w:val="28"/>
          <w:highlight w:val="none"/>
          <w:u w:val="single"/>
          <w:lang w:val="en-US" w:eastAsia="zh-CN"/>
        </w:rPr>
        <w:t xml:space="preserve">  15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b w:val="0"/>
          <w:bCs w:val="0"/>
          <w:color w:val="auto"/>
          <w:sz w:val="28"/>
          <w:szCs w:val="28"/>
          <w:highlight w:val="none"/>
          <w:u w:val="none"/>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val="en-US" w:eastAsia="zh-CN"/>
        </w:rPr>
        <w:t>工程</w:t>
      </w:r>
      <w:r>
        <w:rPr>
          <w:rFonts w:hint="eastAsia" w:ascii="仿宋" w:hAnsi="仿宋" w:eastAsia="仿宋" w:cs="仿宋"/>
          <w:b w:val="0"/>
          <w:bCs w:val="0"/>
          <w:i w:val="0"/>
          <w:iCs w:val="0"/>
          <w:color w:val="auto"/>
          <w:sz w:val="28"/>
          <w:szCs w:val="28"/>
          <w:highlight w:val="none"/>
          <w:lang w:val="en-US" w:eastAsia="zh-CN"/>
        </w:rPr>
        <w:t>按以上计价方式（仅计取人工费和材料费和机械费）下浮</w:t>
      </w:r>
      <w:r>
        <w:rPr>
          <w:rFonts w:hint="eastAsia" w:ascii="仿宋" w:hAnsi="仿宋" w:eastAsia="仿宋" w:cs="仿宋"/>
          <w:b w:val="0"/>
          <w:bCs w:val="0"/>
          <w:i w:val="0"/>
          <w:iCs w:val="0"/>
          <w:color w:val="auto"/>
          <w:sz w:val="28"/>
          <w:szCs w:val="28"/>
          <w:highlight w:val="none"/>
          <w:u w:val="single"/>
          <w:lang w:val="en-US" w:eastAsia="zh-CN"/>
        </w:rPr>
        <w:t xml:space="preserve"> 25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shd w:val="clear" w:color="auto" w:fill="auto"/>
          <w:lang w:val="en-US" w:eastAsia="zh-CN"/>
        </w:rPr>
        <w:t>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4B0C93BC">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3" w:name="_Toc12752"/>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38"/>
      <w:bookmarkEnd w:id="39"/>
      <w:bookmarkEnd w:id="43"/>
    </w:p>
    <w:p w14:paraId="59557C0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7908F993">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8.</w:t>
      </w:r>
      <w:r>
        <w:rPr>
          <w:rFonts w:hint="eastAsia" w:ascii="仿宋" w:hAnsi="仿宋" w:eastAsia="仿宋" w:cs="仿宋"/>
          <w:color w:val="auto"/>
          <w:sz w:val="28"/>
          <w:szCs w:val="28"/>
          <w:highlight w:val="none"/>
          <w:lang w:val="en-US" w:eastAsia="zh-CN"/>
        </w:rPr>
        <w:t>1.1本工程</w:t>
      </w:r>
      <w:r>
        <w:rPr>
          <w:rFonts w:hint="eastAsia" w:ascii="仿宋" w:hAnsi="仿宋" w:eastAsia="仿宋" w:cs="仿宋"/>
          <w:color w:val="auto"/>
          <w:sz w:val="28"/>
          <w:szCs w:val="28"/>
          <w:highlight w:val="none"/>
        </w:rPr>
        <w:t>完成</w:t>
      </w:r>
      <w:r>
        <w:rPr>
          <w:rFonts w:hint="eastAsia" w:ascii="仿宋" w:hAnsi="仿宋" w:eastAsia="仿宋" w:cs="仿宋"/>
          <w:color w:val="auto"/>
          <w:sz w:val="28"/>
          <w:szCs w:val="28"/>
          <w:highlight w:val="none"/>
          <w:lang w:val="en-US" w:eastAsia="zh-CN"/>
        </w:rPr>
        <w:t>施工并</w:t>
      </w:r>
      <w:r>
        <w:rPr>
          <w:rFonts w:hint="eastAsia" w:ascii="仿宋" w:hAnsi="仿宋" w:eastAsia="仿宋" w:cs="仿宋"/>
          <w:color w:val="auto"/>
          <w:sz w:val="28"/>
          <w:szCs w:val="28"/>
          <w:highlight w:val="none"/>
        </w:rPr>
        <w:t>经甲方验收合格</w:t>
      </w:r>
      <w:r>
        <w:rPr>
          <w:rFonts w:hint="eastAsia" w:ascii="仿宋" w:hAnsi="仿宋" w:eastAsia="仿宋" w:cs="仿宋"/>
          <w:color w:val="auto"/>
          <w:sz w:val="28"/>
          <w:szCs w:val="28"/>
          <w:highlight w:val="none"/>
          <w:lang w:val="en-US" w:eastAsia="zh-CN"/>
        </w:rPr>
        <w:t>后</w:t>
      </w:r>
      <w:r>
        <w:rPr>
          <w:rFonts w:hint="eastAsia" w:ascii="仿宋" w:hAnsi="仿宋" w:eastAsia="仿宋" w:cs="仿宋"/>
          <w:color w:val="auto"/>
          <w:sz w:val="28"/>
          <w:szCs w:val="28"/>
          <w:highlight w:val="none"/>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乙方把本工程所有资料原件，复印件等全部列清单目录，移交甲方后，</w:t>
      </w:r>
      <w:r>
        <w:rPr>
          <w:rFonts w:hint="eastAsia" w:ascii="仿宋" w:hAnsi="仿宋" w:eastAsia="仿宋" w:cs="仿宋"/>
          <w:color w:val="auto"/>
          <w:sz w:val="28"/>
          <w:szCs w:val="28"/>
          <w:highlight w:val="none"/>
          <w:lang w:val="en-US" w:eastAsia="zh-CN"/>
        </w:rPr>
        <w:t>甲方付至完工且合格的工程量对应造价的80%作为进度款（含乙方工人工资）；</w:t>
      </w:r>
    </w:p>
    <w:p w14:paraId="4B93C49C">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8.1.2</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本工程基坑支护范围内土方回填完成，各种降水已经全面封井完成，</w:t>
      </w:r>
      <w:r>
        <w:rPr>
          <w:rFonts w:hint="eastAsia" w:ascii="仿宋" w:hAnsi="仿宋" w:eastAsia="仿宋" w:cs="仿宋"/>
          <w:color w:val="auto"/>
          <w:sz w:val="28"/>
          <w:szCs w:val="28"/>
          <w:highlight w:val="none"/>
          <w:lang w:val="en-US" w:eastAsia="zh-CN"/>
        </w:rPr>
        <w:t>并</w:t>
      </w:r>
      <w:r>
        <w:rPr>
          <w:rFonts w:hint="eastAsia" w:ascii="仿宋" w:hAnsi="仿宋" w:eastAsia="仿宋" w:cs="仿宋"/>
          <w:color w:val="auto"/>
          <w:sz w:val="28"/>
          <w:szCs w:val="28"/>
          <w:highlight w:val="none"/>
        </w:rPr>
        <w:t>经</w:t>
      </w:r>
      <w:r>
        <w:rPr>
          <w:rFonts w:hint="eastAsia" w:ascii="仿宋" w:hAnsi="仿宋" w:eastAsia="仿宋" w:cs="仿宋"/>
          <w:color w:val="auto"/>
          <w:sz w:val="28"/>
          <w:szCs w:val="28"/>
          <w:highlight w:val="none"/>
          <w:lang w:val="en-US" w:eastAsia="zh-CN"/>
        </w:rPr>
        <w:t>政府</w:t>
      </w:r>
      <w:r>
        <w:rPr>
          <w:rFonts w:hint="eastAsia" w:ascii="仿宋" w:hAnsi="仿宋" w:eastAsia="仿宋" w:cs="仿宋"/>
          <w:color w:val="auto"/>
          <w:sz w:val="28"/>
          <w:szCs w:val="28"/>
          <w:highlight w:val="none"/>
        </w:rPr>
        <w:t>主管部门、建设单位及监理、</w:t>
      </w:r>
      <w:r>
        <w:rPr>
          <w:rFonts w:hint="eastAsia" w:ascii="仿宋" w:hAnsi="仿宋" w:eastAsia="仿宋" w:cs="仿宋"/>
          <w:b w:val="0"/>
          <w:bCs w:val="0"/>
          <w:i w:val="0"/>
          <w:iCs w:val="0"/>
          <w:color w:val="auto"/>
          <w:sz w:val="28"/>
          <w:szCs w:val="28"/>
          <w:highlight w:val="none"/>
          <w:u w:val="none"/>
          <w:shd w:val="clear" w:color="auto" w:fill="auto"/>
          <w:lang w:val="en-US" w:eastAsia="zh-CN"/>
        </w:rPr>
        <w:t>甲方等单位验收合格，乙方向甲方申报结算，</w:t>
      </w:r>
      <w:r>
        <w:rPr>
          <w:rFonts w:hint="eastAsia" w:ascii="仿宋" w:hAnsi="仿宋" w:eastAsia="仿宋" w:cs="仿宋"/>
          <w:color w:val="auto"/>
          <w:sz w:val="28"/>
          <w:szCs w:val="28"/>
          <w:highlight w:val="none"/>
        </w:rPr>
        <w:t>双方就结算金额达成书面一致</w:t>
      </w:r>
      <w:r>
        <w:rPr>
          <w:rFonts w:hint="eastAsia" w:ascii="仿宋" w:hAnsi="仿宋" w:eastAsia="仿宋" w:cs="仿宋"/>
          <w:color w:val="auto"/>
          <w:sz w:val="28"/>
          <w:szCs w:val="28"/>
          <w:highlight w:val="none"/>
          <w:lang w:val="en-US" w:eastAsia="zh-CN"/>
        </w:rPr>
        <w:t>且乙方开具金额等于结算总价100%的发票给甲方</w:t>
      </w:r>
      <w:r>
        <w:rPr>
          <w:rFonts w:hint="eastAsia" w:ascii="仿宋" w:hAnsi="仿宋" w:eastAsia="仿宋" w:cs="仿宋"/>
          <w:color w:val="auto"/>
          <w:sz w:val="28"/>
          <w:szCs w:val="28"/>
          <w:highlight w:val="none"/>
        </w:rPr>
        <w:t>后，甲方付至结算总价的</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（含乙方工人工资）。本合同无</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lang w:val="en-US" w:eastAsia="zh-CN"/>
        </w:rPr>
        <w:t>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但</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仍须如实</w:t>
      </w:r>
      <w:r>
        <w:rPr>
          <w:rFonts w:hint="eastAsia" w:ascii="仿宋" w:hAnsi="仿宋" w:eastAsia="仿宋" w:cs="仿宋"/>
          <w:color w:val="auto"/>
          <w:sz w:val="28"/>
          <w:szCs w:val="28"/>
          <w:highlight w:val="none"/>
        </w:rPr>
        <w:t>履行</w:t>
      </w:r>
      <w:r>
        <w:rPr>
          <w:rFonts w:hint="eastAsia" w:ascii="仿宋" w:hAnsi="仿宋" w:eastAsia="仿宋" w:cs="仿宋"/>
          <w:color w:val="auto"/>
          <w:sz w:val="28"/>
          <w:szCs w:val="28"/>
          <w:highlight w:val="none"/>
          <w:lang w:val="en-US" w:eastAsia="zh-CN"/>
        </w:rPr>
        <w:t>合同约定的</w:t>
      </w:r>
      <w:r>
        <w:rPr>
          <w:rFonts w:hint="eastAsia" w:ascii="仿宋" w:hAnsi="仿宋" w:eastAsia="仿宋" w:cs="仿宋"/>
          <w:color w:val="auto"/>
          <w:sz w:val="28"/>
          <w:szCs w:val="28"/>
          <w:highlight w:val="none"/>
        </w:rPr>
        <w:t>保修义务</w:t>
      </w:r>
      <w:r>
        <w:rPr>
          <w:rFonts w:hint="eastAsia" w:ascii="仿宋" w:hAnsi="仿宋" w:eastAsia="仿宋" w:cs="仿宋"/>
          <w:color w:val="auto"/>
          <w:sz w:val="28"/>
          <w:szCs w:val="28"/>
          <w:highlight w:val="none"/>
          <w:lang w:val="en-US" w:eastAsia="zh-CN"/>
        </w:rPr>
        <w:t>及</w:t>
      </w:r>
      <w:r>
        <w:rPr>
          <w:rFonts w:hint="eastAsia" w:ascii="仿宋" w:hAnsi="仿宋" w:eastAsia="仿宋" w:cs="仿宋"/>
          <w:color w:val="auto"/>
          <w:sz w:val="28"/>
          <w:szCs w:val="28"/>
          <w:highlight w:val="none"/>
        </w:rPr>
        <w:t>责任</w:t>
      </w:r>
      <w:r>
        <w:rPr>
          <w:rFonts w:hint="eastAsia" w:ascii="仿宋" w:hAnsi="仿宋" w:eastAsia="仿宋" w:cs="仿宋"/>
          <w:color w:val="auto"/>
          <w:sz w:val="28"/>
          <w:szCs w:val="28"/>
          <w:highlight w:val="none"/>
          <w:lang w:eastAsia="zh-CN"/>
        </w:rPr>
        <w:t>。</w:t>
      </w:r>
    </w:p>
    <w:p w14:paraId="2C5CE72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43B132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w:t>
      </w:r>
    </w:p>
    <w:p w14:paraId="0605DBC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i w:val="0"/>
          <w:iCs w:val="0"/>
          <w:color w:val="auto"/>
          <w:sz w:val="28"/>
          <w:szCs w:val="28"/>
          <w:highlight w:val="none"/>
          <w:lang w:val="en-US" w:eastAsia="zh-CN"/>
        </w:rPr>
      </w:pPr>
      <w:bookmarkStart w:id="44" w:name="_Toc5830"/>
      <w:bookmarkStart w:id="45" w:name="_Toc24215"/>
      <w:r>
        <w:rPr>
          <w:rFonts w:hint="eastAsia" w:ascii="仿宋" w:hAnsi="仿宋" w:eastAsia="仿宋" w:cs="仿宋"/>
          <w:i w:val="0"/>
          <w:iCs w:val="0"/>
          <w:color w:val="auto"/>
          <w:sz w:val="28"/>
          <w:szCs w:val="28"/>
          <w:highlight w:val="none"/>
          <w:lang w:val="en-US" w:eastAsia="zh-CN"/>
        </w:rPr>
        <w:t>8.2</w:t>
      </w:r>
      <w:r>
        <w:rPr>
          <w:rFonts w:hint="eastAsia" w:ascii="仿宋" w:hAnsi="仿宋" w:eastAsia="仿宋" w:cs="仿宋"/>
          <w:b w:val="0"/>
          <w:bCs w:val="0"/>
          <w:i w:val="0"/>
          <w:iCs w:val="0"/>
          <w:color w:val="auto"/>
          <w:sz w:val="28"/>
          <w:szCs w:val="28"/>
          <w:highlight w:val="none"/>
          <w:lang w:val="en-US" w:eastAsia="zh-CN"/>
        </w:rPr>
        <w:t>对报价清单（详见合同附件）之说明清单之“编制依据”不是“审图通过版图纸”的建筑物/构筑物：在建设单位提供“审图通过版图纸”后，如按该图纸计算出来的工程量与报价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报价清单所列工程量偏差≤±3%，则合同暂定总价、付款方式、各建筑物/构筑物的合同暂定价不作调整。</w:t>
      </w:r>
    </w:p>
    <w:p w14:paraId="2EF28AB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8.3</w:t>
      </w:r>
      <w:r>
        <w:rPr>
          <w:rFonts w:hint="eastAsia" w:ascii="仿宋" w:hAnsi="仿宋" w:eastAsia="仿宋" w:cs="仿宋"/>
          <w:b w:val="0"/>
          <w:bCs w:val="0"/>
          <w:i w:val="0"/>
          <w:iCs w:val="0"/>
          <w:color w:val="auto"/>
          <w:sz w:val="28"/>
          <w:szCs w:val="28"/>
          <w:highlight w:val="none"/>
          <w:shd w:val="clear" w:color="auto" w:fill="auto"/>
          <w:lang w:val="en-US" w:eastAsia="zh-CN"/>
        </w:rPr>
        <w:t>合同履约保证金为人民币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 </w:t>
      </w:r>
      <w:r>
        <w:rPr>
          <w:rFonts w:hint="eastAsia" w:ascii="仿宋" w:hAnsi="仿宋" w:eastAsia="仿宋" w:cs="仿宋"/>
          <w:b w:val="0"/>
          <w:bCs w:val="0"/>
          <w:i w:val="0"/>
          <w:iCs w:val="0"/>
          <w:color w:val="auto"/>
          <w:sz w:val="28"/>
          <w:szCs w:val="28"/>
          <w:highlight w:val="none"/>
          <w:shd w:val="clear" w:color="auto" w:fill="auto"/>
          <w:lang w:val="en-US" w:eastAsia="zh-CN"/>
        </w:rPr>
        <w:t>万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6959B9D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6" w:name="_Toc31992"/>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44"/>
      <w:bookmarkEnd w:id="45"/>
      <w:bookmarkEnd w:id="46"/>
    </w:p>
    <w:p w14:paraId="082C54FB">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7" w:name="_Toc5199"/>
      <w:bookmarkStart w:id="48" w:name="_Toc26064"/>
      <w:bookmarkStart w:id="49" w:name="_Toc29715"/>
      <w:bookmarkStart w:id="50" w:name="_Toc15487"/>
      <w:bookmarkStart w:id="51" w:name="_Toc11799"/>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47"/>
      <w:bookmarkEnd w:id="48"/>
      <w:bookmarkEnd w:id="49"/>
      <w:bookmarkEnd w:id="50"/>
      <w:bookmarkEnd w:id="51"/>
    </w:p>
    <w:p w14:paraId="4B61690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9.1.1提供给乙方</w:t>
      </w:r>
      <w:r>
        <w:rPr>
          <w:rFonts w:hint="eastAsia" w:ascii="仿宋" w:hAnsi="仿宋" w:eastAsia="仿宋" w:cs="仿宋"/>
          <w:b w:val="0"/>
          <w:bCs w:val="0"/>
          <w:i w:val="0"/>
          <w:iCs w:val="0"/>
          <w:color w:val="auto"/>
          <w:kern w:val="2"/>
          <w:sz w:val="28"/>
          <w:szCs w:val="28"/>
          <w:highlight w:val="none"/>
          <w:shd w:val="clear" w:color="auto" w:fill="auto"/>
          <w:lang w:val="en-US" w:eastAsia="zh-CN" w:bidi="ar-SA"/>
        </w:rPr>
        <w:t>签章电子版的施工图及地质钻探资料（含图纸变更通知、图纸会审记录等）。</w:t>
      </w:r>
    </w:p>
    <w:p w14:paraId="0C533B5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98238E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w:t>
      </w:r>
      <w:r>
        <w:rPr>
          <w:rFonts w:hint="eastAsia" w:ascii="仿宋" w:hAnsi="仿宋" w:eastAsia="仿宋" w:cs="仿宋"/>
          <w:i w:val="0"/>
          <w:iCs w:val="0"/>
          <w:color w:val="auto"/>
          <w:sz w:val="28"/>
          <w:szCs w:val="28"/>
          <w:highlight w:val="none"/>
          <w:lang w:val="en-US" w:eastAsia="zh-CN"/>
        </w:rPr>
        <w:t>施工前，乙方须仔细阅读本工程相关图纸、资料，并提出合理化建议。因乙方未对图纸等资料进行实际核查而导致的不良后果、责任及损失均由乙方承担</w:t>
      </w:r>
      <w:r>
        <w:rPr>
          <w:rFonts w:hint="eastAsia" w:ascii="仿宋" w:hAnsi="仿宋" w:eastAsia="仿宋" w:cs="仿宋"/>
          <w:b w:val="0"/>
          <w:bCs w:val="0"/>
          <w:i w:val="0"/>
          <w:iCs w:val="0"/>
          <w:color w:val="auto"/>
          <w:sz w:val="28"/>
          <w:szCs w:val="28"/>
          <w:highlight w:val="none"/>
          <w:lang w:val="en-US" w:eastAsia="zh-CN"/>
        </w:rPr>
        <w:t>。</w:t>
      </w:r>
    </w:p>
    <w:p w14:paraId="2D27B4A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乙方必须严格按照甲方、政府主管部门、设计图纸的要求施工。施工过程中，发现有质量问题或异常情形等，须立即向甲方提出书面报告，征得甲方的书面同意方能继续施工。因乙方原因导致的质量事故，由乙方赔偿甲方所有损失。</w:t>
      </w:r>
    </w:p>
    <w:p w14:paraId="1484692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9.2.3乙方须按时完成阶段性施工任务，保证符合甲方的质量、工期要求，因乙方原因导致的工期延误及甲方因此遭受的损失均由乙方赔偿甲方。乙方遵守甲方管理制度，服从甲方管理。</w:t>
      </w:r>
    </w:p>
    <w:p w14:paraId="43E10D0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9.2.4在施工过程中乙方指定专人认真做好施工记录，工程竣工后须及时将资料整理完整，移交甲方资料员。</w:t>
      </w:r>
    </w:p>
    <w:p w14:paraId="3BB4546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9.2.5乙方须保护好自身施工的材料、机械等设备，如有被偷盗、损坏等现象发生，由乙方自行负责。</w:t>
      </w:r>
    </w:p>
    <w:p w14:paraId="41D439C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2" w:name="_Toc26423"/>
      <w:bookmarkStart w:id="53" w:name="_Toc31665"/>
      <w:bookmarkStart w:id="54" w:name="_Toc21635"/>
      <w:bookmarkStart w:id="55" w:name="_Toc24173"/>
      <w:bookmarkStart w:id="56" w:name="_Toc31919"/>
      <w:r>
        <w:rPr>
          <w:rFonts w:hint="eastAsia" w:ascii="仿宋" w:hAnsi="仿宋" w:eastAsia="仿宋" w:cs="仿宋"/>
          <w:b/>
          <w:bCs/>
          <w:i w:val="0"/>
          <w:iCs w:val="0"/>
          <w:color w:val="auto"/>
          <w:sz w:val="28"/>
          <w:szCs w:val="28"/>
          <w:highlight w:val="none"/>
          <w:shd w:val="clear" w:color="auto" w:fill="auto"/>
          <w:lang w:val="en-US" w:eastAsia="zh-CN"/>
        </w:rPr>
        <w:t>第十章、</w:t>
      </w:r>
      <w:bookmarkEnd w:id="52"/>
      <w:bookmarkEnd w:id="53"/>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54"/>
    </w:p>
    <w:p w14:paraId="4340F11A">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10.1</w:t>
      </w:r>
      <w:r>
        <w:rPr>
          <w:rFonts w:hint="eastAsia" w:ascii="仿宋" w:hAnsi="仿宋" w:eastAsia="仿宋" w:cs="仿宋"/>
          <w:i w:val="0"/>
          <w:iCs w:val="0"/>
          <w:color w:val="auto"/>
          <w:sz w:val="28"/>
          <w:szCs w:val="28"/>
          <w:highlight w:val="none"/>
          <w:lang w:val="en-US" w:eastAsia="zh-CN"/>
        </w:rPr>
        <w:t>乙方使用的甲供材料以甲方出入库单所列数据为准，乙方参加甲供材的验收、签收与出库。</w:t>
      </w:r>
      <w:r>
        <w:rPr>
          <w:rFonts w:hint="eastAsia" w:ascii="仿宋" w:hAnsi="仿宋" w:eastAsia="仿宋" w:cs="仿宋"/>
          <w:b w:val="0"/>
          <w:bCs w:val="0"/>
          <w:i w:val="0"/>
          <w:iCs w:val="0"/>
          <w:color w:val="auto"/>
          <w:sz w:val="28"/>
          <w:szCs w:val="28"/>
          <w:highlight w:val="none"/>
          <w:u w:val="none"/>
          <w:lang w:val="en-US" w:eastAsia="zh-CN"/>
        </w:rPr>
        <w:t>甲供材损耗率为</w:t>
      </w:r>
      <w:r>
        <w:rPr>
          <w:rFonts w:hint="eastAsia" w:ascii="仿宋" w:hAnsi="仿宋" w:eastAsia="仿宋" w:cs="仿宋"/>
          <w:b w:val="0"/>
          <w:bCs w:val="0"/>
          <w:i w:val="0"/>
          <w:iCs w:val="0"/>
          <w:color w:val="auto"/>
          <w:sz w:val="28"/>
          <w:szCs w:val="28"/>
          <w:highlight w:val="none"/>
          <w:u w:val="single"/>
          <w:lang w:val="en-US" w:eastAsia="zh-CN"/>
        </w:rPr>
        <w:t xml:space="preserve">  2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材料甲方采购</w:t>
      </w:r>
      <w:r>
        <w:rPr>
          <w:rFonts w:hint="eastAsia" w:ascii="仿宋" w:hAnsi="仿宋" w:eastAsia="仿宋" w:cs="仿宋"/>
          <w:b w:val="0"/>
          <w:bCs w:val="0"/>
          <w:i w:val="0"/>
          <w:iCs w:val="0"/>
          <w:color w:val="auto"/>
          <w:sz w:val="28"/>
          <w:szCs w:val="28"/>
          <w:highlight w:val="none"/>
        </w:rPr>
        <w:t>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i w:val="0"/>
          <w:iCs w:val="0"/>
          <w:color w:val="auto"/>
          <w:sz w:val="28"/>
          <w:szCs w:val="28"/>
          <w:highlight w:val="none"/>
          <w:shd w:val="clear" w:color="auto" w:fill="auto"/>
          <w:lang w:val="en-US" w:eastAsia="zh-CN"/>
        </w:rPr>
        <w:t>。</w:t>
      </w:r>
    </w:p>
    <w:p w14:paraId="271C69A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auto"/>
          <w:sz w:val="28"/>
          <w:szCs w:val="28"/>
          <w:highlight w:val="none"/>
          <w:u w:val="single"/>
          <w:lang w:val="en-US" w:eastAsia="zh-CN"/>
        </w:rPr>
        <w:t>（甲乙方共同签收的数量A-甲乙方共同签名的退还数量B）/甲乙方共同签收的数量A。</w:t>
      </w:r>
    </w:p>
    <w:p w14:paraId="62225454">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10.3.3乙方须自行单独向甲方申请，独立保存，独立管理甲方供应材料规格、数量，在签收和退还材料时，甲方乙方本合同执行人共同签名，作为损耗率结算依据</w:t>
      </w:r>
      <w:r>
        <w:rPr>
          <w:rFonts w:hint="eastAsia" w:ascii="仿宋" w:hAnsi="仿宋" w:eastAsia="仿宋" w:cs="仿宋"/>
          <w:i w:val="0"/>
          <w:iCs w:val="0"/>
          <w:color w:val="auto"/>
          <w:sz w:val="28"/>
          <w:szCs w:val="28"/>
          <w:highlight w:val="none"/>
          <w:shd w:val="clear" w:color="auto" w:fill="auto"/>
          <w:lang w:val="en-US" w:eastAsia="zh-CN"/>
        </w:rPr>
        <w:t>。</w:t>
      </w:r>
    </w:p>
    <w:p w14:paraId="74824B5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7" w:name="_Toc32394"/>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55"/>
      <w:bookmarkEnd w:id="56"/>
      <w:bookmarkEnd w:id="57"/>
    </w:p>
    <w:p w14:paraId="196688B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bookmarkStart w:id="58"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76B5C585">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BDA090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w:t>
      </w:r>
      <w:r>
        <w:rPr>
          <w:rFonts w:hint="eastAsia" w:ascii="仿宋" w:hAnsi="仿宋" w:eastAsia="仿宋" w:cs="仿宋"/>
          <w:i w:val="0"/>
          <w:iCs w:val="0"/>
          <w:color w:val="auto"/>
          <w:sz w:val="28"/>
          <w:szCs w:val="28"/>
          <w:highlight w:val="none"/>
          <w:shd w:val="clear" w:color="auto" w:fill="auto"/>
          <w:lang w:val="en-US" w:eastAsia="zh-CN"/>
        </w:rPr>
        <w:t>成</w:t>
      </w:r>
      <w:r>
        <w:rPr>
          <w:rFonts w:hint="eastAsia" w:ascii="仿宋" w:hAnsi="仿宋" w:eastAsia="仿宋" w:cs="仿宋"/>
          <w:i w:val="0"/>
          <w:iCs w:val="0"/>
          <w:color w:val="auto"/>
          <w:sz w:val="28"/>
          <w:szCs w:val="28"/>
          <w:highlight w:val="none"/>
          <w:shd w:val="clear" w:color="auto" w:fill="auto"/>
        </w:rPr>
        <w:t>，乙方自检符合质量要求后提请甲方及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w:t>
      </w:r>
      <w:r>
        <w:rPr>
          <w:rFonts w:hint="eastAsia" w:ascii="仿宋" w:hAnsi="仿宋" w:eastAsia="仿宋" w:cs="仿宋"/>
          <w:i w:val="0"/>
          <w:iCs w:val="0"/>
          <w:color w:val="auto"/>
          <w:sz w:val="28"/>
          <w:szCs w:val="28"/>
          <w:highlight w:val="none"/>
          <w:shd w:val="clear" w:color="auto" w:fill="auto"/>
          <w:lang w:val="en-US" w:eastAsia="zh-CN"/>
        </w:rPr>
        <w:t>返</w:t>
      </w:r>
      <w:r>
        <w:rPr>
          <w:rFonts w:hint="eastAsia" w:ascii="仿宋" w:hAnsi="仿宋" w:eastAsia="仿宋" w:cs="仿宋"/>
          <w:i w:val="0"/>
          <w:iCs w:val="0"/>
          <w:color w:val="auto"/>
          <w:sz w:val="28"/>
          <w:szCs w:val="28"/>
          <w:highlight w:val="none"/>
          <w:shd w:val="clear" w:color="auto" w:fill="auto"/>
        </w:rPr>
        <w:t>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w:t>
      </w:r>
      <w:r>
        <w:rPr>
          <w:rFonts w:hint="eastAsia" w:ascii="仿宋" w:hAnsi="仿宋" w:eastAsia="仿宋" w:cs="仿宋"/>
          <w:i w:val="0"/>
          <w:iCs w:val="0"/>
          <w:color w:val="auto"/>
          <w:sz w:val="28"/>
          <w:szCs w:val="28"/>
          <w:highlight w:val="none"/>
          <w:shd w:val="clear" w:color="auto" w:fill="auto"/>
          <w:lang w:val="en-US" w:eastAsia="zh-CN"/>
        </w:rPr>
        <w:t>返修验收合格之日起</w:t>
      </w:r>
      <w:r>
        <w:rPr>
          <w:rFonts w:hint="eastAsia" w:ascii="仿宋" w:hAnsi="仿宋" w:eastAsia="仿宋" w:cs="仿宋"/>
          <w:i w:val="0"/>
          <w:iCs w:val="0"/>
          <w:color w:val="auto"/>
          <w:sz w:val="28"/>
          <w:szCs w:val="28"/>
          <w:highlight w:val="none"/>
          <w:shd w:val="clear" w:color="auto" w:fill="auto"/>
        </w:rPr>
        <w:t>顺延</w:t>
      </w:r>
      <w:r>
        <w:rPr>
          <w:rFonts w:hint="eastAsia" w:ascii="仿宋" w:hAnsi="仿宋" w:eastAsia="仿宋" w:cs="仿宋"/>
          <w:i w:val="0"/>
          <w:iCs w:val="0"/>
          <w:color w:val="auto"/>
          <w:sz w:val="28"/>
          <w:szCs w:val="28"/>
          <w:highlight w:val="none"/>
          <w:shd w:val="clear" w:color="auto" w:fill="auto"/>
          <w:lang w:eastAsia="zh-CN"/>
        </w:rPr>
        <w:t>。</w:t>
      </w:r>
    </w:p>
    <w:p w14:paraId="191F82A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w:t>
      </w:r>
      <w:r>
        <w:rPr>
          <w:rFonts w:hint="eastAsia" w:ascii="仿宋" w:hAnsi="仿宋" w:eastAsia="仿宋" w:cs="仿宋"/>
          <w:b w:val="0"/>
          <w:bCs w:val="0"/>
          <w:i w:val="0"/>
          <w:iCs w:val="0"/>
          <w:color w:val="auto"/>
          <w:sz w:val="28"/>
          <w:szCs w:val="28"/>
          <w:highlight w:val="none"/>
          <w:shd w:val="clear" w:color="auto" w:fill="auto"/>
          <w:lang w:val="en-US" w:eastAsia="zh-CN"/>
        </w:rPr>
        <w:t>为</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lang w:val="en-US" w:eastAsia="zh-CN"/>
        </w:rPr>
        <w:t xml:space="preserve"> / </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rPr>
        <w:t>年</w:t>
      </w:r>
      <w:r>
        <w:rPr>
          <w:rFonts w:hint="eastAsia" w:ascii="仿宋" w:hAnsi="仿宋" w:eastAsia="仿宋" w:cs="仿宋"/>
          <w:b w:val="0"/>
          <w:bCs w:val="0"/>
          <w:color w:val="auto"/>
          <w:sz w:val="28"/>
          <w:szCs w:val="28"/>
          <w:highlight w:val="none"/>
          <w:u w:val="none"/>
          <w:lang w:eastAsia="zh-CN"/>
        </w:rPr>
        <w:t>，</w:t>
      </w:r>
      <w:r>
        <w:rPr>
          <w:rFonts w:hint="eastAsia" w:ascii="仿宋" w:hAnsi="仿宋" w:eastAsia="仿宋" w:cs="仿宋"/>
          <w:b w:val="0"/>
          <w:bCs w:val="0"/>
          <w:color w:val="auto"/>
          <w:sz w:val="28"/>
          <w:szCs w:val="28"/>
          <w:highlight w:val="none"/>
          <w:u w:val="none"/>
          <w:lang w:val="en-US" w:eastAsia="zh-CN"/>
        </w:rPr>
        <w:t>国家或甲方与本项目建设单位另有更长保修期限规定的，从其规定。</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使用之日起计。</w:t>
      </w:r>
    </w:p>
    <w:bookmarkEnd w:id="58"/>
    <w:p w14:paraId="53DFB949">
      <w:pPr>
        <w:keepNext w:val="0"/>
        <w:keepLines w:val="0"/>
        <w:pageBreakBefore w:val="0"/>
        <w:widowControl w:val="0"/>
        <w:kinsoku/>
        <w:wordWrap/>
        <w:overflowPunct/>
        <w:topLinePunct w:val="0"/>
        <w:autoSpaceDE/>
        <w:autoSpaceDN/>
        <w:bidi w:val="0"/>
        <w:adjustRightInd w:val="0"/>
        <w:snapToGrid w:val="0"/>
        <w:spacing w:before="146" w:beforeLines="50" w:line="54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9" w:name="_Toc14868"/>
      <w:bookmarkStart w:id="60" w:name="_Toc7026"/>
      <w:bookmarkStart w:id="61" w:name="_Toc7932"/>
      <w:bookmarkStart w:id="62" w:name="_Toc3557"/>
      <w:bookmarkStart w:id="63" w:name="_Toc24202"/>
      <w:bookmarkStart w:id="64" w:name="_Toc15001"/>
      <w:bookmarkStart w:id="65" w:name="_Toc10092"/>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59"/>
      <w:bookmarkEnd w:id="60"/>
      <w:bookmarkEnd w:id="61"/>
      <w:bookmarkEnd w:id="62"/>
      <w:bookmarkEnd w:id="63"/>
      <w:bookmarkEnd w:id="64"/>
      <w:bookmarkEnd w:id="65"/>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4EBEE220">
      <w:pPr>
        <w:keepNext w:val="0"/>
        <w:keepLines w:val="0"/>
        <w:pageBreakBefore w:val="0"/>
        <w:widowControl w:val="0"/>
        <w:kinsoku/>
        <w:wordWrap/>
        <w:overflowPunct/>
        <w:topLinePunct w:val="0"/>
        <w:autoSpaceDE/>
        <w:autoSpaceDN/>
        <w:bidi w:val="0"/>
        <w:adjustRightInd w:val="0"/>
        <w:snapToGrid w:val="0"/>
        <w:spacing w:line="54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263F18E7">
      <w:pPr>
        <w:keepNext w:val="0"/>
        <w:keepLines w:val="0"/>
        <w:pageBreakBefore w:val="0"/>
        <w:widowControl w:val="0"/>
        <w:kinsoku/>
        <w:wordWrap/>
        <w:overflowPunct/>
        <w:topLinePunct w:val="0"/>
        <w:autoSpaceDE/>
        <w:autoSpaceDN/>
        <w:bidi w:val="0"/>
        <w:adjustRightInd w:val="0"/>
        <w:snapToGrid w:val="0"/>
        <w:spacing w:line="54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甲方指定</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王振杰 </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为本项目的负责人及甲方合同执行联系人，联系电话：</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13686062220</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eastAsia="zh-CN"/>
        </w:rPr>
        <w:t>未经甲方加盖公章确认，甲方项目负责人及执行联系人、签约代表及其他职员均无权代表甲方做出减损、放弃甲方权利</w:t>
      </w:r>
      <w:r>
        <w:rPr>
          <w:rFonts w:hint="eastAsia" w:ascii="仿宋" w:hAnsi="仿宋" w:eastAsia="仿宋" w:cs="仿宋"/>
          <w:b w:val="0"/>
          <w:bCs w:val="0"/>
          <w:i w:val="0"/>
          <w:iCs w:val="0"/>
          <w:color w:val="auto"/>
          <w:sz w:val="28"/>
          <w:szCs w:val="28"/>
          <w:highlight w:val="none"/>
          <w:shd w:val="clear" w:color="auto" w:fill="auto"/>
          <w:lang w:val="en-US" w:eastAsia="zh-CN"/>
        </w:rPr>
        <w:t>及</w:t>
      </w:r>
      <w:r>
        <w:rPr>
          <w:rFonts w:hint="eastAsia" w:ascii="仿宋" w:hAnsi="仿宋" w:eastAsia="仿宋" w:cs="仿宋"/>
          <w:b w:val="0"/>
          <w:bCs w:val="0"/>
          <w:i w:val="0"/>
          <w:iCs w:val="0"/>
          <w:color w:val="auto"/>
          <w:sz w:val="28"/>
          <w:szCs w:val="28"/>
          <w:highlight w:val="none"/>
          <w:shd w:val="clear" w:color="auto" w:fill="auto"/>
          <w:lang w:eastAsia="zh-CN"/>
        </w:rPr>
        <w:t>乙方义务、乙方责任的行为，也无权做出增加甲方义务的行为。甲方对乙方发出的业务通知等文件，须经甲方项目负责人及</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执行联系人签名并加盖</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项目章（样式详见附件）方为有效，否则为无效文件，仅盖章或者仅签名的文件亦无效。甲方项目负责人、</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执行联系人变更的，甲方将以书面形式通知乙方。</w:t>
      </w:r>
    </w:p>
    <w:p w14:paraId="51F828A7">
      <w:pPr>
        <w:keepNext w:val="0"/>
        <w:keepLines w:val="0"/>
        <w:pageBreakBefore w:val="0"/>
        <w:widowControl w:val="0"/>
        <w:kinsoku/>
        <w:wordWrap/>
        <w:overflowPunct/>
        <w:topLinePunct w:val="0"/>
        <w:autoSpaceDE/>
        <w:autoSpaceDN/>
        <w:bidi w:val="0"/>
        <w:adjustRightInd w:val="0"/>
        <w:snapToGrid w:val="0"/>
        <w:spacing w:line="54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.1.2</w:t>
      </w:r>
      <w:r>
        <w:rPr>
          <w:rFonts w:hint="eastAsia" w:ascii="仿宋" w:hAnsi="仿宋" w:eastAsia="仿宋" w:cs="仿宋"/>
          <w:b w:val="0"/>
          <w:bCs w:val="0"/>
          <w:i w:val="0"/>
          <w:iCs w:val="0"/>
          <w:color w:val="auto"/>
          <w:sz w:val="28"/>
          <w:szCs w:val="28"/>
          <w:highlight w:val="none"/>
          <w:shd w:val="clear" w:color="auto" w:fill="auto"/>
          <w:lang w:eastAsia="zh-CN"/>
        </w:rPr>
        <w:t>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；手机号码：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；微信号：</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lang w:eastAsia="zh-CN"/>
        </w:rPr>
        <w:t>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的合同执行代表，负责与甲方公司总部办理</w:t>
      </w:r>
      <w:r>
        <w:rPr>
          <w:rFonts w:hint="eastAsia" w:ascii="仿宋" w:hAnsi="仿宋" w:eastAsia="仿宋" w:cs="仿宋"/>
          <w:b w:val="0"/>
          <w:bCs w:val="0"/>
          <w:i w:val="0"/>
          <w:iCs w:val="0"/>
          <w:color w:val="auto"/>
          <w:sz w:val="28"/>
          <w:szCs w:val="28"/>
          <w:highlight w:val="none"/>
          <w:shd w:val="clear" w:color="auto" w:fill="auto"/>
          <w:lang w:eastAsia="zh-CN"/>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lang w:eastAsia="zh-CN"/>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款、确定结算金额、领款、签收并签认甲方对乙方违约行为作出的处理通知等行为）。</w:t>
      </w:r>
    </w:p>
    <w:p w14:paraId="455A9756">
      <w:pPr>
        <w:keepNext w:val="0"/>
        <w:keepLines w:val="0"/>
        <w:pageBreakBefore w:val="0"/>
        <w:widowControl w:val="0"/>
        <w:kinsoku/>
        <w:wordWrap/>
        <w:overflowPunct/>
        <w:topLinePunct w:val="0"/>
        <w:autoSpaceDE/>
        <w:autoSpaceDN/>
        <w:bidi w:val="0"/>
        <w:adjustRightInd w:val="0"/>
        <w:snapToGrid w:val="0"/>
        <w:spacing w:line="54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12.1.3</w:t>
      </w:r>
      <w:r>
        <w:rPr>
          <w:rFonts w:hint="eastAsia" w:ascii="仿宋" w:hAnsi="仿宋" w:eastAsia="仿宋" w:cs="仿宋"/>
          <w:b w:val="0"/>
          <w:bCs w:val="0"/>
          <w:i w:val="0"/>
          <w:iCs w:val="0"/>
          <w:color w:val="auto"/>
          <w:sz w:val="28"/>
          <w:szCs w:val="28"/>
          <w:highlight w:val="none"/>
          <w:shd w:val="clear" w:color="auto" w:fill="auto"/>
          <w:lang w:eastAsia="zh-CN"/>
        </w:rPr>
        <w:t>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；手机号码：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；微信号：</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lang w:eastAsia="zh-CN"/>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lang w:eastAsia="zh-CN"/>
        </w:rPr>
        <w:t>施工现场。</w:t>
      </w:r>
    </w:p>
    <w:p w14:paraId="040073DF">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乙方对乙方授权代表及乙方现场负责人的行为均予认可并承担一切责任。乙方如需更换授权或现场负责人，须提前三个工作日书面报经甲方同意，否则不得更换。</w:t>
      </w:r>
    </w:p>
    <w:p w14:paraId="2C3912DE">
      <w:pPr>
        <w:pStyle w:val="14"/>
        <w:rPr>
          <w:rFonts w:hint="eastAsia"/>
          <w:color w:val="auto"/>
          <w:highlight w:val="none"/>
        </w:rPr>
      </w:pPr>
    </w:p>
    <w:p w14:paraId="37A3A270">
      <w:pPr>
        <w:pStyle w:val="14"/>
        <w:rPr>
          <w:rFonts w:hint="eastAsia"/>
          <w:color w:val="auto"/>
          <w:highlight w:val="none"/>
        </w:rPr>
      </w:pPr>
    </w:p>
    <w:p w14:paraId="7CA86AB6">
      <w:pPr>
        <w:pStyle w:val="6"/>
        <w:rPr>
          <w:rFonts w:hint="eastAsia"/>
          <w:color w:val="auto"/>
          <w:highlight w:val="none"/>
        </w:rPr>
      </w:pPr>
    </w:p>
    <w:p w14:paraId="7A51A50C">
      <w:pPr>
        <w:pStyle w:val="6"/>
        <w:rPr>
          <w:rFonts w:hint="eastAsia"/>
          <w:color w:val="auto"/>
          <w:highlight w:val="none"/>
        </w:rPr>
      </w:pPr>
    </w:p>
    <w:p w14:paraId="53E42222">
      <w:pPr>
        <w:pStyle w:val="6"/>
        <w:rPr>
          <w:rFonts w:hint="eastAsia"/>
          <w:color w:val="auto"/>
          <w:highlight w:val="none"/>
        </w:rPr>
      </w:pPr>
    </w:p>
    <w:p w14:paraId="1E7A4B26">
      <w:pPr>
        <w:pStyle w:val="6"/>
        <w:rPr>
          <w:rFonts w:hint="eastAsia"/>
          <w:color w:val="auto"/>
          <w:highlight w:val="none"/>
        </w:rPr>
      </w:pPr>
    </w:p>
    <w:p w14:paraId="550D719F">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56B9AB72">
      <w:pPr>
        <w:keepNext w:val="0"/>
        <w:keepLines w:val="0"/>
        <w:pageBreakBefore w:val="0"/>
        <w:widowControl w:val="0"/>
        <w:kinsoku/>
        <w:wordWrap/>
        <w:overflowPunct/>
        <w:topLinePunct w:val="0"/>
        <w:autoSpaceDE/>
        <w:autoSpaceDN/>
        <w:bidi w:val="0"/>
        <w:adjustRightInd w:val="0"/>
        <w:snapToGrid w:val="0"/>
        <w:spacing w:before="0" w:beforeLines="150" w:after="0" w:afterLines="150"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2CADE0AF">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E93E6FB">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380EF155">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7D4C05F2">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1AE762B">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6D020671">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5FDEF9ED">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2B561F62">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2420A95">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65055A2">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EB0B320">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2F7E39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A28BEB6">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03B927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7C3EB94">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F048F4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948BCC2">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66" w:name="_Toc24286"/>
      <w:bookmarkStart w:id="67" w:name="_Toc11507"/>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66"/>
      <w:bookmarkEnd w:id="67"/>
    </w:p>
    <w:p w14:paraId="3B76CC84">
      <w:pPr>
        <w:keepNext w:val="0"/>
        <w:keepLines w:val="0"/>
        <w:pageBreakBefore w:val="0"/>
        <w:widowControl w:val="0"/>
        <w:kinsoku/>
        <w:wordWrap/>
        <w:overflowPunct/>
        <w:topLinePunct w:val="0"/>
        <w:autoSpaceDE/>
        <w:autoSpaceDN/>
        <w:bidi w:val="0"/>
        <w:adjustRightInd w:val="0"/>
        <w:snapToGrid w:val="0"/>
        <w:spacing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8" w:name="_Toc29752"/>
      <w:bookmarkStart w:id="69" w:name="_Toc11047"/>
      <w:bookmarkStart w:id="70" w:name="_Toc21555"/>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68"/>
      <w:bookmarkEnd w:id="69"/>
      <w:bookmarkEnd w:id="70"/>
    </w:p>
    <w:p w14:paraId="6CB36E09">
      <w:pPr>
        <w:keepNext w:val="0"/>
        <w:keepLines w:val="0"/>
        <w:pageBreakBefore w:val="0"/>
        <w:widowControl w:val="0"/>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w:t>
      </w:r>
      <w:r>
        <w:rPr>
          <w:rFonts w:hint="eastAsia" w:ascii="仿宋" w:hAnsi="仿宋" w:eastAsia="仿宋" w:cs="仿宋"/>
          <w:color w:val="auto"/>
          <w:sz w:val="28"/>
          <w:szCs w:val="28"/>
          <w:highlight w:val="none"/>
          <w:lang w:val="en-US" w:eastAsia="zh-CN"/>
        </w:rPr>
        <w:t>包竣工图绘制、</w:t>
      </w:r>
      <w:r>
        <w:rPr>
          <w:rFonts w:hint="eastAsia" w:ascii="仿宋" w:hAnsi="仿宋" w:eastAsia="仿宋" w:cs="仿宋"/>
          <w:color w:val="auto"/>
          <w:sz w:val="28"/>
          <w:szCs w:val="28"/>
          <w:highlight w:val="none"/>
          <w:lang w:val="en-US" w:eastAsia="zh-CN"/>
        </w:rPr>
        <w:t>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用电、包管理、包利润、包税金、包物价上涨、包其他工种配合可能产生的降效及产生的费用、包本工程施工过程中一切风险因素及全部内容及费用。</w:t>
      </w:r>
    </w:p>
    <w:p w14:paraId="36FB853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1" w:name="_Toc19936"/>
      <w:bookmarkStart w:id="72" w:name="_Toc21711"/>
      <w:bookmarkStart w:id="73" w:name="_Toc29690"/>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71"/>
      <w:bookmarkEnd w:id="72"/>
      <w:bookmarkEnd w:id="73"/>
    </w:p>
    <w:p w14:paraId="1FB75A67">
      <w:pPr>
        <w:keepNext w:val="0"/>
        <w:keepLines w:val="0"/>
        <w:pageBreakBefore w:val="0"/>
        <w:widowControl w:val="0"/>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5F10EC77">
      <w:pPr>
        <w:keepNext w:val="0"/>
        <w:keepLines w:val="0"/>
        <w:pageBreakBefore w:val="0"/>
        <w:widowControl w:val="0"/>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2.2乙方已充分了解甲方提供工作面的基层情况，结算时不会因本工程基层清理而要求甲方增补费用。</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C33E0B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2A63607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78D3FA1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4157530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98FCA4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p>
    <w:p w14:paraId="009F2EE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中，不另行单列计费</w:t>
      </w:r>
      <w:r>
        <w:rPr>
          <w:rFonts w:hint="eastAsia" w:ascii="仿宋" w:hAnsi="仿宋" w:eastAsia="仿宋" w:cs="仿宋"/>
          <w:i w:val="0"/>
          <w:iCs w:val="0"/>
          <w:color w:val="auto"/>
          <w:sz w:val="28"/>
          <w:szCs w:val="28"/>
          <w:highlight w:val="none"/>
          <w:shd w:val="clear" w:color="auto" w:fill="auto"/>
        </w:rPr>
        <w:t>。</w:t>
      </w:r>
    </w:p>
    <w:p w14:paraId="3D5FE03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default" w:ascii="仿宋" w:hAnsi="仿宋" w:eastAsia="仿宋" w:cs="仿宋"/>
          <w:b w:val="0"/>
          <w:bCs w:val="0"/>
          <w:color w:val="auto"/>
          <w:sz w:val="28"/>
          <w:szCs w:val="28"/>
          <w:highlight w:val="none"/>
          <w:lang w:val="en-US" w:eastAsia="zh-CN"/>
        </w:rPr>
        <w:t>内，不另行计取</w:t>
      </w:r>
      <w:r>
        <w:rPr>
          <w:rFonts w:hint="eastAsia" w:ascii="仿宋" w:hAnsi="仿宋" w:eastAsia="仿宋" w:cs="仿宋"/>
          <w:b w:val="0"/>
          <w:bCs w:val="0"/>
          <w:color w:val="auto"/>
          <w:sz w:val="28"/>
          <w:szCs w:val="28"/>
          <w:highlight w:val="none"/>
          <w:lang w:val="en-US" w:eastAsia="zh-CN"/>
        </w:rPr>
        <w:t>。</w:t>
      </w:r>
    </w:p>
    <w:p w14:paraId="64CA0D2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4" w:name="_Toc10183"/>
      <w:bookmarkStart w:id="75" w:name="_Toc19073"/>
      <w:bookmarkStart w:id="76" w:name="_Toc8809"/>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4"/>
      <w:bookmarkEnd w:id="75"/>
      <w:bookmarkEnd w:id="76"/>
    </w:p>
    <w:p w14:paraId="315A220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3.1本合同工期为计划工期，实际应开工、竣工时间以甲方书面通知为准，甲方书面通知形式包括不限于微信、短信、传真、电子邮件、纸质文件等，</w:t>
      </w:r>
      <w:r>
        <w:rPr>
          <w:rFonts w:hint="eastAsia" w:ascii="仿宋" w:hAnsi="仿宋" w:eastAsia="仿宋" w:cs="仿宋"/>
          <w:b w:val="0"/>
          <w:bCs w:val="0"/>
          <w:i w:val="0"/>
          <w:iCs w:val="0"/>
          <w:color w:val="auto"/>
          <w:sz w:val="28"/>
          <w:szCs w:val="28"/>
          <w:highlight w:val="none"/>
          <w:u w:val="none"/>
          <w:shd w:val="clear" w:color="auto" w:fill="auto"/>
          <w:lang w:val="en-US" w:eastAsia="zh-CN"/>
        </w:rPr>
        <w:t>乙方收到甲方书面发出的《分包单位开工令》后方可进场，开工时间以开工令通知要求时间为准。</w:t>
      </w:r>
      <w:r>
        <w:rPr>
          <w:rFonts w:hint="eastAsia" w:ascii="仿宋" w:hAnsi="仿宋" w:eastAsia="仿宋" w:cs="仿宋"/>
          <w:i w:val="0"/>
          <w:iCs w:val="0"/>
          <w:color w:val="auto"/>
          <w:sz w:val="28"/>
          <w:szCs w:val="28"/>
          <w:highlight w:val="none"/>
          <w:u w:val="none"/>
          <w:shd w:val="clear" w:color="auto" w:fill="auto"/>
          <w:lang w:val="en-US" w:eastAsia="zh-CN"/>
        </w:rPr>
        <w:t>乙方无条件按甲方要求调整开工、竣工时间。如甲方变更工</w:t>
      </w:r>
      <w:r>
        <w:rPr>
          <w:rFonts w:hint="eastAsia" w:ascii="仿宋" w:hAnsi="仿宋" w:eastAsia="仿宋" w:cs="仿宋"/>
          <w:i w:val="0"/>
          <w:iCs w:val="0"/>
          <w:color w:val="auto"/>
          <w:sz w:val="28"/>
          <w:szCs w:val="28"/>
          <w:highlight w:val="none"/>
          <w:u w:val="none"/>
          <w:shd w:val="clear" w:color="auto" w:fill="auto"/>
          <w:lang w:val="en-US" w:eastAsia="zh-CN"/>
        </w:rPr>
        <w:t>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r>
        <w:rPr>
          <w:rFonts w:hint="eastAsia" w:ascii="仿宋" w:hAnsi="仿宋" w:eastAsia="仿宋" w:cs="仿宋"/>
          <w:i w:val="0"/>
          <w:iCs w:val="0"/>
          <w:color w:val="auto"/>
          <w:sz w:val="28"/>
          <w:szCs w:val="28"/>
          <w:highlight w:val="none"/>
          <w:u w:val="none"/>
          <w:shd w:val="clear" w:color="auto" w:fill="auto"/>
          <w:lang w:val="en-US" w:eastAsia="zh-CN"/>
        </w:rPr>
        <w:t>。</w:t>
      </w:r>
    </w:p>
    <w:p w14:paraId="22E49C0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137208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4455A62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乙方按合同向甲方承担违约金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34F96A7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32CC50F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3E683B5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3.7春节、元旦、五一、十一、周末等法定节假日及技术要求或进度计划要求进行赶工、加班等费用已包含在本合同约定的☑合同单价/□合同总价内，甲方无需另行付费给乙方。</w:t>
      </w:r>
    </w:p>
    <w:p w14:paraId="3445B42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2C4D282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3700797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w:t>
      </w:r>
      <w:r>
        <w:rPr>
          <w:rFonts w:hint="eastAsia" w:ascii="仿宋" w:hAnsi="仿宋" w:eastAsia="仿宋" w:cs="仿宋"/>
          <w:color w:val="auto"/>
          <w:sz w:val="28"/>
          <w:szCs w:val="28"/>
          <w:highlight w:val="none"/>
          <w:u w:val="none"/>
          <w:shd w:val="clear" w:color="auto" w:fill="auto"/>
        </w:rPr>
        <w:t>向甲方承担违约金伍仟元/次</w:t>
      </w:r>
      <w:r>
        <w:rPr>
          <w:rFonts w:hint="eastAsia" w:ascii="仿宋" w:hAnsi="仿宋" w:eastAsia="仿宋" w:cs="仿宋"/>
          <w:i w:val="0"/>
          <w:iCs w:val="0"/>
          <w:color w:val="auto"/>
          <w:sz w:val="28"/>
          <w:szCs w:val="28"/>
          <w:highlight w:val="none"/>
          <w:u w:val="none"/>
          <w:shd w:val="clear" w:color="auto" w:fill="auto"/>
          <w:lang w:val="en-US" w:eastAsia="zh-CN"/>
        </w:rPr>
        <w:t>。</w:t>
      </w:r>
    </w:p>
    <w:p w14:paraId="197FFF4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545CB48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7" w:name="_Toc26647"/>
      <w:bookmarkStart w:id="78" w:name="_Toc12243"/>
      <w:bookmarkStart w:id="79" w:name="_Toc3219"/>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77"/>
      <w:bookmarkEnd w:id="78"/>
      <w:bookmarkEnd w:id="79"/>
    </w:p>
    <w:p w14:paraId="520BCCF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□合同总价下浮5%结算。</w:t>
      </w:r>
      <w:r>
        <w:rPr>
          <w:rFonts w:hint="eastAsia" w:ascii="仿宋" w:hAnsi="仿宋" w:eastAsia="仿宋" w:cs="仿宋"/>
          <w:i w:val="0"/>
          <w:iCs w:val="0"/>
          <w:color w:val="auto"/>
          <w:sz w:val="28"/>
          <w:szCs w:val="28"/>
          <w:highlight w:val="none"/>
          <w:u w:val="none"/>
          <w:shd w:val="clear" w:color="auto" w:fill="auto"/>
        </w:rPr>
        <w:t xml:space="preserve"> </w:t>
      </w:r>
    </w:p>
    <w:p w14:paraId="2A13A95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color w:val="auto"/>
          <w:sz w:val="28"/>
          <w:szCs w:val="28"/>
          <w:highlight w:val="none"/>
          <w:lang w:val="en-US" w:eastAsia="zh-CN"/>
        </w:rPr>
        <w:t>下浮10％结算且乙方无条件完成整改，所发生的一切费用由乙方自行承担。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p>
    <w:p w14:paraId="3A77040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80" w:name="_Toc20800"/>
      <w:bookmarkStart w:id="81" w:name="_Toc14414"/>
      <w:r>
        <w:rPr>
          <w:rFonts w:hint="eastAsia" w:ascii="仿宋" w:hAnsi="仿宋" w:eastAsia="仿宋" w:cs="仿宋"/>
          <w:color w:val="auto"/>
          <w:sz w:val="28"/>
          <w:szCs w:val="28"/>
          <w:highlight w:val="none"/>
          <w:lang w:val="en-US" w:eastAsia="zh-CN"/>
        </w:rPr>
        <w:t>4.3乙供材料收货验收流程及标准</w:t>
      </w:r>
      <w:bookmarkEnd w:id="80"/>
      <w:bookmarkEnd w:id="81"/>
    </w:p>
    <w:p w14:paraId="1A54D2A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自签约之日起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7CD9882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3F4442F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施工周转材料和小型机具，进场前应报甲方项目部备案，做好特殊标记，由备案人员清点后方可使用，无特殊标记的周转材料不得进场，私自进场的不得外运。</w:t>
      </w:r>
    </w:p>
    <w:p w14:paraId="7FD40A3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4.3.2甲方施工员在乙供材料、设备进场时，有权对品牌、规格、型号、质量等进行抽检并拍照留存。乙供材料进场时，乙方须向甲方提供产品出厂合格证、出厂质量证明书等相关资料并在当天移交甲方存档。</w:t>
      </w:r>
    </w:p>
    <w:p w14:paraId="226B868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2A23217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31BA70E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6E2BB58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04EAB9F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2" w:name="_Toc17786"/>
      <w:bookmarkStart w:id="83" w:name="_Toc8460"/>
      <w:bookmarkStart w:id="84" w:name="_Toc26025"/>
      <w:bookmarkStart w:id="85" w:name="_Toc13366"/>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82"/>
      <w:bookmarkEnd w:id="83"/>
      <w:bookmarkEnd w:id="84"/>
      <w:bookmarkEnd w:id="85"/>
    </w:p>
    <w:p w14:paraId="34C4204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6" w:name="_Toc4027"/>
      <w:bookmarkStart w:id="87" w:name="_Toc1479"/>
      <w:bookmarkStart w:id="88" w:name="_Toc12707"/>
      <w:r>
        <w:rPr>
          <w:rFonts w:hint="eastAsia" w:ascii="仿宋" w:hAnsi="仿宋" w:eastAsia="仿宋" w:cs="仿宋"/>
          <w:color w:val="auto"/>
          <w:sz w:val="28"/>
          <w:szCs w:val="28"/>
          <w:highlight w:val="none"/>
          <w:lang w:val="en-US" w:eastAsia="zh-CN"/>
        </w:rPr>
        <w:t>5.1☑合同单价/□合同总价包括乙方完成下述工作及应对下述情况、风险的费用，甲方无需另行付费给乙方：</w:t>
      </w:r>
      <w:bookmarkEnd w:id="86"/>
      <w:bookmarkEnd w:id="87"/>
      <w:bookmarkEnd w:id="88"/>
    </w:p>
    <w:p w14:paraId="1829EFC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EE07234">
      <w:pPr>
        <w:pStyle w:val="3"/>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w:t>
      </w:r>
      <w:r>
        <w:rPr>
          <w:rFonts w:hint="eastAsia" w:ascii="仿宋" w:hAnsi="仿宋" w:eastAsia="仿宋" w:cs="仿宋"/>
          <w:b w:val="0"/>
          <w:bCs w:val="0"/>
          <w:i w:val="0"/>
          <w:iCs w:val="0"/>
          <w:color w:val="auto"/>
          <w:sz w:val="28"/>
          <w:szCs w:val="28"/>
          <w:highlight w:val="none"/>
          <w:u w:val="none"/>
          <w:shd w:val="clear" w:color="auto" w:fill="auto"/>
          <w:lang w:eastAsia="zh-CN"/>
        </w:rPr>
        <w:t>、焊工</w:t>
      </w:r>
      <w:r>
        <w:rPr>
          <w:rFonts w:hint="eastAsia" w:ascii="仿宋" w:hAnsi="仿宋" w:eastAsia="仿宋" w:cs="仿宋"/>
          <w:b w:val="0"/>
          <w:bCs w:val="0"/>
          <w:i w:val="0"/>
          <w:iCs w:val="0"/>
          <w:color w:val="auto"/>
          <w:sz w:val="28"/>
          <w:szCs w:val="28"/>
          <w:highlight w:val="none"/>
          <w:u w:val="none"/>
          <w:shd w:val="clear" w:color="auto" w:fill="auto"/>
          <w:lang w:eastAsia="zh-CN"/>
        </w:rPr>
        <w:t>，且须持证上岗。甲方电工仅对乙方电工进行监督、检查、管理、指导。</w:t>
      </w:r>
    </w:p>
    <w:p w14:paraId="2B648CE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w:t>
      </w:r>
      <w:r>
        <w:rPr>
          <w:rFonts w:hint="eastAsia" w:ascii="仿宋" w:hAnsi="仿宋" w:eastAsia="仿宋" w:cs="仿宋"/>
          <w:b w:val="0"/>
          <w:bCs w:val="0"/>
          <w:i w:val="0"/>
          <w:iCs w:val="0"/>
          <w:color w:val="auto"/>
          <w:sz w:val="28"/>
          <w:szCs w:val="28"/>
          <w:highlight w:val="none"/>
          <w:u w:val="none"/>
          <w:shd w:val="clear" w:color="auto" w:fill="auto"/>
          <w:lang w:val="en-US" w:eastAsia="zh-CN"/>
        </w:rPr>
        <w:t>休息日</w:t>
      </w:r>
      <w:r>
        <w:rPr>
          <w:rFonts w:hint="eastAsia" w:ascii="仿宋" w:hAnsi="仿宋" w:eastAsia="仿宋" w:cs="仿宋"/>
          <w:b w:val="0"/>
          <w:bCs w:val="0"/>
          <w:i w:val="0"/>
          <w:iCs w:val="0"/>
          <w:color w:val="auto"/>
          <w:sz w:val="28"/>
          <w:szCs w:val="28"/>
          <w:highlight w:val="none"/>
          <w:u w:val="none"/>
          <w:shd w:val="clear" w:color="auto" w:fill="auto"/>
          <w:lang w:eastAsia="zh-CN"/>
        </w:rPr>
        <w:t>及技术要求或进度计划要求进行赶工、加班。</w:t>
      </w:r>
    </w:p>
    <w:p w14:paraId="598D596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6604AF4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31B80D2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5.2☑合同单价/□合同总价已考虑突发疫情等流行疾病影响因素，乙方不以疫情防控为由要求甲方对合同价、合同结算办法及工期等合同条款进行调整，防疫措施的一切费用已包含在合同价内，不另计费。</w:t>
      </w:r>
    </w:p>
    <w:p w14:paraId="1A7DA3A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23B84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5.4乙方报送甲方的台班记录单、送货单、对账单等单据中，所表述的各种违背本合同约定的文字内容均无效，乙方承诺均按本合同执行。</w:t>
      </w:r>
    </w:p>
    <w:p w14:paraId="1E479F0E">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9" w:name="_Toc8540"/>
      <w:bookmarkStart w:id="90" w:name="_Toc13078"/>
      <w:bookmarkStart w:id="91" w:name="_Toc17936"/>
      <w:bookmarkStart w:id="92" w:name="_Toc27768"/>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89"/>
      <w:bookmarkEnd w:id="90"/>
      <w:bookmarkEnd w:id="91"/>
      <w:bookmarkEnd w:id="92"/>
    </w:p>
    <w:p w14:paraId="38EB353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5DCCF70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固定单价合同结算方式：结算总价=完成并达到合同标准的工程量×合同单价-合同约定扣除的费用。</w:t>
      </w:r>
    </w:p>
    <w:p w14:paraId="6D71D09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A8"/>
      </w:r>
      <w:r>
        <w:rPr>
          <w:rFonts w:hint="eastAsia" w:ascii="仿宋" w:hAnsi="仿宋" w:eastAsia="仿宋" w:cs="仿宋"/>
          <w:color w:val="auto"/>
          <w:sz w:val="28"/>
          <w:szCs w:val="28"/>
          <w:highlight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2AFDD7EB">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6.2计量依据：</w:t>
      </w:r>
    </w:p>
    <w:p w14:paraId="72D1624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6.2.1甲方招标报价版施工图纸或甲方签认下发的施工图；</w:t>
      </w:r>
    </w:p>
    <w:p w14:paraId="08C566E1">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6.2.2设计变更、甲方与建设单位签认的交楼标准、联系单及签证单；</w:t>
      </w:r>
    </w:p>
    <w:p w14:paraId="6A6DCFD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6.2.3甲方、建设单位、监理签认的竣工图；</w:t>
      </w:r>
    </w:p>
    <w:p w14:paraId="6A8BA34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6.2.4图纸会审纪要；</w:t>
      </w:r>
    </w:p>
    <w:p w14:paraId="006F6934">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6.2.5政府主管部门要求而图纸中没有且建设单位同意施工的内容；</w:t>
      </w:r>
    </w:p>
    <w:p w14:paraId="78098D02">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6.2.6建设单位、监理、甲方、乙方四方测量签字确认的原始场地标高图及场地完成后标高图（适用于土方工程）；</w:t>
      </w:r>
    </w:p>
    <w:p w14:paraId="68B38BFC">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6.2.7建设单位、监理、甲方、乙方四方测量签字确认的打桩记录表、桩位编号图（适用于桩基工程、搅拌桩工程、钢板桩工程、旋挖桩、工法桩等全部桩基工程）；</w:t>
      </w:r>
    </w:p>
    <w:p w14:paraId="388E9830">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6.2.8打拔钢板桩时间记录表（时间以建设单位签字确认的记录表为准）。</w:t>
      </w:r>
    </w:p>
    <w:p w14:paraId="3CDBD9F6">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6.3签证工程管理制度</w:t>
      </w:r>
    </w:p>
    <w:p w14:paraId="4C3537B5">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6.3.1签证必须包括的内容、资料及要求  </w:t>
      </w:r>
    </w:p>
    <w:p w14:paraId="57179CD1">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6.3.1.1签证单签发时间及编号。</w:t>
      </w:r>
    </w:p>
    <w:p w14:paraId="686C143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6.3.1.2签证事实发生的原因、工作内容、完成的工程量。</w:t>
      </w:r>
    </w:p>
    <w:p w14:paraId="133A7D48">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6.3.1.3签证单（含附件：①草签单，②通知单/联系单/设计变更文件，③影像资料等。由乙方按甲方规定的格式填写。）</w:t>
      </w:r>
    </w:p>
    <w:p w14:paraId="3C1027C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6.3.1.4执行签证事实的依据：如建设单位签发的建设单位通知单、联系函、设计变更等文件。</w:t>
      </w:r>
    </w:p>
    <w:p w14:paraId="1196951E">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4D64083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628F772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158A197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6.3.1.8乙方现场执行人签名及印章，内容不清楚、不齐全的签证单或工程量计算单，甲方项目部有权拒收。</w:t>
      </w:r>
    </w:p>
    <w:p w14:paraId="77BB0E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6.3.1.9对同一签证内容，如“甲方与乙方的签证”和“建设单位与甲方的签证”不一致，以较小的量、价对乙方签证确认。</w:t>
      </w:r>
    </w:p>
    <w:p w14:paraId="3CC3CCF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0E4252C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5BD5A33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6.3.1.12</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章的书面文件方为有效签证。甲方项目经理委托/授权他人代签均为无效签证，甲方不予办理付款及结算。任何人的口头指示、通知、电话通知、微信通知不作为结算依据。未经甲方盖</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书面签证确认或乙方超出图纸、合同清单范围施工的工程量，不属于增加工程，不纳入结算</w:t>
      </w:r>
      <w:r>
        <w:rPr>
          <w:rFonts w:hint="eastAsia" w:ascii="仿宋" w:hAnsi="仿宋" w:eastAsia="仿宋" w:cs="仿宋"/>
          <w:color w:val="auto"/>
          <w:sz w:val="28"/>
          <w:szCs w:val="28"/>
          <w:highlight w:val="none"/>
          <w:lang w:eastAsia="zh-CN"/>
        </w:rPr>
        <w:t>。</w:t>
      </w:r>
    </w:p>
    <w:p w14:paraId="4D89FF3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6.3.2乙方申报签证程序</w:t>
      </w:r>
    </w:p>
    <w:p w14:paraId="5816CCF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923C35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6.3.2.2草签单由甲方的施工员、成本管理员、副经理共同现场收方、见证完成并签名，乙方由合同约定的现场执行人签认。</w:t>
      </w:r>
    </w:p>
    <w:p w14:paraId="7FC4FDA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6.3.2.3草签单须提供施工前、施工中、施工后的照片、签证预算书作为乙方向甲方办理“分包签证确认单”的必备附件。</w:t>
      </w:r>
    </w:p>
    <w:p w14:paraId="5DC338F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6.3.3零星工时计价及相关规定</w:t>
      </w:r>
    </w:p>
    <w:p w14:paraId="0AEC60C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6.3.3.1零星用工以分包签证确认单的方式结算，工程量以该签证单确认工程量计算。</w:t>
      </w:r>
    </w:p>
    <w:p w14:paraId="3D2667B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6.3.3.2甲方范围内的零星用工单价：按 230 元/工日（含税）计取。</w:t>
      </w:r>
    </w:p>
    <w:p w14:paraId="58C50CE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60C038D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6.3.3.4零星时工签证要求及申报程序按照本章第6.3条执行。</w:t>
      </w:r>
    </w:p>
    <w:p w14:paraId="25E9218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6.4甲方巡检发现存在质量问题或验收不合格的工程，工程量不予结算。</w:t>
      </w:r>
    </w:p>
    <w:p w14:paraId="7834AEF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6.5因合同中已有施工方案的变化引起的工程价款变化，结算时不再调整（合同中未明确的施工方案除外）。</w:t>
      </w:r>
    </w:p>
    <w:p w14:paraId="5EB8893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7F88DFC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6.7乙方递交的结算资料要求：①递交完整的结算书一式两份（正副本各一份）及电子档文件（计价软件、模型算量要求使用“广联达”，计算表格要求“Excel”格式，图纸要求PDF和 CAD格式）、结算书扫描件、中泰供材确认表。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签证单必须有甲方项目经理签名且加盖甲方项目章方为有效）、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p>
    <w:p w14:paraId="3CADF3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6.8双方办理结算时，乙方必须按甲方要求注明结算金额中的每个地块/组团/楼栋具体金额（以便甲方统计各地块/组团/楼栋的费用），否则甲方有权不结算且不违约。</w:t>
      </w:r>
    </w:p>
    <w:p w14:paraId="0F0BAB1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5CAE29D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789547B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5FA7859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6949562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1A14AB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7D8F5A1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93" w:name="_Toc30160"/>
      <w:bookmarkStart w:id="94" w:name="_Toc5229"/>
      <w:bookmarkStart w:id="95" w:name="_Toc17329"/>
      <w:bookmarkStart w:id="96" w:name="_Toc15975"/>
      <w:bookmarkStart w:id="97" w:name="_Toc12061"/>
      <w:bookmarkStart w:id="98" w:name="_Toc31711"/>
      <w:r>
        <w:rPr>
          <w:rFonts w:hint="eastAsia" w:ascii="仿宋" w:hAnsi="仿宋" w:eastAsia="仿宋" w:cs="仿宋"/>
          <w:color w:val="auto"/>
          <w:sz w:val="28"/>
          <w:szCs w:val="28"/>
          <w:highlight w:val="none"/>
          <w:lang w:val="en-US" w:eastAsia="zh-CN"/>
        </w:rPr>
        <w:t>6.15本工程甲供材损耗率按本合同相关条款执行。</w:t>
      </w:r>
      <w:bookmarkEnd w:id="93"/>
      <w:bookmarkEnd w:id="94"/>
      <w:bookmarkEnd w:id="95"/>
      <w:bookmarkEnd w:id="96"/>
      <w:bookmarkEnd w:id="97"/>
      <w:bookmarkEnd w:id="98"/>
    </w:p>
    <w:p w14:paraId="0361410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7400B8B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6.17如竣工图由乙方绘制，则</w:t>
      </w:r>
      <w:r>
        <w:rPr>
          <w:rFonts w:hint="default" w:ascii="仿宋" w:hAnsi="仿宋" w:eastAsia="仿宋" w:cs="仿宋"/>
          <w:color w:val="auto"/>
          <w:sz w:val="28"/>
          <w:szCs w:val="28"/>
          <w:highlight w:val="none"/>
          <w:lang w:val="en-US" w:eastAsia="zh-CN"/>
        </w:rPr>
        <w:t>乙方承诺按甲方要求编汇竣工图并按甲方要求提报甲方，承诺竣工图内容与现场实际完全相符</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如</w:t>
      </w:r>
      <w:r>
        <w:rPr>
          <w:rFonts w:hint="eastAsia" w:ascii="仿宋" w:hAnsi="仿宋" w:eastAsia="仿宋" w:cs="仿宋"/>
          <w:color w:val="auto"/>
          <w:sz w:val="28"/>
          <w:szCs w:val="28"/>
          <w:highlight w:val="none"/>
          <w:lang w:val="en-US" w:eastAsia="zh-CN"/>
        </w:rPr>
        <w:t>乙方存在</w:t>
      </w:r>
      <w:r>
        <w:rPr>
          <w:rFonts w:hint="default" w:ascii="仿宋" w:hAnsi="仿宋" w:eastAsia="仿宋" w:cs="仿宋"/>
          <w:color w:val="auto"/>
          <w:sz w:val="28"/>
          <w:szCs w:val="28"/>
          <w:highlight w:val="none"/>
          <w:lang w:val="en-US" w:eastAsia="zh-CN"/>
        </w:rPr>
        <w:t>合同内未施工的清单分项、图纸内容或竣工图内容或工程量大于现场实际的情形或虚报等弄虚作假行为，其金额超过</w:t>
      </w:r>
      <w:r>
        <w:rPr>
          <w:rFonts w:hint="eastAsia" w:ascii="仿宋" w:hAnsi="仿宋" w:eastAsia="仿宋" w:cs="仿宋"/>
          <w:color w:val="auto"/>
          <w:sz w:val="28"/>
          <w:szCs w:val="28"/>
          <w:highlight w:val="none"/>
          <w:lang w:val="en-US" w:eastAsia="zh-CN"/>
        </w:rPr>
        <w:t>甲乙</w:t>
      </w:r>
      <w:r>
        <w:rPr>
          <w:rFonts w:hint="default" w:ascii="仿宋" w:hAnsi="仿宋" w:eastAsia="仿宋" w:cs="仿宋"/>
          <w:color w:val="auto"/>
          <w:sz w:val="28"/>
          <w:szCs w:val="28"/>
          <w:highlight w:val="none"/>
          <w:lang w:val="en-US" w:eastAsia="zh-CN"/>
        </w:rPr>
        <w:t>双方最终确认结算价10%</w:t>
      </w:r>
      <w:r>
        <w:rPr>
          <w:rFonts w:hint="eastAsia" w:ascii="仿宋" w:hAnsi="仿宋" w:eastAsia="仿宋" w:cs="仿宋"/>
          <w:color w:val="auto"/>
          <w:sz w:val="28"/>
          <w:szCs w:val="28"/>
          <w:highlight w:val="none"/>
          <w:lang w:val="en-US" w:eastAsia="zh-CN"/>
        </w:rPr>
        <w:t>或</w:t>
      </w:r>
      <w:r>
        <w:rPr>
          <w:rFonts w:hint="default" w:ascii="仿宋" w:hAnsi="仿宋" w:eastAsia="仿宋" w:cs="仿宋"/>
          <w:color w:val="auto"/>
          <w:sz w:val="28"/>
          <w:szCs w:val="28"/>
          <w:highlight w:val="none"/>
          <w:lang w:val="en-US" w:eastAsia="zh-CN"/>
        </w:rPr>
        <w:t>以上的，</w:t>
      </w:r>
      <w:r>
        <w:rPr>
          <w:rFonts w:hint="eastAsia" w:ascii="仿宋" w:hAnsi="仿宋" w:eastAsia="仿宋" w:cs="仿宋"/>
          <w:color w:val="auto"/>
          <w:sz w:val="28"/>
          <w:szCs w:val="28"/>
          <w:highlight w:val="none"/>
          <w:lang w:val="en-US" w:eastAsia="zh-CN"/>
        </w:rPr>
        <w:t>乙方</w:t>
      </w:r>
      <w:r>
        <w:rPr>
          <w:rFonts w:hint="default" w:ascii="仿宋" w:hAnsi="仿宋" w:eastAsia="仿宋" w:cs="仿宋"/>
          <w:color w:val="auto"/>
          <w:sz w:val="28"/>
          <w:szCs w:val="28"/>
          <w:highlight w:val="none"/>
          <w:lang w:val="en-US" w:eastAsia="zh-CN"/>
        </w:rPr>
        <w:t>同意</w:t>
      </w:r>
      <w:r>
        <w:rPr>
          <w:rFonts w:hint="eastAsia" w:ascii="仿宋" w:hAnsi="仿宋" w:eastAsia="仿宋" w:cs="仿宋"/>
          <w:color w:val="auto"/>
          <w:sz w:val="28"/>
          <w:szCs w:val="28"/>
          <w:highlight w:val="none"/>
          <w:lang w:val="en-US" w:eastAsia="zh-CN"/>
        </w:rPr>
        <w:t>赔偿</w:t>
      </w:r>
      <w:r>
        <w:rPr>
          <w:rFonts w:hint="default" w:ascii="仿宋" w:hAnsi="仿宋" w:eastAsia="仿宋" w:cs="仿宋"/>
          <w:color w:val="auto"/>
          <w:sz w:val="28"/>
          <w:szCs w:val="28"/>
          <w:highlight w:val="none"/>
          <w:lang w:val="en-US" w:eastAsia="zh-CN"/>
        </w:rPr>
        <w:t>甲方因此</w:t>
      </w:r>
      <w:r>
        <w:rPr>
          <w:rFonts w:hint="eastAsia" w:ascii="仿宋" w:hAnsi="仿宋" w:eastAsia="仿宋" w:cs="仿宋"/>
          <w:color w:val="auto"/>
          <w:sz w:val="28"/>
          <w:szCs w:val="28"/>
          <w:highlight w:val="none"/>
          <w:lang w:val="en-US" w:eastAsia="zh-CN"/>
        </w:rPr>
        <w:t>遭受</w:t>
      </w:r>
      <w:r>
        <w:rPr>
          <w:rFonts w:hint="default" w:ascii="仿宋" w:hAnsi="仿宋" w:eastAsia="仿宋" w:cs="仿宋"/>
          <w:color w:val="auto"/>
          <w:sz w:val="28"/>
          <w:szCs w:val="28"/>
          <w:highlight w:val="none"/>
          <w:lang w:val="en-US" w:eastAsia="zh-CN"/>
        </w:rPr>
        <w:t>的全部损失并按虚报工程量</w:t>
      </w:r>
      <w:r>
        <w:rPr>
          <w:rFonts w:hint="eastAsia" w:ascii="仿宋" w:hAnsi="仿宋" w:eastAsia="仿宋" w:cs="仿宋"/>
          <w:color w:val="auto"/>
          <w:sz w:val="28"/>
          <w:szCs w:val="28"/>
          <w:highlight w:val="none"/>
          <w:lang w:val="en-US" w:eastAsia="zh-CN"/>
        </w:rPr>
        <w:t>对应</w:t>
      </w:r>
      <w:r>
        <w:rPr>
          <w:rFonts w:hint="default" w:ascii="仿宋" w:hAnsi="仿宋" w:eastAsia="仿宋" w:cs="仿宋"/>
          <w:color w:val="auto"/>
          <w:sz w:val="28"/>
          <w:szCs w:val="28"/>
          <w:highlight w:val="none"/>
          <w:lang w:val="en-US" w:eastAsia="zh-CN"/>
        </w:rPr>
        <w:t>金额的20%</w:t>
      </w:r>
      <w:r>
        <w:rPr>
          <w:rFonts w:hint="eastAsia" w:ascii="仿宋" w:hAnsi="仿宋" w:eastAsia="仿宋" w:cs="仿宋"/>
          <w:color w:val="auto"/>
          <w:sz w:val="28"/>
          <w:szCs w:val="28"/>
          <w:highlight w:val="none"/>
          <w:lang w:val="en-US" w:eastAsia="zh-CN"/>
        </w:rPr>
        <w:t>承担</w:t>
      </w:r>
      <w:r>
        <w:rPr>
          <w:rFonts w:hint="default" w:ascii="仿宋" w:hAnsi="仿宋" w:eastAsia="仿宋" w:cs="仿宋"/>
          <w:color w:val="auto"/>
          <w:sz w:val="28"/>
          <w:szCs w:val="28"/>
          <w:highlight w:val="none"/>
          <w:lang w:val="en-US" w:eastAsia="zh-CN"/>
        </w:rPr>
        <w:t>违约金，违约金在结算</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扣除。违约金</w:t>
      </w:r>
      <w:r>
        <w:rPr>
          <w:rFonts w:hint="eastAsia" w:ascii="仿宋" w:hAnsi="仿宋" w:eastAsia="仿宋" w:cs="仿宋"/>
          <w:color w:val="auto"/>
          <w:sz w:val="28"/>
          <w:szCs w:val="28"/>
          <w:highlight w:val="none"/>
          <w:lang w:val="en-US" w:eastAsia="zh-CN"/>
        </w:rPr>
        <w:t>金额</w:t>
      </w:r>
      <w:r>
        <w:rPr>
          <w:rFonts w:hint="default" w:ascii="仿宋" w:hAnsi="仿宋" w:eastAsia="仿宋" w:cs="仿宋"/>
          <w:color w:val="auto"/>
          <w:sz w:val="28"/>
          <w:szCs w:val="28"/>
          <w:highlight w:val="none"/>
          <w:lang w:val="en-US" w:eastAsia="zh-CN"/>
        </w:rPr>
        <w:t>与</w:t>
      </w:r>
      <w:r>
        <w:rPr>
          <w:rFonts w:hint="eastAsia" w:ascii="仿宋" w:hAnsi="仿宋" w:eastAsia="仿宋" w:cs="仿宋"/>
          <w:color w:val="auto"/>
          <w:sz w:val="28"/>
          <w:szCs w:val="28"/>
          <w:highlight w:val="none"/>
          <w:lang w:val="en-US" w:eastAsia="zh-CN"/>
        </w:rPr>
        <w:t>本</w:t>
      </w:r>
      <w:r>
        <w:rPr>
          <w:rFonts w:hint="default"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val="en-US" w:eastAsia="zh-CN"/>
        </w:rPr>
        <w:t>其他条款约定的金额</w:t>
      </w:r>
      <w:r>
        <w:rPr>
          <w:rFonts w:hint="default" w:ascii="仿宋" w:hAnsi="仿宋" w:eastAsia="仿宋" w:cs="仿宋"/>
          <w:color w:val="auto"/>
          <w:sz w:val="28"/>
          <w:szCs w:val="28"/>
          <w:highlight w:val="none"/>
          <w:lang w:val="en-US" w:eastAsia="zh-CN"/>
        </w:rPr>
        <w:t>不一致</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，按违约金金额高的标准执行。</w:t>
      </w:r>
    </w:p>
    <w:p w14:paraId="2DF93E22">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9" w:name="_Toc11671"/>
      <w:bookmarkStart w:id="100" w:name="_Toc850"/>
      <w:bookmarkStart w:id="101" w:name="_Toc4618"/>
      <w:bookmarkStart w:id="102" w:name="_Toc4997"/>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99"/>
      <w:bookmarkEnd w:id="100"/>
      <w:bookmarkEnd w:id="101"/>
      <w:bookmarkEnd w:id="102"/>
    </w:p>
    <w:p w14:paraId="5D4B58C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25C33081">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199" w:leftChars="-95" w:right="0" w:rightChars="0" w:firstLine="560" w:firstLineChars="200"/>
        <w:jc w:val="both"/>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款时须按甲方要求提交工人工资表等资料，例如：乙方申请3月份</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在4月10日前将3月份实名制报备登记和打卡的《建筑工人工资表》、3月份发放工人工资金额、4月份实名制报备登记和打卡的《建筑工人工资表》、4月份预计发放的工人工资金额作为附件资料提供给甲方项目部</w:t>
      </w:r>
      <w:r>
        <w:rPr>
          <w:rFonts w:hint="eastAsia"/>
          <w:color w:val="auto"/>
          <w:lang w:val="en-US" w:eastAsia="zh-CN"/>
        </w:rPr>
        <w:t>；</w:t>
      </w:r>
      <w:r>
        <w:rPr>
          <w:rFonts w:hint="eastAsia" w:ascii="仿宋" w:hAnsi="仿宋" w:eastAsia="仿宋" w:cs="仿宋"/>
          <w:i w:val="0"/>
          <w:iCs w:val="0"/>
          <w:color w:val="auto"/>
          <w:sz w:val="28"/>
          <w:szCs w:val="28"/>
          <w:highlight w:val="none"/>
          <w:lang w:val="en-US" w:eastAsia="zh-CN"/>
        </w:rPr>
        <w:t>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5EEC236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未达合同进度款支付节点所支付的工人工资约定如下：①应发＞5000元，暂发5000元；②应发≤5000元，暂发80%；③剩余工资于节点/完工时按合同约定付款方式处理；④每月发的工人工资总数不能超过其当月完成产值的60%。</w:t>
      </w:r>
      <w:r>
        <w:rPr>
          <w:rFonts w:hint="eastAsia" w:ascii="仿宋" w:hAnsi="仿宋" w:eastAsia="仿宋" w:cs="仿宋"/>
          <w:i w:val="0"/>
          <w:iCs w:val="0"/>
          <w:color w:val="auto"/>
          <w:sz w:val="28"/>
          <w:szCs w:val="28"/>
          <w:highlight w:val="none"/>
          <w:lang w:val="en-US" w:eastAsia="zh-CN"/>
        </w:rPr>
        <w:t>若乙方当次申请的、达到付款条件的合同款金额支付当次待付工人工资后尚有余额，</w:t>
      </w:r>
      <w:r>
        <w:rPr>
          <w:rFonts w:hint="eastAsia" w:ascii="仿宋" w:hAnsi="仿宋" w:eastAsia="仿宋" w:cs="仿宋"/>
          <w:i w:val="0"/>
          <w:iCs w:val="0"/>
          <w:color w:val="auto"/>
          <w:sz w:val="28"/>
          <w:szCs w:val="28"/>
          <w:highlight w:val="none"/>
          <w:lang w:val="en-US" w:eastAsia="zh-CN"/>
        </w:rPr>
        <w:t>甲方有权根据乙方现场工人情况进行预留款项，预留款项甲方用于保障通过工人工资户代发乙方工人工资，甲方预留款项的行为不视为逾期付款，乙方不得以任何理由认定甲方违约，预留款项后仍有余额的，余额</w:t>
      </w:r>
      <w:r>
        <w:rPr>
          <w:rFonts w:hint="eastAsia" w:ascii="仿宋" w:hAnsi="仿宋" w:eastAsia="仿宋" w:cs="仿宋"/>
          <w:i w:val="0"/>
          <w:iCs w:val="0"/>
          <w:color w:val="auto"/>
          <w:sz w:val="28"/>
          <w:szCs w:val="28"/>
          <w:highlight w:val="none"/>
          <w:lang w:val="en-US" w:eastAsia="zh-CN"/>
        </w:rPr>
        <w:t>由甲方直接支付至乙方公司账户。</w:t>
      </w:r>
    </w:p>
    <w:p w14:paraId="566656A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代付款、赔偿及违约金等所有应付款项，否则甲方有权不付款。凡甲方收取的款项（包括但不限于：各类押金、保证金、违约金、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61BA21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033C2AD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但不限于《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17F67A7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7.5乙方每次向甲方请款时，须提供齐全的款项审批资料(包括《建筑工人工资表》等)给甲方，并按甲方要求注明该次请款所含的每个组团、每个地块、每栋楼具体金额，否则甲方有权不付款且不违约。</w:t>
      </w:r>
    </w:p>
    <w:p w14:paraId="249A2D2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2ABACF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44C7DC3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7.8甲乙双方完成本工程结算且结算款（不含保修金）支付完毕后，视为乙方关于除保修金外的合同款收付事宜的全部权利全部消灭，乙方不得基于合同款收付事宜向甲方提出任何权利主张或追索其他任何费用。</w:t>
      </w:r>
    </w:p>
    <w:p w14:paraId="4C4F3C4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4A1FF9D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就此对乙方按1000元/人/次收取违约金。</w:t>
      </w:r>
    </w:p>
    <w:p w14:paraId="6C4BCB6A">
      <w:pPr>
        <w:keepNext w:val="0"/>
        <w:keepLines w:val="0"/>
        <w:pageBreakBefore w:val="0"/>
        <w:widowControl w:val="0"/>
        <w:kinsoku/>
        <w:wordWrap/>
        <w:overflowPunct/>
        <w:topLinePunct w:val="0"/>
        <w:autoSpaceDE/>
        <w:autoSpaceDN/>
        <w:bidi w:val="0"/>
        <w:adjustRightInd w:val="0"/>
        <w:spacing w:line="480" w:lineRule="exact"/>
        <w:ind w:left="-197" w:leftChars="-94" w:firstLine="560"/>
        <w:textAlignment w:val="auto"/>
        <w:rPr>
          <w:rFonts w:hint="eastAsia"/>
          <w:color w:val="auto"/>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7.11如乙方申报了乙方不在本项目工作人员的工人工资，属于乙方违约，由此所导致的一切后果和全部责任由乙方承担，同时甲方对乙方此违约行为按1000元/人/次收取违约金。</w:t>
      </w:r>
    </w:p>
    <w:p w14:paraId="5E65AA61">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3" w:name="_Toc17862"/>
      <w:bookmarkStart w:id="104" w:name="_Toc6789"/>
      <w:bookmarkStart w:id="105" w:name="_Toc18290"/>
      <w:bookmarkStart w:id="106" w:name="_Toc9906"/>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103"/>
      <w:bookmarkEnd w:id="104"/>
      <w:bookmarkEnd w:id="105"/>
      <w:bookmarkEnd w:id="106"/>
    </w:p>
    <w:p w14:paraId="53BCC55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07" w:name="_Toc6947"/>
      <w:bookmarkStart w:id="108" w:name="_Toc725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07"/>
      <w:bookmarkEnd w:id="108"/>
    </w:p>
    <w:p w14:paraId="41B50986">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4CA5B55D">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0728576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4D9336B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2F9E6C32">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29670F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42BF4E9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4FE7380E">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7890BEB0">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3F55B9F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工程款不足以代付导致甲方需垫付费用，乙方需在甲方发出书面通知起3个日历天内还清甲方垫付款并自甲方垫付之日起按一年期贷款市场报价利率(LPR)的4倍为标准支付利息给甲方。</w:t>
      </w:r>
    </w:p>
    <w:p w14:paraId="2FF300F7">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5F4508F5">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6D3252A2">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3D3050E7">
      <w:pPr>
        <w:keepNext w:val="0"/>
        <w:keepLines w:val="0"/>
        <w:pageBreakBefore w:val="0"/>
        <w:widowControl w:val="0"/>
        <w:kinsoku/>
        <w:wordWrap/>
        <w:overflowPunct/>
        <w:topLinePunct w:val="0"/>
        <w:autoSpaceDE/>
        <w:autoSpaceDN/>
        <w:bidi w:val="0"/>
        <w:adjustRightInd w:val="0"/>
        <w:snapToGrid w:val="0"/>
        <w:spacing w:line="48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3E84476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07AFDA4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012C51A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06F48A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0ED5DEC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0051B3B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lang w:val="en-US" w:eastAsia="zh-CN"/>
        </w:rPr>
      </w:pPr>
      <w:bookmarkStart w:id="109" w:name="_Toc3364"/>
      <w:bookmarkStart w:id="110" w:name="_Toc31817"/>
      <w:r>
        <w:rPr>
          <w:rFonts w:hint="eastAsia" w:ascii="仿宋" w:hAnsi="仿宋" w:eastAsia="仿宋" w:cs="仿宋"/>
          <w:b/>
          <w:bCs/>
          <w:i w:val="0"/>
          <w:iCs w:val="0"/>
          <w:color w:val="auto"/>
          <w:sz w:val="28"/>
          <w:szCs w:val="28"/>
          <w:highlight w:val="none"/>
          <w:shd w:val="clear" w:color="auto" w:fill="auto"/>
          <w:lang w:val="en-US" w:eastAsia="zh-CN"/>
        </w:rPr>
        <w:t>8.2乙方责任和权利</w:t>
      </w:r>
      <w:bookmarkEnd w:id="109"/>
      <w:bookmarkEnd w:id="110"/>
    </w:p>
    <w:p w14:paraId="2379088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08681CF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3EE4D3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8.2.3乙方负责本合同及图纸范围内的工作内容，须按时完成阶段性施工任务，保证符合甲方的工程工期要求，因乙方原因导致的工期延误及甲方因此遭受的损失均由乙方赔偿甲方。</w:t>
      </w:r>
    </w:p>
    <w:p w14:paraId="522F095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8.2.4遵守安全生产、文明施工法规。乙方违规操作发生的安全或质量事故所造成的甲方损失均由乙方赔偿甲方。</w:t>
      </w:r>
    </w:p>
    <w:p w14:paraId="3C02922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8.2.5施工过程中，乙方指定专人认真做好施工记录，工程竣工后及时将资料整理完整，移交甲方资料员。</w:t>
      </w:r>
    </w:p>
    <w:p w14:paraId="2EF84B0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8.2.6乙方须保护好自身施工的材料、机械等设备，如有被偷盗、损坏等现象发生，由乙方自行负责。</w:t>
      </w:r>
    </w:p>
    <w:p w14:paraId="541B996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8.2.7遵守甲方管理制度，服从甲方管理。</w:t>
      </w:r>
    </w:p>
    <w:p w14:paraId="3BB50C5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8.2.8乙方对完成的每一道工序及时、认真进行自检，自检合格后提请甲方验收。对甲方提出的问题按甲方要求彻底整改，每延误一天完成整改的，向甲方承担违约金壹仟元。</w:t>
      </w:r>
    </w:p>
    <w:p w14:paraId="68A1B64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8.2.9加强自身团队建设。乙方管理人员须经常对下属工人进行技术交底、安全教育，作业人员必须持证上岗。乙方管理人员必须坚守岗位，特殊情况需离开工地时，经甲方项目部批准后方能离开。</w:t>
      </w:r>
    </w:p>
    <w:p w14:paraId="0F2BF64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1EA99A9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8.2.11在甲方的监督下办理工人工资发放专户，由银行代发乙方工人工资。</w:t>
      </w:r>
    </w:p>
    <w:p w14:paraId="5F2DE1C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列入花名册内或未提供该人员身份证复印件及联系电话的，不得进入施工现场，否则乙方向甲方支付违约金贰仟元/人/次且甲方不发放该人员工资。乙方人员花名册如有更新，须在3天内补充新进人员身份证复印件及联系电话、乙方与进场人员签订的劳动合同给甲方。乙方须提供与人员花名册一致的班组工人工资表原件及复印件，且工人工资表金额应与当期支付的工人工资一致。乙方人员每天进场必须进行考勤打卡，且考勤打卡记录须与提供的花名册相符。乙方人员退场时，须提交工资结清证明（加盖乙方公章）给甲方留存，否则甲方有权不予办理结算和不支付合同款。</w:t>
      </w:r>
    </w:p>
    <w:p w14:paraId="474F7E2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8.2.13乙方须如实主动申报及发放工人工资，甲方有权核对，如发现乙方弄虚作假，甲方暂停支付乙方合同款。</w:t>
      </w:r>
    </w:p>
    <w:p w14:paraId="5AC6E16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670D3CF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1A3E6EB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636B760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4E40D94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8.2.17合同履行过程中，如乙方中途自行退场，甲方不支付任何款项，因此造成甲方损失的由乙方赔偿。</w:t>
      </w:r>
    </w:p>
    <w:p w14:paraId="135D520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8.2.18乙方须合理使用甲供材料和机具，在保证质量的情况下，按合同约定及相应规范控制使用。</w:t>
      </w:r>
    </w:p>
    <w:p w14:paraId="5C14BB0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8.2.19乙方施工中须与其他分包单位积极配合，保护所有成品，保护费用及责任由乙方承担。非经甲方书面同意，所有已进场材料设备不能运出工地。</w:t>
      </w:r>
    </w:p>
    <w:p w14:paraId="1EE6F2F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产生的生活垃圾处理费由乙方负责，具体按项目部管理要求执行。乙方每次向甲方请款时，甲方合同执行联系人可直接扣除乙方上月产生的房租、宿舍电费及空调使用费，并按扣除后的金额申请进度款。</w:t>
      </w:r>
    </w:p>
    <w:p w14:paraId="57AC915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8.2.21对违章指挥，乙方有权拒绝服从。</w:t>
      </w:r>
    </w:p>
    <w:p w14:paraId="647F181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8.2.22因乙方材料或施工质量问题引起的返工、维修、更换、损失及工期延误等造成的一切费用由乙方承担。</w:t>
      </w:r>
    </w:p>
    <w:p w14:paraId="451DB4C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8.2.23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4CC4E58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8.2.24乙方确保本工程的质量和进度一次性达到合同要求，否则造成的一切损失由乙方承担且每次向甲方承担违约金壹万元。</w:t>
      </w:r>
    </w:p>
    <w:p w14:paraId="77DF917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8.2.25乙方签订本合同前已充分了解本工程现场实际情况，确定☑合同单价/□合同总价已包含处理现场各种因素导致的多次进退场、怠工、误工等不能正常开工情形的费用，甲方无需另行计费给乙方。</w:t>
      </w:r>
    </w:p>
    <w:p w14:paraId="7BB798E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45AADD1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170E2F9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4FA7E21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8.2.29乙方原因导致的一切安全事故，属乙方责任，所有损失及费用由乙方承担。</w:t>
      </w:r>
    </w:p>
    <w:p w14:paraId="49D6DF9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76E06FE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8.2.31乙方人员（包括乙方家属、朋友等人员）在本项目地点发生的所有安全事故均与甲方无关，甲方不承担任何责任和费用，一切责任和费用均由乙方承担。</w:t>
      </w:r>
    </w:p>
    <w:p w14:paraId="795D8F4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8.2.32</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784F2C2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8.2.33乙方与第三人签订的劳动、租赁、买卖等一切合同，与甲方无关。乙方在履约产生的与第三方一切债务，由乙方自行全责处理并承担责任。</w:t>
      </w:r>
    </w:p>
    <w:p w14:paraId="2AA5918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8.2.34乙方与第三方发生的任何经济往来、债务纠纷均与甲方无关。乙方保证所供材料无权属上的瑕疵也无知识产权的争议，若因此对甲方造成损失，由乙方全责赔偿甲方。</w:t>
      </w:r>
    </w:p>
    <w:p w14:paraId="73E19FE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8.2.35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3C7633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8.2.36乙方人员在本合同履行期间所发生的所有安全事故，均由乙方承担所发生的全部费用及损失，对甲方造成损失的则由乙方赔偿甲方损失。</w:t>
      </w:r>
    </w:p>
    <w:p w14:paraId="631944DD">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1" w:name="_Toc22397"/>
      <w:bookmarkStart w:id="112" w:name="_Toc807"/>
      <w:bookmarkStart w:id="113" w:name="_Toc28266"/>
      <w:bookmarkStart w:id="114" w:name="_Toc11160"/>
      <w:bookmarkStart w:id="115" w:name="_Toc24563"/>
      <w:bookmarkStart w:id="116" w:name="_Toc17662"/>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11"/>
      <w:bookmarkEnd w:id="112"/>
      <w:bookmarkEnd w:id="113"/>
      <w:bookmarkEnd w:id="114"/>
      <w:bookmarkEnd w:id="115"/>
      <w:bookmarkEnd w:id="116"/>
    </w:p>
    <w:p w14:paraId="581C8E2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7" w:name="_Toc27493"/>
      <w:bookmarkStart w:id="118" w:name="_Toc5758"/>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17"/>
      <w:bookmarkEnd w:id="118"/>
    </w:p>
    <w:p w14:paraId="166CFD2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7DA44A2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657D78B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170E64C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9" w:name="_Toc7882"/>
      <w:bookmarkStart w:id="120"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19"/>
      <w:bookmarkEnd w:id="120"/>
    </w:p>
    <w:p w14:paraId="6420F7C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9.5.1拆除作业时不得高空抛弃材料，必须通过机械或人工传递至地面；</w:t>
      </w:r>
    </w:p>
    <w:p w14:paraId="4C5CBF9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4029095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02EF14C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14F7E87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1" w:name="_Toc21432"/>
      <w:bookmarkStart w:id="122" w:name="_Toc5829"/>
      <w:bookmarkStart w:id="123" w:name="_Toc22606"/>
      <w:bookmarkStart w:id="124" w:name="_Toc12086"/>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21"/>
      <w:bookmarkEnd w:id="122"/>
      <w:bookmarkEnd w:id="123"/>
      <w:bookmarkEnd w:id="124"/>
    </w:p>
    <w:p w14:paraId="7AEF578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使用甲供材料，由乙方独立发起申请，货到工地与甲方仓管员等验收人员共同签收，并办理出库领用手续，由乙方自行保管。乙方签订本合同后3天内将需甲方提供的材料规格、数量、分批次到货时间等编制材料计划申报单，并将明细报甲方项目部核实，各方签字确认并留存，以作为各阶段进度计划的附页及领用时的核查依据。</w:t>
      </w:r>
    </w:p>
    <w:p w14:paraId="243A6D7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5E45CBD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0A458AD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54F0888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2E477CB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331D529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387282D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28B7F6E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70F6DD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3C7294EF">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5" w:name="_Toc30878"/>
      <w:bookmarkStart w:id="126" w:name="_Toc18988"/>
      <w:bookmarkStart w:id="127" w:name="_Toc28272"/>
      <w:bookmarkStart w:id="128" w:name="_Toc246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25"/>
      <w:bookmarkEnd w:id="126"/>
      <w:bookmarkEnd w:id="127"/>
      <w:bookmarkEnd w:id="128"/>
    </w:p>
    <w:p w14:paraId="2B09F68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24小时内派人到达现场处理解决，否则甲方有权自行或委托第三方处理，乙方承担相关费用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4D1B3B4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保修期内若发生乙方原因导致的质量问题，乙方须赔偿甲方因此造成的一切损失并进行</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rPr>
        <w:t>整改；如出现较大质量缺陷，乙方履行</w:t>
      </w:r>
      <w:r>
        <w:rPr>
          <w:rFonts w:hint="eastAsia" w:ascii="仿宋" w:hAnsi="仿宋" w:eastAsia="仿宋" w:cs="仿宋"/>
          <w:i w:val="0"/>
          <w:iCs w:val="0"/>
          <w:color w:val="auto"/>
          <w:sz w:val="28"/>
          <w:szCs w:val="28"/>
          <w:highlight w:val="none"/>
          <w:shd w:val="clear" w:color="auto" w:fill="auto"/>
          <w:lang w:val="en-US" w:eastAsia="zh-CN"/>
        </w:rPr>
        <w:t>维</w:t>
      </w:r>
      <w:r>
        <w:rPr>
          <w:rFonts w:hint="eastAsia" w:ascii="仿宋" w:hAnsi="仿宋" w:eastAsia="仿宋" w:cs="仿宋"/>
          <w:i w:val="0"/>
          <w:iCs w:val="0"/>
          <w:color w:val="auto"/>
          <w:sz w:val="28"/>
          <w:szCs w:val="28"/>
          <w:highlight w:val="none"/>
          <w:shd w:val="clear" w:color="auto" w:fill="auto"/>
        </w:rPr>
        <w:t>修整改义务至整改验收合格后，工程保修期自</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rPr>
        <w:t>整改验收合格之日起顺延。</w:t>
      </w:r>
    </w:p>
    <w:p w14:paraId="6F2AA91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保修期</w:t>
      </w:r>
      <w:r>
        <w:rPr>
          <w:rFonts w:hint="eastAsia" w:ascii="仿宋" w:hAnsi="仿宋" w:eastAsia="仿宋" w:cs="仿宋"/>
          <w:i w:val="0"/>
          <w:iCs w:val="0"/>
          <w:color w:val="auto"/>
          <w:sz w:val="28"/>
          <w:szCs w:val="28"/>
          <w:highlight w:val="none"/>
          <w:u w:val="none"/>
          <w:shd w:val="clear" w:color="auto" w:fill="auto"/>
          <w:lang w:val="en-US" w:eastAsia="zh-CN"/>
        </w:rPr>
        <w:t>届</w:t>
      </w:r>
      <w:r>
        <w:rPr>
          <w:rFonts w:hint="eastAsia" w:ascii="仿宋" w:hAnsi="仿宋" w:eastAsia="仿宋" w:cs="仿宋"/>
          <w:i w:val="0"/>
          <w:iCs w:val="0"/>
          <w:color w:val="auto"/>
          <w:sz w:val="28"/>
          <w:szCs w:val="28"/>
          <w:highlight w:val="none"/>
          <w:u w:val="none"/>
          <w:shd w:val="clear" w:color="auto" w:fill="auto"/>
        </w:rPr>
        <w:t>满前，若出现质量问题需要进行鉴定，相关费用由乙方负责。</w:t>
      </w:r>
    </w:p>
    <w:p w14:paraId="5C3F469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前，由甲方工程部组织主导乙方、物业管理单位（如有）、建设单位等相关单位人员验收，验收合格后由甲方工程部出具《保修验收合格报告》作为保修金支付凭证，若验收不通过，由乙方整改后另行验收，相关费用由乙方负责。本工程整改两次方通过保修验收的，保修期按乙方整改天数顺延，整改三次或以上方通过保修验收的，保修期自最后一次整改验收合格之日起顺延一年。 </w:t>
      </w:r>
    </w:p>
    <w:p w14:paraId="4A02B37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施工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的终止而失效。</w:t>
      </w:r>
    </w:p>
    <w:p w14:paraId="4EBB1B1D">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9" w:name="_Toc25142"/>
      <w:bookmarkStart w:id="130" w:name="_Toc3973"/>
      <w:bookmarkStart w:id="131" w:name="_Toc454"/>
      <w:bookmarkStart w:id="132" w:name="_Toc4352"/>
      <w:bookmarkStart w:id="133" w:name="_Toc1279"/>
      <w:bookmarkStart w:id="134" w:name="_Toc22452"/>
      <w:bookmarkStart w:id="135" w:name="_Toc6473"/>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29"/>
      <w:bookmarkEnd w:id="130"/>
      <w:bookmarkEnd w:id="131"/>
      <w:bookmarkEnd w:id="132"/>
      <w:bookmarkEnd w:id="133"/>
      <w:bookmarkEnd w:id="134"/>
      <w:bookmarkEnd w:id="135"/>
    </w:p>
    <w:p w14:paraId="4613F32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624A509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4DAF9C5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中无需甲方另行支付给乙方。因各种原因导致乙方延长保险期所增加的保险费由乙方自行承担，其费用已包含在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7E0CDB0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39D3857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08B2F65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7784AA03">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6" w:name="_Toc20713"/>
      <w:bookmarkStart w:id="137" w:name="_Toc7926"/>
      <w:bookmarkStart w:id="138" w:name="_Toc18420"/>
      <w:bookmarkStart w:id="139" w:name="_Toc14887"/>
      <w:bookmarkStart w:id="140" w:name="_Toc12559"/>
      <w:bookmarkStart w:id="141" w:name="_Toc14823"/>
      <w:bookmarkStart w:id="142" w:name="_Toc9446"/>
      <w:bookmarkStart w:id="143" w:name="_Toc27103"/>
      <w:bookmarkStart w:id="144" w:name="_Toc15560"/>
      <w:bookmarkStart w:id="145" w:name="_Toc30819"/>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36"/>
      <w:bookmarkEnd w:id="137"/>
      <w:bookmarkEnd w:id="138"/>
      <w:bookmarkEnd w:id="139"/>
      <w:bookmarkEnd w:id="140"/>
      <w:bookmarkEnd w:id="141"/>
      <w:bookmarkEnd w:id="142"/>
      <w:bookmarkEnd w:id="143"/>
      <w:bookmarkEnd w:id="144"/>
      <w:bookmarkEnd w:id="145"/>
    </w:p>
    <w:p w14:paraId="3AD5269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46" w:name="_Toc31201"/>
      <w:bookmarkStart w:id="147" w:name="_Toc21565"/>
      <w:r>
        <w:rPr>
          <w:rFonts w:hint="eastAsia" w:ascii="仿宋" w:hAnsi="仿宋" w:eastAsia="仿宋" w:cs="仿宋"/>
          <w:i w:val="0"/>
          <w:iCs w:val="0"/>
          <w:color w:val="auto"/>
          <w:sz w:val="28"/>
          <w:szCs w:val="28"/>
          <w:highlight w:val="none"/>
          <w:u w:val="none"/>
          <w:shd w:val="clear" w:color="auto" w:fill="auto"/>
          <w:lang w:val="en-US" w:eastAsia="zh-CN"/>
        </w:rPr>
        <w:t>13.1奖励</w:t>
      </w:r>
      <w:bookmarkEnd w:id="146"/>
      <w:bookmarkEnd w:id="147"/>
    </w:p>
    <w:p w14:paraId="14EE2E7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E705E3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620F34B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166D2FF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6B494EE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4C4A5BC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61301B5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48" w:name="_Toc14079"/>
      <w:bookmarkStart w:id="149"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48"/>
      <w:bookmarkEnd w:id="149"/>
    </w:p>
    <w:p w14:paraId="7F84135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46E55BC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13.2.1.1乙方在质量、进度、安全、管理等方面经甲方二次警告或扣款后仍不能明显改善；</w:t>
      </w:r>
    </w:p>
    <w:p w14:paraId="6302BA0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598A98A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02A6209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6BAFF3A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4710C22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0211984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218095B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1E676D2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w:t>
      </w:r>
    </w:p>
    <w:p w14:paraId="0E6A88B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542D6B3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2FF74C8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1F944B5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140ACCB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3298273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3F62CFD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4464BCC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33DC70A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640CCCD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甲方收取违约金</w:t>
      </w:r>
      <w:r>
        <w:rPr>
          <w:rFonts w:hint="eastAsia" w:ascii="仿宋" w:hAnsi="仿宋" w:eastAsia="仿宋" w:cs="仿宋"/>
          <w:i w:val="0"/>
          <w:iCs w:val="0"/>
          <w:color w:val="auto"/>
          <w:sz w:val="28"/>
          <w:szCs w:val="28"/>
          <w:highlight w:val="none"/>
          <w:u w:val="none"/>
          <w:shd w:val="clear" w:color="auto" w:fill="auto"/>
          <w:lang w:val="en-US" w:eastAsia="zh-CN"/>
        </w:rPr>
        <w:t>的同时驱逐未成年人离开本项目）</w:t>
      </w:r>
    </w:p>
    <w:p w14:paraId="02B5304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5E32784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w:t>
      </w:r>
    </w:p>
    <w:p w14:paraId="6C721C2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A6B02C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67818D9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7D460AE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127267E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1B812E3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2B18F6D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3AE68B9D">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50" w:name="_Toc6486"/>
      <w:bookmarkStart w:id="151" w:name="_Toc16635"/>
      <w:bookmarkStart w:id="152" w:name="_Toc28593"/>
    </w:p>
    <w:p w14:paraId="312CF07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2AE15E07">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53" w:name="_Toc30520"/>
      <w:bookmarkStart w:id="154" w:name="_Toc7591"/>
      <w:bookmarkStart w:id="155" w:name="_Toc21006"/>
      <w:bookmarkStart w:id="156" w:name="_Toc6855"/>
      <w:bookmarkStart w:id="157" w:name="_Toc8716"/>
      <w:bookmarkStart w:id="158" w:name="_Toc32604"/>
      <w:bookmarkStart w:id="159" w:name="_Toc27799"/>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50"/>
      <w:bookmarkEnd w:id="151"/>
      <w:bookmarkEnd w:id="152"/>
      <w:bookmarkEnd w:id="153"/>
      <w:bookmarkEnd w:id="154"/>
      <w:bookmarkEnd w:id="155"/>
      <w:bookmarkEnd w:id="156"/>
      <w:bookmarkEnd w:id="157"/>
      <w:bookmarkEnd w:id="158"/>
      <w:bookmarkEnd w:id="159"/>
    </w:p>
    <w:p w14:paraId="41B53E60">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60" w:name="_Toc10430"/>
      <w:bookmarkStart w:id="161" w:name="_Toc21824"/>
      <w:bookmarkStart w:id="162" w:name="_Toc16038"/>
      <w:bookmarkStart w:id="163" w:name="_Toc18651"/>
      <w:bookmarkStart w:id="164" w:name="_Toc14761"/>
      <w:bookmarkStart w:id="165" w:name="_Toc2734"/>
      <w:bookmarkStart w:id="166" w:name="_Toc31952"/>
      <w:bookmarkStart w:id="167" w:name="_Toc9673"/>
      <w:bookmarkStart w:id="168" w:name="_Toc14983"/>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合同总价20%的违约金和赔偿甲方全部损失，已完工工程无偿归甲方，甲方无需支付合同款；②另行委托其他单位对本工程进行返修，乙方须无条件接受并配合，由此产生的一切费用乙方承担。</w:t>
      </w:r>
    </w:p>
    <w:p w14:paraId="21ADFAF2">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合同总价5%的违约金，如果甲方被政府部门或建设单位处罚而需承担违约、赔偿责任或费用的，则由乙方全部承担，同时甲方保留对乙方追偿的权利。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14.4合同履行期间，因乙方原因造成甲方或本工程或本项目被政府部门停工、整改导致扣分的，乙方按贰万元/分向甲方承担违约金（甲方可从任意合同款中扣款）。</w:t>
      </w:r>
    </w:p>
    <w:p w14:paraId="3EA18E9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.7无论乙方实际是否欠薪或欠货款，乙方人员或供应商每发起一次欠薪或欠货款纠纷，</w:t>
      </w:r>
      <w:r>
        <w:rPr>
          <w:rFonts w:hint="eastAsia" w:ascii="仿宋" w:hAnsi="仿宋" w:eastAsia="仿宋" w:cs="仿宋"/>
          <w:b w:val="0"/>
          <w:bCs w:val="0"/>
          <w:i w:val="0"/>
          <w:iCs w:val="0"/>
          <w:color w:val="auto"/>
          <w:sz w:val="28"/>
          <w:szCs w:val="28"/>
          <w:highlight w:val="none"/>
          <w:shd w:val="clear" w:color="auto" w:fill="auto"/>
          <w:lang w:val="en-US" w:eastAsia="zh-CN"/>
        </w:rPr>
        <w:t>涉及</w:t>
      </w:r>
      <w:r>
        <w:rPr>
          <w:rFonts w:hint="eastAsia" w:ascii="仿宋" w:hAnsi="仿宋" w:eastAsia="仿宋" w:cs="仿宋"/>
          <w:b w:val="0"/>
          <w:bCs w:val="0"/>
          <w:i w:val="0"/>
          <w:iCs w:val="0"/>
          <w:color w:val="auto"/>
          <w:sz w:val="28"/>
          <w:szCs w:val="28"/>
          <w:highlight w:val="none"/>
          <w:shd w:val="clear" w:color="auto" w:fill="auto"/>
          <w:lang w:eastAsia="zh-CN"/>
        </w:rPr>
        <w:t>甲方的，乙方均须向甲方支付违约金十万元/次；若因此导致媒体曝光或政府部门介入的，乙方须另向甲方支付违约金十万元/次。</w:t>
      </w:r>
    </w:p>
    <w:p w14:paraId="547B417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327FB87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.9合同履行期间，乙方无条件执行甲方与建设单位签订的施工现场管理办法相关制度文件，因乙方原因导致建设单位或其他部门对甲方进行处罚扣款的，乙方按该处罚金额的2倍向甲方承担违约金。</w:t>
      </w:r>
    </w:p>
    <w:p w14:paraId="563F38E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.10因乙方原因导致甲方被起诉或被处分的，乙方除赔偿甲方损失外，甲方每被起诉或处分一次，乙方还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向甲方支付五万元的违约金。倘若还因此导致甲方账号被冻结的，乙方还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被冻结次数每次额外再向甲方支付</w:t>
      </w:r>
      <w:r>
        <w:rPr>
          <w:rFonts w:hint="eastAsia" w:ascii="仿宋" w:hAnsi="仿宋" w:eastAsia="仿宋" w:cs="仿宋"/>
          <w:b w:val="0"/>
          <w:bCs w:val="0"/>
          <w:i w:val="0"/>
          <w:iCs w:val="0"/>
          <w:color w:val="auto"/>
          <w:sz w:val="28"/>
          <w:szCs w:val="28"/>
          <w:highlight w:val="none"/>
          <w:shd w:val="clear" w:color="auto" w:fill="auto"/>
          <w:lang w:val="en-US" w:eastAsia="zh-CN"/>
        </w:rPr>
        <w:t>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4422AF4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.11乙方出现上述第1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.10条所述任一行为或未履行合同任一义务的，均属乙方严重违约，乙方除按上述条款承担包括但不限于以上所述的违约责任外，甲方可随时单方解除本合同，所产生的损失由乙方赔偿甲方。</w:t>
      </w:r>
    </w:p>
    <w:p w14:paraId="3D080C2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.12因建设单位、设计变更或非甲方原因导致本合同不能履行的，甲、乙双方互不追究违约责任，按照乙方已完成且经甲方验收合格的工程量进行结算，同时双方各自承担自身损失。</w:t>
      </w:r>
    </w:p>
    <w:p w14:paraId="2CB2713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.13乙方不得因停工损失向甲方索赔，同意不追究甲方在本合同履行过程中因付款延迟、停工而产生的违约责任。</w:t>
      </w:r>
    </w:p>
    <w:p w14:paraId="47127A2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14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294AAB1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.15在本合同履行过程中，可能因乙方原因造成施工质量、安全文明</w:t>
      </w:r>
    </w:p>
    <w:p w14:paraId="2D74435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措施</w:t>
      </w:r>
      <w:r>
        <w:rPr>
          <w:rFonts w:hint="eastAsia" w:ascii="仿宋" w:hAnsi="仿宋" w:eastAsia="仿宋" w:cs="仿宋"/>
          <w:b w:val="0"/>
          <w:bCs w:val="0"/>
          <w:i w:val="0"/>
          <w:iCs w:val="0"/>
          <w:color w:val="auto"/>
          <w:sz w:val="28"/>
          <w:szCs w:val="28"/>
          <w:highlight w:val="none"/>
          <w:shd w:val="clear" w:color="auto" w:fill="auto"/>
          <w:lang w:eastAsia="zh-CN"/>
        </w:rPr>
        <w:t>等无法满足甲方及规范要求的，乙方须提供不属于其责任的证明并得到甲方的书面认可，否则视为乙方违约，全部责任及费用和损失由乙方承担。</w:t>
      </w:r>
    </w:p>
    <w:p w14:paraId="0E404C3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16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造成的一切损失，所有费用甲方在乙方任一款项中扣除，乙方</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款不足以赔偿甲方损失的，由乙方在甲方通知5个日历天内向甲方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w:t>
      </w:r>
      <w:r>
        <w:rPr>
          <w:rFonts w:hint="eastAsia" w:ascii="仿宋" w:hAnsi="仿宋" w:eastAsia="仿宋" w:cs="仿宋"/>
          <w:b w:val="0"/>
          <w:bCs w:val="0"/>
          <w:i w:val="0"/>
          <w:iCs w:val="0"/>
          <w:color w:val="auto"/>
          <w:sz w:val="28"/>
          <w:szCs w:val="28"/>
          <w:highlight w:val="none"/>
          <w:shd w:val="clear" w:color="auto" w:fill="auto"/>
          <w:lang w:eastAsia="zh-CN"/>
        </w:rPr>
        <w:t>。若该永久质量问题无法满足设计及合同约定质量标准，而甲方和建设单位接受现状质量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仍须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按</w:t>
      </w:r>
      <w:r>
        <w:rPr>
          <w:rFonts w:hint="eastAsia" w:ascii="仿宋" w:hAnsi="仿宋" w:eastAsia="仿宋" w:cs="仿宋"/>
          <w:b w:val="0"/>
          <w:bCs w:val="0"/>
          <w:i w:val="0"/>
          <w:iCs w:val="0"/>
          <w:color w:val="auto"/>
          <w:sz w:val="28"/>
          <w:szCs w:val="28"/>
          <w:highlight w:val="none"/>
          <w:shd w:val="clear" w:color="auto" w:fill="auto"/>
          <w:lang w:eastAsia="zh-CN"/>
        </w:rPr>
        <w:t>不合格部位造价</w:t>
      </w:r>
      <w:r>
        <w:rPr>
          <w:rFonts w:hint="eastAsia" w:ascii="仿宋" w:hAnsi="仿宋" w:eastAsia="仿宋" w:cs="仿宋"/>
          <w:b w:val="0"/>
          <w:bCs w:val="0"/>
          <w:i w:val="0"/>
          <w:iCs w:val="0"/>
          <w:color w:val="auto"/>
          <w:sz w:val="28"/>
          <w:szCs w:val="28"/>
          <w:highlight w:val="none"/>
          <w:shd w:val="clear" w:color="auto" w:fill="auto"/>
          <w:lang w:val="en-US" w:eastAsia="zh-CN"/>
        </w:rPr>
        <w:t>的3</w:t>
      </w:r>
      <w:r>
        <w:rPr>
          <w:rFonts w:hint="eastAsia" w:ascii="仿宋" w:hAnsi="仿宋" w:eastAsia="仿宋" w:cs="仿宋"/>
          <w:b w:val="0"/>
          <w:bCs w:val="0"/>
          <w:i w:val="0"/>
          <w:iCs w:val="0"/>
          <w:color w:val="auto"/>
          <w:sz w:val="28"/>
          <w:szCs w:val="28"/>
          <w:highlight w:val="none"/>
          <w:shd w:val="clear" w:color="auto" w:fill="auto"/>
          <w:lang w:eastAsia="zh-CN"/>
        </w:rPr>
        <w:t>0%以上</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w:t>
      </w:r>
    </w:p>
    <w:p w14:paraId="630FB66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本项目如出现了可能因乙方原因导致的施工材料不合格或工程质量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7A1E3A5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18</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6E28FE2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0A148F7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14.20乙方必须按本合同施工图纸及甲方签发的《施工交楼标准》准确预留、预埋或开凿槽施工【包括但不限于：楼地面、屋面找平层、墙体、柱子天棚抹灰等施工前完成(甲方另行签证除外）】。禁止泥水找平或抹灰工程完成后再开凿槽、开洞，禁止进行影响工程质量及观感的工作或行为。因乙方原因造成上述情况发生的，属乙方违约，找平层、抹灰层、面层等工程恢复由甲方指定专业泥水分包单位完成，按所产生全部费用的200%（包括但不限于工期延误、材料、劳务等费用）由乙方承担，同时乙方就此违约行为按合同暂定总价的30%向甲方支付违约金，相应违约金在乙方任一合同款中扣除。</w:t>
      </w:r>
    </w:p>
    <w:p w14:paraId="184686F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69" w:name="_Toc19141"/>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60"/>
      <w:bookmarkEnd w:id="161"/>
      <w:bookmarkEnd w:id="162"/>
      <w:bookmarkEnd w:id="163"/>
      <w:bookmarkEnd w:id="164"/>
      <w:bookmarkEnd w:id="165"/>
      <w:bookmarkEnd w:id="166"/>
      <w:bookmarkEnd w:id="167"/>
      <w:bookmarkEnd w:id="168"/>
      <w:bookmarkEnd w:id="169"/>
    </w:p>
    <w:p w14:paraId="0B248B8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70" w:name="_Toc10466"/>
      <w:bookmarkStart w:id="171" w:name="_Toc15891"/>
      <w:bookmarkStart w:id="172" w:name="_Toc23011"/>
      <w:r>
        <w:rPr>
          <w:rFonts w:hint="eastAsia" w:ascii="仿宋" w:hAnsi="仿宋" w:eastAsia="仿宋" w:cs="仿宋"/>
          <w:b w:val="0"/>
          <w:bCs w:val="0"/>
          <w:i w:val="0"/>
          <w:iCs w:val="0"/>
          <w:color w:val="auto"/>
          <w:sz w:val="28"/>
          <w:szCs w:val="28"/>
          <w:highlight w:val="none"/>
          <w:shd w:val="clear" w:color="auto" w:fill="auto"/>
          <w:lang w:val="en-US" w:eastAsia="zh-CN"/>
        </w:rPr>
        <w:t>15.1乙方在与甲方合作期间（包括本合同招标、签订、履行期间），不得向甲方职员提供请吃、送礼、旅游、色情服务、行贿、回扣或其他好处，如有违反，乙方每次向甲方承担金额等于</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合同总价10％的违约金（甲方可从任意合同款中扣款），造成甲方经济或其他损失的，乙方全额赔偿甲方。</w:t>
      </w:r>
    </w:p>
    <w:p w14:paraId="2009ED7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并单方解除合同，对所发生的工程量/工作量不予结算及不支付费用。</w:t>
      </w:r>
    </w:p>
    <w:p w14:paraId="633F0A8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p>
    <w:p w14:paraId="2220559E">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73" w:name="_Toc18400"/>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70"/>
      <w:bookmarkEnd w:id="171"/>
      <w:bookmarkEnd w:id="172"/>
      <w:bookmarkEnd w:id="173"/>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4A4CC29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w:t>
      </w:r>
      <w:r>
        <w:rPr>
          <w:rFonts w:hint="eastAsia" w:ascii="仿宋" w:hAnsi="仿宋" w:eastAsia="仿宋" w:cs="仿宋"/>
          <w:color w:val="auto"/>
          <w:sz w:val="28"/>
          <w:szCs w:val="28"/>
          <w:highlight w:val="none"/>
          <w:lang w:val="en-US" w:eastAsia="zh-CN"/>
        </w:rPr>
        <w:t>甲乙</w:t>
      </w:r>
      <w:r>
        <w:rPr>
          <w:rFonts w:hint="eastAsia" w:ascii="仿宋" w:hAnsi="仿宋" w:eastAsia="仿宋" w:cs="仿宋"/>
          <w:i w:val="0"/>
          <w:iCs w:val="0"/>
          <w:color w:val="auto"/>
          <w:sz w:val="28"/>
          <w:szCs w:val="28"/>
          <w:highlight w:val="none"/>
          <w:u w:val="none"/>
          <w:shd w:val="clear" w:color="auto" w:fill="auto"/>
          <w:lang w:val="en-US" w:eastAsia="zh-CN"/>
        </w:rPr>
        <w:t>双方确认，甲方项目章仅供甲方项目部与乙方联系工作和确认施工技术、资料之用。乙方知悉并同意，该项目章用于以下情形时无效</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67A798B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307A2A5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4394E06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786F568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④为他人或他单位提供任何形式的担保；</w:t>
      </w:r>
    </w:p>
    <w:p w14:paraId="1C52BEA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19AE782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01FEDBD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16.3本合同有效期内，甲方制度文件及合同附件表格格式如有更新，按甲方最新版要求执行，甲方拥有最终解释权。</w:t>
      </w:r>
    </w:p>
    <w:p w14:paraId="3B79A99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16.4本合同除《工完场清交接单》、《甲方项目章样式》、《签证单分包说明》、《施工图纸》外，其余合同附件在办理相关手续时，乙方须加盖公章且法人代表签章。</w:t>
      </w:r>
    </w:p>
    <w:p w14:paraId="3BDB892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74" w:name="_Toc11774"/>
      <w:bookmarkStart w:id="175" w:name="_Toc10212"/>
      <w:bookmarkStart w:id="176" w:name="_Toc10994"/>
      <w:r>
        <w:rPr>
          <w:rFonts w:hint="eastAsia" w:ascii="仿宋" w:hAnsi="仿宋" w:eastAsia="仿宋" w:cs="仿宋"/>
          <w:b w:val="0"/>
          <w:bCs w:val="0"/>
          <w:i w:val="0"/>
          <w:iCs w:val="0"/>
          <w:color w:val="auto"/>
          <w:sz w:val="28"/>
          <w:szCs w:val="28"/>
          <w:highlight w:val="none"/>
          <w:shd w:val="clear" w:color="auto" w:fill="auto"/>
          <w:lang w:val="en-US" w:eastAsia="zh-CN"/>
        </w:rPr>
        <w:t>16.5本合同条款互不一致的，按最有利于甲方的条款执行。</w:t>
      </w:r>
      <w:bookmarkEnd w:id="174"/>
      <w:bookmarkEnd w:id="175"/>
      <w:bookmarkEnd w:id="176"/>
    </w:p>
    <w:p w14:paraId="2C57D60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16.6本合同未尽事宜，须经甲乙双方协商一致后签订补充协议进行明确。补充协议与本合同具有同等法律效力。</w:t>
      </w:r>
    </w:p>
    <w:p w14:paraId="4105915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23A63C6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须按本合同约定承担违约责任外，甲方有权直接从应付合同款中直接扣除乙方需承担的违约金、罚款等费用，如所扣款额不足补偿甲方损失，乙方在甲方通知之日起七个日历天内补齐差额给甲方，且甲方向乙方追偿责任所产生的律师费、诉讼费、鉴定费、财产保全担保费等费用由乙方全额承担。</w:t>
      </w:r>
    </w:p>
    <w:p w14:paraId="32908DD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32C1EA4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16.10甲乙双方均确认已经审阅并理解本合同全部条款，且已经就条款的所有疑问得到满意解释，并确认合同条款为双方本着诚信互利的原则友好协商一致的结果，不属于任何一方的格式条款。</w:t>
      </w:r>
    </w:p>
    <w:p w14:paraId="2A1B328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16.11本合同一式叁份，甲方执贰份，乙方执一份，均具同等效力。</w:t>
      </w:r>
    </w:p>
    <w:p w14:paraId="551E5F0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65C7858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3BC7BB48">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7545DE0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5DBA6458">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352C3C8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00CB00B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2BE3AE6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150C05C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16.13本合同自甲乙双方签字并加盖公章（或合同章）之日起生效，双方履行完合同义务、责任之日终止。</w:t>
      </w:r>
    </w:p>
    <w:p w14:paraId="0D06F55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bookmarkStart w:id="177" w:name="_Toc27071"/>
      <w:r>
        <w:rPr>
          <w:rFonts w:hint="eastAsia" w:ascii="仿宋" w:hAnsi="仿宋" w:eastAsia="仿宋" w:cs="仿宋"/>
          <w:b/>
          <w:bCs/>
          <w:color w:val="auto"/>
          <w:sz w:val="28"/>
          <w:szCs w:val="28"/>
          <w:highlight w:val="none"/>
          <w:lang w:val="en-US" w:eastAsia="zh-CN"/>
        </w:rPr>
        <w:t>【以下无正文】</w:t>
      </w:r>
      <w:bookmarkEnd w:id="177"/>
    </w:p>
    <w:p w14:paraId="7B20693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bookmarkStart w:id="178" w:name="_Toc14145"/>
      <w:r>
        <w:rPr>
          <w:rFonts w:hint="eastAsia" w:ascii="仿宋" w:hAnsi="仿宋" w:eastAsia="仿宋" w:cs="仿宋"/>
          <w:b/>
          <w:bCs/>
          <w:color w:val="auto"/>
          <w:sz w:val="28"/>
          <w:szCs w:val="28"/>
          <w:highlight w:val="none"/>
          <w:lang w:val="en-US" w:eastAsia="zh-CN"/>
        </w:rPr>
        <w:t>附件：</w:t>
      </w:r>
      <w:bookmarkEnd w:id="178"/>
      <w:bookmarkStart w:id="179" w:name="_Toc14601"/>
      <w:bookmarkStart w:id="180" w:name="_Toc20090"/>
      <w:bookmarkStart w:id="181" w:name="_Toc19939"/>
      <w:bookmarkStart w:id="182" w:name="_Toc20837"/>
      <w:bookmarkStart w:id="183" w:name="_Toc9464"/>
      <w:bookmarkStart w:id="184" w:name="_Toc18756"/>
    </w:p>
    <w:bookmarkEnd w:id="179"/>
    <w:bookmarkEnd w:id="180"/>
    <w:bookmarkEnd w:id="181"/>
    <w:bookmarkEnd w:id="182"/>
    <w:bookmarkEnd w:id="183"/>
    <w:bookmarkEnd w:id="184"/>
    <w:p w14:paraId="7B428A8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85" w:name="_Toc1433"/>
      <w:bookmarkStart w:id="186" w:name="_Toc31165"/>
      <w:bookmarkStart w:id="187" w:name="_Toc5558"/>
      <w:bookmarkStart w:id="188" w:name="_Toc31051"/>
      <w:r>
        <w:rPr>
          <w:rFonts w:hint="eastAsia" w:ascii="仿宋" w:hAnsi="仿宋" w:eastAsia="仿宋" w:cs="仿宋"/>
          <w:color w:val="auto"/>
          <w:sz w:val="28"/>
          <w:szCs w:val="28"/>
          <w:highlight w:val="none"/>
          <w:lang w:val="en-US" w:eastAsia="zh-CN"/>
        </w:rPr>
        <w:t>附件一《甲方项目章样式》</w:t>
      </w:r>
      <w:bookmarkEnd w:id="185"/>
      <w:bookmarkEnd w:id="186"/>
      <w:bookmarkEnd w:id="187"/>
      <w:r>
        <w:rPr>
          <w:rFonts w:hint="eastAsia" w:ascii="仿宋" w:hAnsi="仿宋" w:eastAsia="仿宋" w:cs="仿宋"/>
          <w:color w:val="auto"/>
          <w:sz w:val="28"/>
          <w:szCs w:val="28"/>
          <w:highlight w:val="none"/>
          <w:lang w:val="en-US" w:eastAsia="zh-CN"/>
        </w:rPr>
        <w:t>；</w:t>
      </w:r>
      <w:bookmarkEnd w:id="188"/>
    </w:p>
    <w:p w14:paraId="7CDC937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89" w:name="_Toc3785"/>
      <w:bookmarkStart w:id="190" w:name="_Toc5473"/>
      <w:bookmarkStart w:id="191" w:name="_Toc1568"/>
      <w:bookmarkStart w:id="192" w:name="_Toc10160"/>
      <w:r>
        <w:rPr>
          <w:rFonts w:hint="eastAsia" w:ascii="仿宋" w:hAnsi="仿宋" w:eastAsia="仿宋" w:cs="仿宋"/>
          <w:color w:val="auto"/>
          <w:sz w:val="28"/>
          <w:szCs w:val="28"/>
          <w:highlight w:val="none"/>
          <w:lang w:val="en-US" w:eastAsia="zh-CN"/>
        </w:rPr>
        <w:t>附件二</w:t>
      </w:r>
      <w:bookmarkEnd w:id="189"/>
      <w:bookmarkEnd w:id="190"/>
      <w:bookmarkEnd w:id="191"/>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r>
        <w:rPr>
          <w:rFonts w:hint="eastAsia" w:ascii="仿宋" w:hAnsi="仿宋" w:eastAsia="仿宋" w:cs="仿宋"/>
          <w:b w:val="0"/>
          <w:bCs w:val="0"/>
          <w:color w:val="auto"/>
          <w:sz w:val="28"/>
          <w:szCs w:val="28"/>
          <w:highlight w:val="none"/>
          <w:lang w:val="en-US" w:eastAsia="zh-CN"/>
        </w:rPr>
        <w:t>；</w:t>
      </w:r>
      <w:bookmarkEnd w:id="192"/>
    </w:p>
    <w:p w14:paraId="453ADA5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93" w:name="_Toc8810"/>
      <w:bookmarkStart w:id="194" w:name="_Toc6636"/>
      <w:bookmarkStart w:id="195" w:name="_Toc20300"/>
      <w:bookmarkStart w:id="196" w:name="_Toc9202"/>
      <w:r>
        <w:rPr>
          <w:rFonts w:hint="eastAsia" w:ascii="仿宋" w:hAnsi="仿宋" w:eastAsia="仿宋" w:cs="仿宋"/>
          <w:color w:val="auto"/>
          <w:sz w:val="28"/>
          <w:szCs w:val="28"/>
          <w:highlight w:val="none"/>
          <w:lang w:val="en-US" w:eastAsia="zh-CN"/>
        </w:rPr>
        <w:t>附件三《承诺书（工人个人版）》格式；</w:t>
      </w:r>
      <w:bookmarkEnd w:id="193"/>
    </w:p>
    <w:bookmarkEnd w:id="194"/>
    <w:bookmarkEnd w:id="195"/>
    <w:bookmarkEnd w:id="196"/>
    <w:p w14:paraId="5A568EE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97" w:name="_Toc20383"/>
      <w:bookmarkStart w:id="198" w:name="_Toc10970"/>
      <w:bookmarkStart w:id="199" w:name="_Toc7760"/>
      <w:bookmarkStart w:id="200" w:name="_Toc13871"/>
      <w:r>
        <w:rPr>
          <w:rFonts w:hint="eastAsia" w:ascii="仿宋" w:hAnsi="仿宋" w:eastAsia="仿宋" w:cs="仿宋"/>
          <w:color w:val="auto"/>
          <w:sz w:val="28"/>
          <w:szCs w:val="28"/>
          <w:highlight w:val="none"/>
          <w:lang w:val="en-US" w:eastAsia="zh-CN"/>
        </w:rPr>
        <w:t>附件</w:t>
      </w:r>
      <w:bookmarkEnd w:id="197"/>
      <w:bookmarkEnd w:id="198"/>
      <w:bookmarkEnd w:id="199"/>
      <w:r>
        <w:rPr>
          <w:rFonts w:hint="eastAsia" w:ascii="仿宋" w:hAnsi="仿宋" w:eastAsia="仿宋" w:cs="仿宋"/>
          <w:color w:val="auto"/>
          <w:sz w:val="28"/>
          <w:szCs w:val="28"/>
          <w:highlight w:val="none"/>
          <w:lang w:val="en-US" w:eastAsia="zh-CN"/>
        </w:rPr>
        <w:t>四《</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bookmarkEnd w:id="200"/>
    </w:p>
    <w:p w14:paraId="454264F6">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01" w:name="_Toc32071"/>
      <w:bookmarkStart w:id="202" w:name="_Toc17065"/>
      <w:bookmarkStart w:id="203" w:name="_Toc11701"/>
      <w:bookmarkStart w:id="204" w:name="_Toc28151"/>
      <w:r>
        <w:rPr>
          <w:rFonts w:hint="eastAsia" w:ascii="仿宋" w:hAnsi="仿宋" w:eastAsia="仿宋" w:cs="仿宋"/>
          <w:color w:val="auto"/>
          <w:sz w:val="28"/>
          <w:szCs w:val="28"/>
          <w:highlight w:val="none"/>
          <w:lang w:val="en-US" w:eastAsia="zh-CN"/>
        </w:rPr>
        <w:t>附件五</w:t>
      </w:r>
      <w:bookmarkEnd w:id="201"/>
      <w:bookmarkEnd w:id="202"/>
      <w:bookmarkEnd w:id="203"/>
      <w:r>
        <w:rPr>
          <w:rFonts w:hint="eastAsia" w:ascii="仿宋" w:hAnsi="仿宋" w:eastAsia="仿宋" w:cs="仿宋"/>
          <w:b w:val="0"/>
          <w:bCs w:val="0"/>
          <w:i w:val="0"/>
          <w:iCs w:val="0"/>
          <w:color w:val="auto"/>
          <w:sz w:val="28"/>
          <w:szCs w:val="28"/>
          <w:highlight w:val="none"/>
          <w:shd w:val="clear" w:color="auto" w:fill="auto"/>
          <w:lang w:val="en-US" w:eastAsia="zh-CN"/>
        </w:rPr>
        <w:t>《工程结算资料目录》格式</w:t>
      </w:r>
      <w:r>
        <w:rPr>
          <w:rFonts w:hint="eastAsia" w:ascii="仿宋" w:hAnsi="仿宋" w:eastAsia="仿宋" w:cs="仿宋"/>
          <w:color w:val="auto"/>
          <w:sz w:val="28"/>
          <w:szCs w:val="28"/>
          <w:highlight w:val="none"/>
          <w:lang w:val="en-US" w:eastAsia="zh-CN"/>
        </w:rPr>
        <w:t>；</w:t>
      </w:r>
      <w:bookmarkEnd w:id="204"/>
    </w:p>
    <w:p w14:paraId="2C6999D9">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default" w:ascii="仿宋" w:hAnsi="仿宋" w:eastAsia="仿宋" w:cs="仿宋"/>
          <w:color w:val="auto"/>
          <w:sz w:val="28"/>
          <w:szCs w:val="28"/>
          <w:highlight w:val="none"/>
          <w:lang w:val="en-US" w:eastAsia="zh-CN"/>
        </w:rPr>
      </w:pPr>
      <w:bookmarkStart w:id="205" w:name="_Toc6564"/>
      <w:bookmarkStart w:id="206" w:name="_Toc21390"/>
      <w:bookmarkStart w:id="207" w:name="_Toc2802"/>
      <w:bookmarkStart w:id="208" w:name="_Toc12425"/>
      <w:r>
        <w:rPr>
          <w:rFonts w:hint="eastAsia" w:ascii="仿宋" w:hAnsi="仿宋" w:eastAsia="仿宋" w:cs="仿宋"/>
          <w:color w:val="auto"/>
          <w:sz w:val="28"/>
          <w:szCs w:val="28"/>
          <w:highlight w:val="none"/>
          <w:lang w:val="en-US" w:eastAsia="zh-CN"/>
        </w:rPr>
        <w:t>附件</w:t>
      </w:r>
      <w:bookmarkEnd w:id="205"/>
      <w:bookmarkEnd w:id="206"/>
      <w:bookmarkEnd w:id="207"/>
      <w:r>
        <w:rPr>
          <w:rFonts w:hint="eastAsia" w:ascii="仿宋" w:hAnsi="仿宋" w:eastAsia="仿宋" w:cs="仿宋"/>
          <w:color w:val="auto"/>
          <w:sz w:val="28"/>
          <w:szCs w:val="28"/>
          <w:highlight w:val="none"/>
          <w:lang w:val="en-US" w:eastAsia="zh-CN"/>
        </w:rPr>
        <w:t>六《出险声明函》格式；</w:t>
      </w:r>
      <w:bookmarkEnd w:id="208"/>
    </w:p>
    <w:p w14:paraId="06F62E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09" w:name="_Toc8579"/>
      <w:bookmarkStart w:id="210" w:name="_Toc25409"/>
      <w:bookmarkStart w:id="211" w:name="_Toc27839"/>
      <w:bookmarkStart w:id="212" w:name="_Toc31744"/>
      <w:r>
        <w:rPr>
          <w:rFonts w:hint="eastAsia" w:ascii="仿宋" w:hAnsi="仿宋" w:eastAsia="仿宋" w:cs="仿宋"/>
          <w:color w:val="auto"/>
          <w:sz w:val="28"/>
          <w:szCs w:val="28"/>
          <w:highlight w:val="none"/>
          <w:lang w:val="en-US" w:eastAsia="zh-CN"/>
        </w:rPr>
        <w:t>附件七《分包单位开工令》格式；</w:t>
      </w:r>
      <w:bookmarkEnd w:id="209"/>
      <w:bookmarkEnd w:id="210"/>
      <w:bookmarkEnd w:id="211"/>
      <w:bookmarkEnd w:id="212"/>
    </w:p>
    <w:p w14:paraId="2A2CC0F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13" w:name="_Toc12926"/>
      <w:bookmarkStart w:id="214" w:name="_Toc310"/>
      <w:bookmarkStart w:id="215" w:name="_Toc6646"/>
      <w:bookmarkStart w:id="216" w:name="_Toc15935"/>
      <w:r>
        <w:rPr>
          <w:rFonts w:hint="eastAsia" w:ascii="仿宋" w:hAnsi="仿宋" w:eastAsia="仿宋" w:cs="仿宋"/>
          <w:color w:val="auto"/>
          <w:sz w:val="28"/>
          <w:szCs w:val="28"/>
          <w:highlight w:val="none"/>
          <w:lang w:val="en-US" w:eastAsia="zh-CN"/>
        </w:rPr>
        <w:t>附件八《分包签证确认单》格式；</w:t>
      </w:r>
      <w:bookmarkEnd w:id="213"/>
      <w:bookmarkEnd w:id="214"/>
      <w:bookmarkEnd w:id="215"/>
      <w:bookmarkEnd w:id="216"/>
    </w:p>
    <w:p w14:paraId="6145972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17" w:name="_Toc2554"/>
      <w:bookmarkStart w:id="218" w:name="_Toc31733"/>
      <w:bookmarkStart w:id="219" w:name="_Toc7400"/>
      <w:bookmarkStart w:id="220" w:name="_Toc29737"/>
      <w:r>
        <w:rPr>
          <w:rFonts w:hint="eastAsia" w:ascii="仿宋" w:hAnsi="仿宋" w:eastAsia="仿宋" w:cs="仿宋"/>
          <w:color w:val="auto"/>
          <w:sz w:val="28"/>
          <w:szCs w:val="28"/>
          <w:highlight w:val="none"/>
          <w:lang w:val="en-US" w:eastAsia="zh-CN"/>
        </w:rPr>
        <w:t>附件九《分项工程/认质认价申报审批表》格式；</w:t>
      </w:r>
      <w:bookmarkEnd w:id="217"/>
      <w:bookmarkEnd w:id="218"/>
      <w:bookmarkEnd w:id="219"/>
      <w:bookmarkEnd w:id="220"/>
    </w:p>
    <w:p w14:paraId="5D9F9ED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21" w:name="_Toc9065"/>
      <w:bookmarkStart w:id="222" w:name="_Toc11520"/>
      <w:bookmarkStart w:id="223" w:name="_Toc10079"/>
      <w:bookmarkStart w:id="224" w:name="_Toc17429"/>
      <w:r>
        <w:rPr>
          <w:rFonts w:hint="eastAsia" w:ascii="仿宋" w:hAnsi="仿宋" w:eastAsia="仿宋" w:cs="仿宋"/>
          <w:color w:val="auto"/>
          <w:sz w:val="28"/>
          <w:szCs w:val="28"/>
          <w:highlight w:val="none"/>
          <w:lang w:val="en-US" w:eastAsia="zh-CN"/>
        </w:rPr>
        <w:t>附件十《签证单分包说明》格式；</w:t>
      </w:r>
      <w:bookmarkEnd w:id="221"/>
      <w:bookmarkEnd w:id="222"/>
      <w:bookmarkEnd w:id="223"/>
      <w:bookmarkEnd w:id="224"/>
    </w:p>
    <w:p w14:paraId="1ED257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25" w:name="_Toc25342"/>
      <w:bookmarkStart w:id="226" w:name="_Toc18401"/>
      <w:bookmarkStart w:id="227" w:name="_Toc25485"/>
      <w:bookmarkStart w:id="228" w:name="_Toc374"/>
      <w:r>
        <w:rPr>
          <w:rFonts w:hint="eastAsia" w:ascii="仿宋" w:hAnsi="仿宋" w:eastAsia="仿宋" w:cs="仿宋"/>
          <w:color w:val="auto"/>
          <w:sz w:val="28"/>
          <w:szCs w:val="28"/>
          <w:highlight w:val="none"/>
          <w:lang w:val="en-US" w:eastAsia="zh-CN"/>
        </w:rPr>
        <w:t>附件十一《工程量现场草签记录表》格式；</w:t>
      </w:r>
      <w:bookmarkEnd w:id="225"/>
      <w:bookmarkEnd w:id="226"/>
      <w:bookmarkEnd w:id="227"/>
      <w:bookmarkEnd w:id="228"/>
    </w:p>
    <w:p w14:paraId="79A3618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29" w:name="_Toc1038"/>
      <w:bookmarkStart w:id="230" w:name="_Toc2625"/>
      <w:bookmarkStart w:id="231" w:name="_Toc5105"/>
      <w:bookmarkStart w:id="232" w:name="_Toc27328"/>
      <w:r>
        <w:rPr>
          <w:rFonts w:hint="eastAsia" w:ascii="仿宋" w:hAnsi="仿宋" w:eastAsia="仿宋" w:cs="仿宋"/>
          <w:color w:val="auto"/>
          <w:sz w:val="28"/>
          <w:szCs w:val="28"/>
          <w:highlight w:val="none"/>
          <w:lang w:val="en-US" w:eastAsia="zh-CN"/>
        </w:rPr>
        <w:t>附件十二《工程结算支付证明单》格式；</w:t>
      </w:r>
      <w:bookmarkEnd w:id="229"/>
      <w:bookmarkEnd w:id="230"/>
      <w:bookmarkEnd w:id="231"/>
      <w:bookmarkEnd w:id="232"/>
    </w:p>
    <w:p w14:paraId="49E000E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33" w:name="_Toc7962"/>
      <w:bookmarkStart w:id="234" w:name="_Toc27144"/>
      <w:bookmarkStart w:id="235" w:name="_Toc30596"/>
      <w:bookmarkStart w:id="236" w:name="_Toc26235"/>
      <w:r>
        <w:rPr>
          <w:rFonts w:hint="eastAsia" w:ascii="仿宋" w:hAnsi="仿宋" w:eastAsia="仿宋" w:cs="仿宋"/>
          <w:color w:val="auto"/>
          <w:sz w:val="28"/>
          <w:szCs w:val="28"/>
          <w:highlight w:val="none"/>
          <w:lang w:val="en-US" w:eastAsia="zh-CN"/>
        </w:rPr>
        <w:t>附件十三《工完场清交接单》格式；</w:t>
      </w:r>
      <w:bookmarkEnd w:id="233"/>
      <w:bookmarkEnd w:id="234"/>
      <w:bookmarkEnd w:id="235"/>
      <w:bookmarkEnd w:id="236"/>
    </w:p>
    <w:p w14:paraId="29227A2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37" w:name="_Toc4009"/>
      <w:bookmarkStart w:id="238" w:name="_Toc12430"/>
      <w:bookmarkStart w:id="239" w:name="_Toc8006"/>
      <w:bookmarkStart w:id="240" w:name="_Toc19915"/>
      <w:r>
        <w:rPr>
          <w:rFonts w:hint="eastAsia" w:ascii="仿宋" w:hAnsi="仿宋" w:eastAsia="仿宋" w:cs="仿宋"/>
          <w:b w:val="0"/>
          <w:bCs w:val="0"/>
          <w:i w:val="0"/>
          <w:iCs w:val="0"/>
          <w:color w:val="auto"/>
          <w:sz w:val="28"/>
          <w:szCs w:val="28"/>
          <w:highlight w:val="none"/>
          <w:shd w:val="clear" w:color="auto" w:fill="auto"/>
          <w:lang w:val="en-US" w:eastAsia="zh-CN"/>
        </w:rPr>
        <w:t>附件十四</w:t>
      </w:r>
      <w:r>
        <w:rPr>
          <w:rFonts w:hint="eastAsia" w:ascii="仿宋" w:hAnsi="仿宋" w:eastAsia="仿宋" w:cs="仿宋"/>
          <w:color w:val="auto"/>
          <w:sz w:val="28"/>
          <w:szCs w:val="28"/>
          <w:highlight w:val="none"/>
          <w:lang w:val="en-US" w:eastAsia="zh-CN"/>
        </w:rPr>
        <w:t>《报价清单》</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237"/>
      <w:bookmarkEnd w:id="238"/>
      <w:bookmarkEnd w:id="239"/>
      <w:bookmarkEnd w:id="240"/>
    </w:p>
    <w:p w14:paraId="0C1845E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241" w:name="_Toc31008"/>
      <w:bookmarkStart w:id="242" w:name="_Toc31800"/>
      <w:bookmarkStart w:id="243" w:name="_Toc19119"/>
      <w:bookmarkStart w:id="244" w:name="_Toc19704"/>
      <w:bookmarkStart w:id="245" w:name="_Toc14821"/>
      <w:bookmarkStart w:id="246" w:name="_Toc31415"/>
      <w:bookmarkStart w:id="247" w:name="_Toc25618"/>
      <w:bookmarkStart w:id="248" w:name="_Toc26020"/>
      <w:bookmarkStart w:id="249" w:name="_Toc341"/>
      <w:bookmarkStart w:id="250" w:name="_Toc30237"/>
      <w:bookmarkStart w:id="251" w:name="_Toc21541"/>
      <w:bookmarkStart w:id="252" w:name="_Toc25734"/>
      <w:bookmarkStart w:id="253" w:name="_Toc4335"/>
      <w:bookmarkStart w:id="254" w:name="_Toc12607"/>
      <w:bookmarkStart w:id="255" w:name="_Toc18640"/>
      <w:bookmarkStart w:id="256" w:name="_Toc7399"/>
      <w:bookmarkStart w:id="257" w:name="_Toc22636"/>
      <w:bookmarkStart w:id="258" w:name="_Toc10114"/>
      <w:bookmarkStart w:id="259" w:name="_Toc26903"/>
      <w:bookmarkStart w:id="260" w:name="_Toc21406"/>
      <w:bookmarkStart w:id="261" w:name="_Toc19935"/>
      <w:r>
        <w:rPr>
          <w:rFonts w:hint="eastAsia" w:ascii="仿宋" w:hAnsi="仿宋" w:eastAsia="仿宋" w:cs="仿宋"/>
          <w:b w:val="0"/>
          <w:bCs w:val="0"/>
          <w:i w:val="0"/>
          <w:iCs w:val="0"/>
          <w:color w:val="auto"/>
          <w:sz w:val="28"/>
          <w:szCs w:val="28"/>
          <w:highlight w:val="none"/>
          <w:shd w:val="clear" w:color="auto" w:fill="auto"/>
          <w:lang w:val="en-US" w:eastAsia="zh-CN"/>
        </w:rPr>
        <w:t>附件十五</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Pr>
          <w:rFonts w:hint="eastAsia" w:ascii="仿宋" w:hAnsi="仿宋" w:eastAsia="仿宋" w:cs="仿宋"/>
          <w:b w:val="0"/>
          <w:bCs w:val="0"/>
          <w:color w:val="auto"/>
          <w:sz w:val="28"/>
          <w:szCs w:val="28"/>
          <w:highlight w:val="none"/>
          <w:lang w:val="en-US" w:eastAsia="zh-CN"/>
        </w:rPr>
        <w:t>《乙方资质文件》</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261"/>
    </w:p>
    <w:p w14:paraId="22C3965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262" w:name="_Toc17974"/>
      <w:r>
        <w:rPr>
          <w:rFonts w:hint="eastAsia" w:ascii="仿宋" w:hAnsi="仿宋" w:eastAsia="仿宋" w:cs="仿宋"/>
          <w:b w:val="0"/>
          <w:bCs w:val="0"/>
          <w:i w:val="0"/>
          <w:iCs w:val="0"/>
          <w:color w:val="auto"/>
          <w:sz w:val="28"/>
          <w:szCs w:val="28"/>
          <w:highlight w:val="none"/>
          <w:shd w:val="clear" w:color="auto" w:fill="auto"/>
          <w:lang w:val="en-US" w:eastAsia="zh-CN"/>
        </w:rPr>
        <w:t>附件十六《施工图纸目录》。</w:t>
      </w:r>
      <w:bookmarkEnd w:id="262"/>
    </w:p>
    <w:p w14:paraId="06B79111">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63" w:name="_Toc18080"/>
      <w:bookmarkStart w:id="264" w:name="_Toc22736"/>
      <w:bookmarkStart w:id="265" w:name="_Toc7245"/>
      <w:bookmarkStart w:id="266" w:name="_Toc31130"/>
      <w:bookmarkStart w:id="267" w:name="_Toc26059"/>
      <w:bookmarkStart w:id="268" w:name="_Toc22492"/>
      <w:bookmarkStart w:id="269" w:name="_Toc3404"/>
      <w:bookmarkStart w:id="270" w:name="_Toc4318"/>
      <w:bookmarkStart w:id="271" w:name="_Toc14000"/>
      <w:bookmarkStart w:id="272" w:name="_Toc28577"/>
      <w:bookmarkStart w:id="273" w:name="_Toc32677"/>
      <w:bookmarkStart w:id="274" w:name="_Toc6457"/>
      <w:bookmarkStart w:id="275" w:name="_Toc12795"/>
      <w:bookmarkStart w:id="276" w:name="_Toc7880"/>
      <w:bookmarkStart w:id="277" w:name="_Toc26460"/>
      <w:bookmarkStart w:id="278" w:name="_Toc26912"/>
      <w:bookmarkStart w:id="279" w:name="_Toc23233"/>
      <w:bookmarkStart w:id="280" w:name="_Toc30985"/>
      <w:bookmarkStart w:id="281" w:name="_Toc4369"/>
      <w:bookmarkStart w:id="282" w:name="_Toc7014"/>
      <w:bookmarkStart w:id="283" w:name="_Toc936"/>
      <w:bookmarkStart w:id="284" w:name="_Toc13137"/>
      <w:bookmarkStart w:id="285" w:name="_Toc1399"/>
      <w:bookmarkStart w:id="286" w:name="_Toc10798"/>
      <w:bookmarkStart w:id="287" w:name="_Toc1666"/>
    </w:p>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14:paraId="722B2DC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88" w:name="_Toc9682"/>
    </w:p>
    <w:p w14:paraId="54D1C21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ADD64C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10CB82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12786E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AD64DB7">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8BC6066">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0864DB8">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C78D1C3">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940FF9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B900F17">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bookmarkEnd w:id="288"/>
    <w:p w14:paraId="2C2858A7">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89" w:name="_Toc13372"/>
      <w:bookmarkStart w:id="290" w:name="_Toc18251"/>
      <w:bookmarkStart w:id="291" w:name="_Toc8516"/>
      <w:bookmarkStart w:id="292" w:name="_Toc98"/>
      <w:bookmarkStart w:id="293" w:name="_Toc5270"/>
      <w:bookmarkStart w:id="294" w:name="_Toc16390"/>
      <w:bookmarkStart w:id="295" w:name="_Toc23674"/>
    </w:p>
    <w:p w14:paraId="67E50347">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96" w:name="_Toc17256"/>
      <w:r>
        <w:rPr>
          <w:rFonts w:hint="eastAsia" w:ascii="仿宋" w:hAnsi="仿宋" w:eastAsia="仿宋" w:cs="仿宋"/>
          <w:b/>
          <w:bCs w:val="0"/>
          <w:color w:val="auto"/>
          <w:sz w:val="40"/>
          <w:szCs w:val="40"/>
          <w:highlight w:val="none"/>
          <w:shd w:val="clear" w:color="auto" w:fill="auto"/>
          <w:lang w:val="en-US" w:eastAsia="zh-CN"/>
        </w:rPr>
        <w:t>附件一</w:t>
      </w:r>
      <w:bookmarkEnd w:id="296"/>
    </w:p>
    <w:p w14:paraId="1BE59C4C">
      <w:pPr>
        <w:shd w:val="clear"/>
        <w:jc w:val="center"/>
        <w:rPr>
          <w:rFonts w:hint="eastAsia" w:ascii="宋体" w:hAnsi="宋体" w:cs="宋体"/>
          <w:b/>
          <w:bCs/>
          <w:color w:val="auto"/>
          <w:sz w:val="44"/>
          <w:szCs w:val="44"/>
          <w:highlight w:val="none"/>
          <w:lang w:val="en-US" w:eastAsia="zh-CN"/>
        </w:rPr>
      </w:pPr>
    </w:p>
    <w:p w14:paraId="7FF0E77A">
      <w:pPr>
        <w:shd w:val="clear"/>
        <w:jc w:val="center"/>
        <w:rPr>
          <w:rFonts w:hint="eastAsia" w:ascii="宋体" w:hAnsi="宋体" w:cs="宋体"/>
          <w:b/>
          <w:bCs/>
          <w:color w:val="auto"/>
          <w:sz w:val="44"/>
          <w:szCs w:val="44"/>
          <w:highlight w:val="none"/>
          <w:lang w:val="en-US" w:eastAsia="zh-CN"/>
        </w:rPr>
      </w:pPr>
    </w:p>
    <w:p w14:paraId="781DDF20">
      <w:pPr>
        <w:shd w:val="clea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65B6ECBA">
      <w:pPr>
        <w:pStyle w:val="14"/>
        <w:rPr>
          <w:rFonts w:hint="eastAsia" w:ascii="宋体" w:hAnsi="宋体" w:cs="宋体"/>
          <w:b/>
          <w:bCs/>
          <w:color w:val="auto"/>
          <w:sz w:val="44"/>
          <w:szCs w:val="44"/>
          <w:highlight w:val="none"/>
          <w:lang w:val="en-US" w:eastAsia="zh-CN"/>
        </w:rPr>
      </w:pPr>
    </w:p>
    <w:p w14:paraId="25B17A04">
      <w:pPr>
        <w:pStyle w:val="14"/>
        <w:rPr>
          <w:rFonts w:hint="eastAsia" w:ascii="宋体" w:hAnsi="宋体" w:cs="宋体"/>
          <w:b/>
          <w:bCs/>
          <w:color w:val="auto"/>
          <w:sz w:val="44"/>
          <w:szCs w:val="44"/>
          <w:highlight w:val="none"/>
          <w:lang w:val="en-US" w:eastAsia="zh-CN"/>
        </w:rPr>
      </w:pPr>
    </w:p>
    <w:p w14:paraId="71DBBDFC">
      <w:pPr>
        <w:pStyle w:val="14"/>
        <w:wordWrap/>
        <w:rPr>
          <w:rFonts w:hint="eastAsia"/>
          <w:color w:val="auto"/>
          <w:highlight w:val="none"/>
          <w:lang w:val="en-US" w:eastAsia="zh-CN"/>
        </w:rPr>
      </w:pPr>
    </w:p>
    <w:p w14:paraId="6C953980">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9078CA3">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bookmarkStart w:id="297" w:name="_Toc26974"/>
      <w:r>
        <w:rPr>
          <w:rFonts w:hint="eastAsia" w:ascii="仿宋" w:hAnsi="仿宋" w:eastAsia="仿宋" w:cs="仿宋"/>
          <w:b/>
          <w:bCs w:val="0"/>
          <w:color w:val="auto"/>
          <w:sz w:val="40"/>
          <w:szCs w:val="40"/>
          <w:highlight w:val="none"/>
          <w:shd w:val="clear" w:color="auto" w:fill="auto"/>
          <w:lang w:val="en-US" w:eastAsia="zh-CN"/>
        </w:rPr>
        <w:drawing>
          <wp:inline distT="0" distB="0" distL="114300" distR="114300">
            <wp:extent cx="4533900" cy="3381375"/>
            <wp:effectExtent l="0" t="0" r="0" b="9525"/>
            <wp:docPr id="4" name="图片 4" descr="2d380b4f-e212-4c2a-976b-4287dc596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d380b4f-e212-4c2a-976b-4287dc596a20"/>
                    <pic:cNvPicPr>
                      <a:picLocks noChangeAspect="1"/>
                    </pic:cNvPicPr>
                  </pic:nvPicPr>
                  <pic:blipFill>
                    <a:blip r:embed="rId9"/>
                    <a:stretch>
                      <a:fillRect/>
                    </a:stretch>
                  </pic:blipFill>
                  <pic:spPr>
                    <a:xfrm>
                      <a:off x="0" y="0"/>
                      <a:ext cx="4533900" cy="3381375"/>
                    </a:xfrm>
                    <a:prstGeom prst="rect">
                      <a:avLst/>
                    </a:prstGeom>
                  </pic:spPr>
                </pic:pic>
              </a:graphicData>
            </a:graphic>
          </wp:inline>
        </w:drawing>
      </w:r>
      <w:bookmarkEnd w:id="297"/>
    </w:p>
    <w:p w14:paraId="13B5555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57319">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9F75A9A">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C60E6A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7B5774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CC5477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附件二</w:t>
      </w:r>
    </w:p>
    <w:p w14:paraId="3D3F0325">
      <w:pPr>
        <w:spacing w:before="241" w:line="360"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4D9530A7">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致：</w:t>
      </w:r>
      <w:r>
        <w:rPr>
          <w:rFonts w:hint="eastAsia" w:ascii="仿宋" w:hAnsi="仿宋" w:eastAsia="仿宋" w:cs="仿宋"/>
          <w:b/>
          <w:bCs/>
          <w:color w:val="auto"/>
          <w:sz w:val="22"/>
          <w:szCs w:val="22"/>
          <w:highlight w:val="none"/>
          <w:lang w:val="en-US" w:eastAsia="zh-CN"/>
        </w:rPr>
        <w:t>**********</w:t>
      </w:r>
      <w:r>
        <w:rPr>
          <w:rFonts w:hint="eastAsia" w:ascii="仿宋" w:hAnsi="仿宋" w:eastAsia="仿宋" w:cs="仿宋"/>
          <w:b/>
          <w:bCs/>
          <w:color w:val="auto"/>
          <w:sz w:val="22"/>
          <w:szCs w:val="22"/>
          <w:highlight w:val="none"/>
        </w:rPr>
        <w:t>有限公司</w:t>
      </w:r>
    </w:p>
    <w:p w14:paraId="01F0AB2B">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51C54A4">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8"/>
          <w:sz w:val="22"/>
          <w:szCs w:val="22"/>
          <w:highlight w:val="none"/>
          <w:lang w:val="en-US" w:eastAsia="zh-CN"/>
        </w:rPr>
        <w:t>目前该工程在</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 xml:space="preserve">施工过程中  </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结算过程中</w:t>
      </w:r>
      <w:r>
        <w:rPr>
          <w:rFonts w:hint="eastAsia" w:ascii="仿宋" w:hAnsi="仿宋" w:eastAsia="仿宋" w:cs="仿宋"/>
          <w:color w:val="auto"/>
          <w:spacing w:val="8"/>
          <w:sz w:val="22"/>
          <w:szCs w:val="22"/>
          <w:highlight w:val="none"/>
          <w:lang w:val="en-US" w:eastAsia="zh-CN"/>
        </w:rPr>
        <w:t>。现我司申请贵司向我司支付**月份工程款共计</w:t>
      </w:r>
      <w:r>
        <w:rPr>
          <w:rFonts w:hint="eastAsia" w:ascii="仿宋" w:hAnsi="仿宋" w:eastAsia="仿宋" w:cs="仿宋"/>
          <w:color w:val="auto"/>
          <w:spacing w:val="8"/>
          <w:sz w:val="22"/>
          <w:szCs w:val="22"/>
          <w:highlight w:val="none"/>
          <w:u w:val="single"/>
          <w:lang w:val="en-US" w:eastAsia="zh-CN"/>
        </w:rPr>
        <w:t>**** 元</w:t>
      </w:r>
      <w:r>
        <w:rPr>
          <w:rFonts w:hint="eastAsia" w:ascii="仿宋" w:hAnsi="仿宋" w:eastAsia="仿宋" w:cs="仿宋"/>
          <w:color w:val="auto"/>
          <w:spacing w:val="8"/>
          <w:sz w:val="22"/>
          <w:szCs w:val="22"/>
          <w:highlight w:val="none"/>
          <w:lang w:val="en-US" w:eastAsia="zh-CN"/>
        </w:rPr>
        <w:t>，大写：</w:t>
      </w:r>
      <w:r>
        <w:rPr>
          <w:rFonts w:hint="eastAsia" w:ascii="仿宋" w:hAnsi="仿宋" w:eastAsia="仿宋" w:cs="仿宋"/>
          <w:color w:val="auto"/>
          <w:spacing w:val="8"/>
          <w:sz w:val="22"/>
          <w:szCs w:val="22"/>
          <w:highlight w:val="none"/>
          <w:u w:val="single"/>
          <w:lang w:val="en-US" w:eastAsia="zh-CN"/>
        </w:rPr>
        <w:t xml:space="preserve"> **** 元，其中</w:t>
      </w:r>
      <w:r>
        <w:rPr>
          <w:rFonts w:hint="eastAsia" w:ascii="仿宋" w:hAnsi="仿宋" w:eastAsia="仿宋" w:cs="仿宋"/>
          <w:color w:val="auto"/>
          <w:spacing w:val="8"/>
          <w:sz w:val="22"/>
          <w:szCs w:val="22"/>
          <w:highlight w:val="none"/>
          <w:lang w:val="en-US" w:eastAsia="zh-CN"/>
        </w:rPr>
        <w:t xml:space="preserve"> </w:t>
      </w:r>
      <w:r>
        <w:rPr>
          <w:rFonts w:hint="eastAsia" w:ascii="仿宋" w:hAnsi="仿宋" w:eastAsia="仿宋" w:cs="仿宋"/>
          <w:color w:val="auto"/>
          <w:spacing w:val="8"/>
          <w:sz w:val="22"/>
          <w:szCs w:val="22"/>
          <w:highlight w:val="none"/>
          <w:u w:val="single"/>
          <w:lang w:val="en-US" w:eastAsia="zh-CN"/>
        </w:rPr>
        <w:t>***元为</w:t>
      </w:r>
      <w:r>
        <w:rPr>
          <w:rFonts w:hint="eastAsia" w:ascii="仿宋" w:hAnsi="仿宋" w:eastAsia="仿宋" w:cs="仿宋"/>
          <w:color w:val="auto"/>
          <w:spacing w:val="8"/>
          <w:sz w:val="22"/>
          <w:szCs w:val="22"/>
          <w:highlight w:val="none"/>
          <w:lang w:val="en-US" w:eastAsia="zh-CN"/>
        </w:rPr>
        <w:t>施工合同涉及的所有施工工人工资，由</w:t>
      </w:r>
      <w:r>
        <w:rPr>
          <w:rFonts w:hint="eastAsia" w:ascii="仿宋" w:hAnsi="仿宋" w:eastAsia="仿宋" w:cs="仿宋"/>
          <w:color w:val="auto"/>
          <w:spacing w:val="8"/>
          <w:sz w:val="22"/>
          <w:szCs w:val="22"/>
          <w:highlight w:val="none"/>
          <w:u w:val="single"/>
          <w:lang w:val="en-US" w:eastAsia="zh-CN"/>
        </w:rPr>
        <w:t>贵司直接支付至工人银行卡账号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248B6C4F">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A48E653">
      <w:pPr>
        <w:keepNext w:val="0"/>
        <w:keepLines w:val="0"/>
        <w:pageBreakBefore w:val="0"/>
        <w:numPr>
          <w:ilvl w:val="0"/>
          <w:numId w:val="3"/>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EE5AC6F">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4AA5E70">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7DD40860">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四、特别约定：</w:t>
      </w:r>
    </w:p>
    <w:p w14:paraId="5E9AAAB2">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******公司法定代表人</w:t>
      </w:r>
      <w:r>
        <w:rPr>
          <w:rFonts w:hint="eastAsia" w:ascii="仿宋" w:hAnsi="仿宋" w:eastAsia="仿宋" w:cs="仿宋"/>
          <w:color w:val="auto"/>
          <w:spacing w:val="8"/>
          <w:sz w:val="22"/>
          <w:szCs w:val="22"/>
          <w:highlight w:val="none"/>
          <w:u w:val="none"/>
          <w:lang w:val="en-US" w:eastAsia="zh-CN"/>
        </w:rPr>
        <w:t xml:space="preserve"> ****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）、实际控制人</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（身</w:t>
      </w:r>
    </w:p>
    <w:p w14:paraId="5711251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right="238" w:right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B46740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特此承诺！</w:t>
      </w:r>
    </w:p>
    <w:p w14:paraId="18776CF1">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附件1：《建筑工人工资表》（样表）；</w:t>
      </w:r>
    </w:p>
    <w:p w14:paraId="2244B523">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附件2：各连带清偿人身份证正反面复印件。</w:t>
      </w:r>
    </w:p>
    <w:p w14:paraId="46619E3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204064C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0" w:firstLineChars="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5D284F8A">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4EC8A4DF">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 xml:space="preserve"> 日   期：****年**月**日</w:t>
      </w:r>
    </w:p>
    <w:p w14:paraId="4823B37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7D144F">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C5BD3D6">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070EB83">
      <w:pPr>
        <w:pStyle w:val="14"/>
        <w:rPr>
          <w:rFonts w:hint="eastAsia" w:ascii="仿宋" w:hAnsi="仿宋" w:eastAsia="仿宋" w:cs="仿宋"/>
          <w:b/>
          <w:bCs w:val="0"/>
          <w:color w:val="auto"/>
          <w:sz w:val="40"/>
          <w:szCs w:val="40"/>
          <w:highlight w:val="none"/>
          <w:shd w:val="clear" w:color="auto" w:fill="auto"/>
          <w:lang w:val="en-US" w:eastAsia="zh-CN"/>
        </w:rPr>
      </w:pPr>
    </w:p>
    <w:tbl>
      <w:tblPr>
        <w:tblStyle w:val="15"/>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7DB63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3A62E686">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18F0D222">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4EDE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7B84AB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05DC9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9FC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6806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4443D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9F85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548A9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66B4D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CCEC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C3F78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B3521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1A40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6A1DE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72861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6986D5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0DEB97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27CA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1D63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CB01D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CD4BC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DF199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8F157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F5DF23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46C82E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5DD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986D03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3FC38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F76E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1E37C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0748B2">
            <w:pPr>
              <w:jc w:val="center"/>
              <w:rPr>
                <w:rFonts w:hint="eastAsia" w:ascii="宋体" w:hAnsi="宋体" w:eastAsia="宋体" w:cs="宋体"/>
                <w:i w:val="0"/>
                <w:iCs w:val="0"/>
                <w:color w:val="auto"/>
                <w:sz w:val="20"/>
                <w:szCs w:val="20"/>
                <w:highlight w:val="none"/>
                <w:u w:val="none"/>
              </w:rPr>
            </w:pPr>
          </w:p>
        </w:tc>
      </w:tr>
      <w:tr w14:paraId="731C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8AE0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3574E4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D27FE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A7376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ED5DE8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4EFBD5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3A8E9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49176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E0FD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4B41A6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AEE9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288EB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DDCEF08">
            <w:pPr>
              <w:jc w:val="center"/>
              <w:rPr>
                <w:rFonts w:hint="eastAsia" w:ascii="宋体" w:hAnsi="宋体" w:eastAsia="宋体" w:cs="宋体"/>
                <w:i w:val="0"/>
                <w:iCs w:val="0"/>
                <w:color w:val="auto"/>
                <w:sz w:val="20"/>
                <w:szCs w:val="20"/>
                <w:highlight w:val="none"/>
                <w:u w:val="none"/>
              </w:rPr>
            </w:pPr>
          </w:p>
        </w:tc>
      </w:tr>
      <w:tr w14:paraId="581D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1B25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376B5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D3A7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D20F2B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620E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49CBD3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61800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90683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F31A9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83A773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EE483C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B6FE16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5BDF87">
            <w:pPr>
              <w:jc w:val="center"/>
              <w:rPr>
                <w:rFonts w:hint="eastAsia" w:ascii="宋体" w:hAnsi="宋体" w:eastAsia="宋体" w:cs="宋体"/>
                <w:i w:val="0"/>
                <w:iCs w:val="0"/>
                <w:color w:val="auto"/>
                <w:sz w:val="20"/>
                <w:szCs w:val="20"/>
                <w:highlight w:val="none"/>
                <w:u w:val="none"/>
              </w:rPr>
            </w:pPr>
          </w:p>
        </w:tc>
      </w:tr>
      <w:tr w14:paraId="48956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D754F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07F2B8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B60B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380FA4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CAE33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8B1BD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D67B3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C3E58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C8E6B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0406F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C1CFE6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E1071D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FD5430">
            <w:pPr>
              <w:jc w:val="center"/>
              <w:rPr>
                <w:rFonts w:hint="eastAsia" w:ascii="宋体" w:hAnsi="宋体" w:eastAsia="宋体" w:cs="宋体"/>
                <w:i w:val="0"/>
                <w:iCs w:val="0"/>
                <w:color w:val="auto"/>
                <w:sz w:val="20"/>
                <w:szCs w:val="20"/>
                <w:highlight w:val="none"/>
                <w:u w:val="none"/>
              </w:rPr>
            </w:pPr>
          </w:p>
        </w:tc>
      </w:tr>
      <w:tr w14:paraId="7825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6217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E504C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3E31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F18025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F416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FBA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B1D247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A01D1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8BA02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99DC5C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629C0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A6E26B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7CB42BA">
            <w:pPr>
              <w:jc w:val="center"/>
              <w:rPr>
                <w:rFonts w:hint="eastAsia" w:ascii="宋体" w:hAnsi="宋体" w:eastAsia="宋体" w:cs="宋体"/>
                <w:i w:val="0"/>
                <w:iCs w:val="0"/>
                <w:color w:val="auto"/>
                <w:sz w:val="20"/>
                <w:szCs w:val="20"/>
                <w:highlight w:val="none"/>
                <w:u w:val="none"/>
              </w:rPr>
            </w:pPr>
          </w:p>
        </w:tc>
      </w:tr>
      <w:tr w14:paraId="0FBD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54BA8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AB53B9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C5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1FBF0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B9DA3F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A54D90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ACB3B7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70105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F957B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2D39D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E5738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7133DC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C8BD8E">
            <w:pPr>
              <w:jc w:val="center"/>
              <w:rPr>
                <w:rFonts w:hint="eastAsia" w:ascii="宋体" w:hAnsi="宋体" w:eastAsia="宋体" w:cs="宋体"/>
                <w:i w:val="0"/>
                <w:iCs w:val="0"/>
                <w:color w:val="auto"/>
                <w:sz w:val="20"/>
                <w:szCs w:val="20"/>
                <w:highlight w:val="none"/>
                <w:u w:val="none"/>
              </w:rPr>
            </w:pPr>
          </w:p>
        </w:tc>
      </w:tr>
      <w:tr w14:paraId="0249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CCB4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2C574C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97D5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BE04E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916795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BF38D2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3543F5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7AA528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FF854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3B1B49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D0DA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943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3F0F1F1">
            <w:pPr>
              <w:jc w:val="center"/>
              <w:rPr>
                <w:rFonts w:hint="eastAsia" w:ascii="宋体" w:hAnsi="宋体" w:eastAsia="宋体" w:cs="宋体"/>
                <w:i w:val="0"/>
                <w:iCs w:val="0"/>
                <w:color w:val="auto"/>
                <w:sz w:val="20"/>
                <w:szCs w:val="20"/>
                <w:highlight w:val="none"/>
                <w:u w:val="none"/>
              </w:rPr>
            </w:pPr>
          </w:p>
        </w:tc>
      </w:tr>
      <w:tr w14:paraId="7DBE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9A41B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8CE121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C6301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8CD7A8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46F13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94D78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05417E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73E27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18474A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27E0C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796D8B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DCC5C1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1A28FE4">
            <w:pPr>
              <w:jc w:val="center"/>
              <w:rPr>
                <w:rFonts w:hint="eastAsia" w:ascii="宋体" w:hAnsi="宋体" w:eastAsia="宋体" w:cs="宋体"/>
                <w:i w:val="0"/>
                <w:iCs w:val="0"/>
                <w:color w:val="auto"/>
                <w:sz w:val="20"/>
                <w:szCs w:val="20"/>
                <w:highlight w:val="none"/>
                <w:u w:val="none"/>
              </w:rPr>
            </w:pPr>
          </w:p>
        </w:tc>
      </w:tr>
      <w:tr w14:paraId="13F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0940A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C4CAF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BD71B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1EF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16B2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9669AE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6B10FB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3DFB8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B591F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D88D4A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DCF9D5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534B4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CC5D3CA">
            <w:pPr>
              <w:jc w:val="center"/>
              <w:rPr>
                <w:rFonts w:hint="eastAsia" w:ascii="宋体" w:hAnsi="宋体" w:eastAsia="宋体" w:cs="宋体"/>
                <w:i w:val="0"/>
                <w:iCs w:val="0"/>
                <w:color w:val="auto"/>
                <w:sz w:val="20"/>
                <w:szCs w:val="20"/>
                <w:highlight w:val="none"/>
                <w:u w:val="none"/>
              </w:rPr>
            </w:pPr>
          </w:p>
        </w:tc>
      </w:tr>
      <w:tr w14:paraId="1737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CE361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2D7E90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A5375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8336EF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E5CEF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D6CEB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AC2B4D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6B1506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F30B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0A3835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0DEEEF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A0F638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4169DA">
            <w:pPr>
              <w:jc w:val="center"/>
              <w:rPr>
                <w:rFonts w:hint="eastAsia" w:ascii="宋体" w:hAnsi="宋体" w:eastAsia="宋体" w:cs="宋体"/>
                <w:i w:val="0"/>
                <w:iCs w:val="0"/>
                <w:color w:val="auto"/>
                <w:sz w:val="20"/>
                <w:szCs w:val="20"/>
                <w:highlight w:val="none"/>
                <w:u w:val="none"/>
              </w:rPr>
            </w:pPr>
          </w:p>
        </w:tc>
      </w:tr>
      <w:tr w14:paraId="364F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D2570B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BD70F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BE2029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756ACB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CDDE88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8FE34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97D1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80F35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86592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5F4F9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F0A4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D5F62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4362B55">
            <w:pPr>
              <w:jc w:val="center"/>
              <w:rPr>
                <w:rFonts w:hint="eastAsia" w:ascii="宋体" w:hAnsi="宋体" w:eastAsia="宋体" w:cs="宋体"/>
                <w:i w:val="0"/>
                <w:iCs w:val="0"/>
                <w:color w:val="auto"/>
                <w:sz w:val="20"/>
                <w:szCs w:val="20"/>
                <w:highlight w:val="none"/>
                <w:u w:val="none"/>
              </w:rPr>
            </w:pPr>
          </w:p>
        </w:tc>
      </w:tr>
      <w:tr w14:paraId="6238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48D14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C4DA5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9F8F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8EA97D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88F82C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5D6AAB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01472E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41B26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FAE2DD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F6E47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B0AD0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3D0F9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2CE9E88">
            <w:pPr>
              <w:jc w:val="center"/>
              <w:rPr>
                <w:rFonts w:hint="eastAsia" w:ascii="宋体" w:hAnsi="宋体" w:eastAsia="宋体" w:cs="宋体"/>
                <w:i w:val="0"/>
                <w:iCs w:val="0"/>
                <w:color w:val="auto"/>
                <w:sz w:val="20"/>
                <w:szCs w:val="20"/>
                <w:highlight w:val="none"/>
                <w:u w:val="none"/>
              </w:rPr>
            </w:pPr>
          </w:p>
        </w:tc>
      </w:tr>
      <w:tr w14:paraId="2631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62A8B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3D0B610">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471C5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65369F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2869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8E8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F2AA2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EE477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3C817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A90B4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89565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F1BDF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1CC2C3">
            <w:pPr>
              <w:jc w:val="center"/>
              <w:rPr>
                <w:rFonts w:hint="eastAsia" w:ascii="宋体" w:hAnsi="宋体" w:eastAsia="宋体" w:cs="宋体"/>
                <w:i w:val="0"/>
                <w:iCs w:val="0"/>
                <w:color w:val="auto"/>
                <w:sz w:val="20"/>
                <w:szCs w:val="20"/>
                <w:highlight w:val="none"/>
                <w:u w:val="none"/>
              </w:rPr>
            </w:pPr>
          </w:p>
        </w:tc>
      </w:tr>
      <w:tr w14:paraId="6044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66899F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72EC9789">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D3EE9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F4B7A8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D95707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28F324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7BB8B6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031EB4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165255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C00E3A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8F8F4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6328D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F636DD2">
            <w:pPr>
              <w:jc w:val="center"/>
              <w:rPr>
                <w:rFonts w:hint="eastAsia" w:ascii="宋体" w:hAnsi="宋体" w:eastAsia="宋体" w:cs="宋体"/>
                <w:i w:val="0"/>
                <w:iCs w:val="0"/>
                <w:color w:val="auto"/>
                <w:sz w:val="20"/>
                <w:szCs w:val="20"/>
                <w:highlight w:val="none"/>
                <w:u w:val="none"/>
              </w:rPr>
            </w:pPr>
          </w:p>
        </w:tc>
      </w:tr>
      <w:tr w14:paraId="46B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79E7AF6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5B0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452ED2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6ADCA4E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D6EEE38">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4F109DC2">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09DE630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4F4BD05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305A967D">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328D594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3AD2C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11B144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47C257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0825BF0">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3EDD2C6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E651853">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6435891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66B5D4F4">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4CFA57E5">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C1E4B7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4DDB5E3">
      <w:pPr>
        <w:pStyle w:val="14"/>
        <w:rPr>
          <w:rFonts w:hint="eastAsia" w:ascii="仿宋" w:hAnsi="仿宋" w:eastAsia="仿宋" w:cs="仿宋"/>
          <w:b/>
          <w:bCs w:val="0"/>
          <w:color w:val="auto"/>
          <w:sz w:val="40"/>
          <w:szCs w:val="40"/>
          <w:highlight w:val="none"/>
          <w:shd w:val="clear" w:color="auto" w:fill="auto"/>
          <w:lang w:val="en-US" w:eastAsia="zh-CN"/>
        </w:rPr>
      </w:pPr>
    </w:p>
    <w:p w14:paraId="5DF3969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7CBA9E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C0E1F6">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8A08A57">
      <w:pPr>
        <w:pStyle w:val="14"/>
        <w:rPr>
          <w:rFonts w:hint="eastAsia" w:ascii="仿宋" w:hAnsi="仿宋" w:eastAsia="仿宋" w:cs="仿宋"/>
          <w:b/>
          <w:bCs/>
          <w:color w:val="auto"/>
          <w:sz w:val="36"/>
          <w:szCs w:val="36"/>
          <w:highlight w:val="none"/>
          <w:lang w:val="en-US" w:eastAsia="zh-CN"/>
        </w:rPr>
      </w:pPr>
    </w:p>
    <w:p w14:paraId="7B6FA271">
      <w:pPr>
        <w:pStyle w:val="14"/>
        <w:rPr>
          <w:rFonts w:hint="eastAsia" w:ascii="仿宋" w:hAnsi="仿宋" w:eastAsia="仿宋" w:cs="仿宋"/>
          <w:b/>
          <w:bCs/>
          <w:color w:val="auto"/>
          <w:sz w:val="36"/>
          <w:szCs w:val="36"/>
          <w:highlight w:val="none"/>
          <w:lang w:val="en-US" w:eastAsia="zh-CN"/>
        </w:rPr>
      </w:pPr>
    </w:p>
    <w:p w14:paraId="74AF497A">
      <w:pPr>
        <w:pStyle w:val="14"/>
        <w:rPr>
          <w:rFonts w:hint="eastAsia" w:ascii="仿宋" w:hAnsi="仿宋" w:eastAsia="仿宋" w:cs="仿宋"/>
          <w:b/>
          <w:bCs/>
          <w:color w:val="auto"/>
          <w:sz w:val="36"/>
          <w:szCs w:val="36"/>
          <w:highlight w:val="none"/>
          <w:lang w:val="en-US" w:eastAsia="zh-CN"/>
        </w:rPr>
      </w:pPr>
    </w:p>
    <w:p w14:paraId="58C9863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附件三</w:t>
      </w:r>
    </w:p>
    <w:p w14:paraId="4DBB36E9">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1F03694">
      <w:pPr>
        <w:ind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p>
    <w:p w14:paraId="29C738B0">
      <w:pPr>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东莞市中泰建安工程有限公司</w:t>
      </w:r>
    </w:p>
    <w:p w14:paraId="4A7658D4">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XXX</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,身份证号：</w:t>
      </w:r>
      <w:r>
        <w:rPr>
          <w:rFonts w:hint="eastAsia" w:ascii="仿宋" w:hAnsi="仿宋" w:eastAsia="仿宋" w:cs="仿宋"/>
          <w:color w:val="auto"/>
          <w:sz w:val="24"/>
          <w:szCs w:val="24"/>
          <w:highlight w:val="none"/>
          <w:u w:val="single"/>
          <w:lang w:val="en-US" w:eastAsia="zh-CN"/>
        </w:rPr>
        <w:t>XXXXXXXXXXXXXXXXXX</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公司的员工，</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日期间</w:t>
      </w:r>
      <w:r>
        <w:rPr>
          <w:rFonts w:hint="eastAsia" w:ascii="仿宋" w:hAnsi="仿宋" w:eastAsia="仿宋" w:cs="仿宋"/>
          <w:color w:val="auto"/>
          <w:sz w:val="24"/>
          <w:szCs w:val="24"/>
          <w:highlight w:val="none"/>
          <w:lang w:val="en-US" w:eastAsia="zh-CN"/>
        </w:rPr>
        <w:t>被</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公司安排</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总包单位为</w:t>
      </w:r>
      <w:r>
        <w:rPr>
          <w:rFonts w:hint="eastAsia" w:ascii="仿宋" w:hAnsi="仿宋" w:eastAsia="仿宋" w:cs="仿宋"/>
          <w:b w:val="0"/>
          <w:bCs w:val="0"/>
          <w:color w:val="auto"/>
          <w:sz w:val="24"/>
          <w:szCs w:val="24"/>
          <w:highlight w:val="none"/>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6BEE0713">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w:t>
      </w:r>
      <w:r>
        <w:rPr>
          <w:rFonts w:hint="eastAsia" w:ascii="仿宋" w:hAnsi="仿宋" w:eastAsia="仿宋" w:cs="仿宋"/>
          <w:color w:val="auto"/>
          <w:sz w:val="24"/>
          <w:szCs w:val="24"/>
          <w:highlight w:val="none"/>
          <w:lang w:val="en-US" w:eastAsia="zh-CN"/>
        </w:rPr>
        <w:t>本人</w:t>
      </w:r>
      <w:r>
        <w:rPr>
          <w:rFonts w:hint="eastAsia" w:ascii="仿宋" w:hAnsi="仿宋" w:eastAsia="仿宋" w:cs="仿宋"/>
          <w:color w:val="auto"/>
          <w:sz w:val="24"/>
          <w:szCs w:val="24"/>
          <w:highlight w:val="none"/>
        </w:rPr>
        <w:t>承诺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待</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r>
        <w:rPr>
          <w:rFonts w:hint="eastAsia" w:ascii="仿宋" w:hAnsi="仿宋" w:eastAsia="仿宋" w:cs="仿宋"/>
          <w:color w:val="auto"/>
          <w:sz w:val="24"/>
          <w:szCs w:val="24"/>
          <w:highlight w:val="none"/>
          <w:lang w:val="en-US" w:eastAsia="zh-CN"/>
        </w:rPr>
        <w:t>或</w:t>
      </w:r>
      <w:r>
        <w:rPr>
          <w:rFonts w:hint="eastAsia" w:ascii="仿宋" w:hAnsi="仿宋" w:eastAsia="仿宋" w:cs="仿宋"/>
          <w:b w:val="0"/>
          <w:bCs w:val="0"/>
          <w:color w:val="auto"/>
          <w:sz w:val="24"/>
          <w:szCs w:val="24"/>
          <w:highlight w:val="none"/>
          <w:lang w:val="en-US" w:eastAsia="zh-CN"/>
        </w:rPr>
        <w:t>东莞市中泰建安工程有限公司</w:t>
      </w:r>
      <w:r>
        <w:rPr>
          <w:rFonts w:hint="eastAsia" w:ascii="仿宋" w:hAnsi="仿宋" w:eastAsia="仿宋" w:cs="仿宋"/>
          <w:color w:val="auto"/>
          <w:sz w:val="24"/>
          <w:szCs w:val="24"/>
          <w:highlight w:val="none"/>
          <w:lang w:val="en-US" w:eastAsia="zh-CN"/>
        </w:rPr>
        <w:t>将本人在本项目</w:t>
      </w:r>
      <w:r>
        <w:rPr>
          <w:rFonts w:hint="eastAsia" w:ascii="仿宋" w:hAnsi="仿宋" w:eastAsia="仿宋" w:cs="仿宋"/>
          <w:color w:val="auto"/>
          <w:sz w:val="24"/>
          <w:szCs w:val="24"/>
          <w:highlight w:val="none"/>
        </w:rPr>
        <w:t>所有剩余工资</w:t>
      </w:r>
      <w:r>
        <w:rPr>
          <w:rFonts w:hint="eastAsia" w:ascii="仿宋" w:hAnsi="仿宋" w:eastAsia="仿宋" w:cs="仿宋"/>
          <w:color w:val="auto"/>
          <w:sz w:val="24"/>
          <w:szCs w:val="24"/>
          <w:highlight w:val="none"/>
          <w:lang w:val="en-US" w:eastAsia="zh-CN"/>
        </w:rPr>
        <w:t>汇</w:t>
      </w:r>
      <w:r>
        <w:rPr>
          <w:rFonts w:hint="eastAsia" w:ascii="仿宋" w:hAnsi="仿宋" w:eastAsia="仿宋" w:cs="仿宋"/>
          <w:color w:val="auto"/>
          <w:sz w:val="24"/>
          <w:szCs w:val="24"/>
          <w:highlight w:val="none"/>
        </w:rPr>
        <w:t>入</w:t>
      </w:r>
      <w:r>
        <w:rPr>
          <w:rFonts w:hint="eastAsia" w:ascii="仿宋" w:hAnsi="仿宋" w:eastAsia="仿宋" w:cs="仿宋"/>
          <w:color w:val="auto"/>
          <w:sz w:val="24"/>
          <w:szCs w:val="24"/>
          <w:highlight w:val="none"/>
          <w:lang w:val="en-US" w:eastAsia="zh-CN"/>
        </w:rPr>
        <w:t>本人指定收款账户</w:t>
      </w:r>
      <w:r>
        <w:rPr>
          <w:rFonts w:hint="eastAsia" w:ascii="仿宋" w:hAnsi="仿宋" w:eastAsia="仿宋" w:cs="仿宋"/>
          <w:color w:val="auto"/>
          <w:sz w:val="24"/>
          <w:szCs w:val="24"/>
          <w:highlight w:val="none"/>
        </w:rPr>
        <w:t>后，本人</w:t>
      </w:r>
      <w:r>
        <w:rPr>
          <w:rFonts w:hint="eastAsia" w:ascii="仿宋" w:hAnsi="仿宋" w:eastAsia="仿宋" w:cs="仿宋"/>
          <w:color w:val="auto"/>
          <w:sz w:val="24"/>
          <w:szCs w:val="24"/>
          <w:highlight w:val="none"/>
          <w:lang w:val="en-US" w:eastAsia="zh-CN"/>
        </w:rPr>
        <w:t>在本项目</w:t>
      </w:r>
      <w:r>
        <w:rPr>
          <w:rFonts w:hint="eastAsia" w:ascii="仿宋" w:hAnsi="仿宋" w:eastAsia="仿宋" w:cs="仿宋"/>
          <w:color w:val="auto"/>
          <w:sz w:val="24"/>
          <w:szCs w:val="24"/>
          <w:highlight w:val="none"/>
        </w:rPr>
        <w:t>工资</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全部结清。若后期再次</w:t>
      </w:r>
      <w:r>
        <w:rPr>
          <w:rFonts w:hint="eastAsia" w:ascii="仿宋" w:hAnsi="仿宋" w:eastAsia="仿宋" w:cs="仿宋"/>
          <w:color w:val="auto"/>
          <w:sz w:val="24"/>
          <w:szCs w:val="24"/>
          <w:highlight w:val="none"/>
          <w:lang w:val="en-US" w:eastAsia="zh-CN"/>
        </w:rPr>
        <w:t>以本项目为由</w:t>
      </w:r>
      <w:r>
        <w:rPr>
          <w:rFonts w:hint="eastAsia" w:ascii="仿宋" w:hAnsi="仿宋" w:eastAsia="仿宋" w:cs="仿宋"/>
          <w:color w:val="auto"/>
          <w:sz w:val="24"/>
          <w:szCs w:val="24"/>
          <w:highlight w:val="none"/>
        </w:rPr>
        <w:t>索要工资，均可视为恶意讨薪行为，我本人愿意为此承担一切法律责任和经济后果</w:t>
      </w:r>
      <w:r>
        <w:rPr>
          <w:rFonts w:hint="eastAsia" w:ascii="仿宋" w:hAnsi="仿宋" w:eastAsia="仿宋" w:cs="仿宋"/>
          <w:color w:val="auto"/>
          <w:sz w:val="24"/>
          <w:szCs w:val="24"/>
          <w:highlight w:val="none"/>
          <w:lang w:eastAsia="zh-CN"/>
        </w:rPr>
        <w:t>。</w:t>
      </w:r>
    </w:p>
    <w:p w14:paraId="6332CB1A">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本人指定收款账户信息如下</w:t>
      </w:r>
      <w:r>
        <w:rPr>
          <w:rFonts w:hint="eastAsia" w:ascii="仿宋" w:hAnsi="仿宋" w:eastAsia="仿宋" w:cs="仿宋"/>
          <w:color w:val="auto"/>
          <w:sz w:val="24"/>
          <w:szCs w:val="24"/>
          <w:highlight w:val="none"/>
        </w:rPr>
        <w:t>:</w:t>
      </w:r>
    </w:p>
    <w:p w14:paraId="308D5B1A">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银行名称：</w:t>
      </w:r>
      <w:r>
        <w:rPr>
          <w:rFonts w:hint="eastAsia" w:ascii="仿宋" w:hAnsi="仿宋" w:eastAsia="仿宋" w:cs="仿宋"/>
          <w:color w:val="auto"/>
          <w:sz w:val="24"/>
          <w:szCs w:val="24"/>
          <w:highlight w:val="none"/>
          <w:u w:val="none"/>
          <w:lang w:val="en-US" w:eastAsia="zh-CN"/>
        </w:rPr>
        <w:t>XX银行XX支行</w:t>
      </w:r>
    </w:p>
    <w:p w14:paraId="35505766">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账    号：XXXXXX</w:t>
      </w:r>
    </w:p>
    <w:p w14:paraId="07A5E352">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户    名：XXX</w:t>
      </w:r>
    </w:p>
    <w:p w14:paraId="021438A7">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特此承诺。</w:t>
      </w:r>
    </w:p>
    <w:p w14:paraId="0A47579A">
      <w:pPr>
        <w:ind w:firstLine="5040" w:firstLineChars="2100"/>
        <w:rPr>
          <w:rFonts w:hint="eastAsia" w:ascii="仿宋" w:hAnsi="仿宋" w:eastAsia="仿宋" w:cs="仿宋"/>
          <w:color w:val="auto"/>
          <w:sz w:val="24"/>
          <w:szCs w:val="24"/>
          <w:highlight w:val="none"/>
        </w:rPr>
      </w:pPr>
    </w:p>
    <w:p w14:paraId="6EBBADC9">
      <w:pPr>
        <w:ind w:firstLine="4080" w:firstLineChars="17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承诺人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签名按指纹）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none"/>
          <w:lang w:val="en-US" w:eastAsia="zh-CN"/>
        </w:rPr>
        <w:t>XXX</w:t>
      </w:r>
    </w:p>
    <w:p w14:paraId="326BF287">
      <w:pPr>
        <w:ind w:firstLine="4080" w:firstLineChars="1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 期：XXXX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X月X</w:t>
      </w:r>
      <w:r>
        <w:rPr>
          <w:rFonts w:hint="eastAsia" w:ascii="仿宋" w:hAnsi="仿宋" w:eastAsia="仿宋" w:cs="仿宋"/>
          <w:color w:val="auto"/>
          <w:sz w:val="24"/>
          <w:szCs w:val="24"/>
          <w:highlight w:val="none"/>
        </w:rPr>
        <w:t>日</w:t>
      </w:r>
    </w:p>
    <w:p w14:paraId="2353AFC1">
      <w:pPr>
        <w:ind w:firstLine="4760" w:firstLineChars="1700"/>
        <w:rPr>
          <w:rFonts w:hint="eastAsia" w:ascii="仿宋" w:hAnsi="仿宋" w:eastAsia="仿宋" w:cs="仿宋"/>
          <w:color w:val="auto"/>
          <w:sz w:val="28"/>
          <w:szCs w:val="28"/>
          <w:highlight w:val="none"/>
          <w:lang w:val="en-US" w:eastAsia="zh-CN"/>
        </w:rPr>
      </w:pPr>
    </w:p>
    <w:p w14:paraId="0CCDC83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445E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p>
    <w:p w14:paraId="7A2F425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0EA5F2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附件四</w:t>
      </w:r>
    </w:p>
    <w:p w14:paraId="17339282">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3173F5DF">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1A420ED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392A726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46900F2F">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606C3315">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7F83A87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298"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298"/>
    </w:p>
    <w:p w14:paraId="1DDA1D73">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63AF3E6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3998E694">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C51DAE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578A493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06A269B8">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2632695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35E30D2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0CCB9D8A">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5B377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910554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22A6D366">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z w:val="22"/>
          <w:szCs w:val="22"/>
          <w:highlight w:val="none"/>
          <w:u w:val="none"/>
          <w:lang w:val="en-US" w:eastAsia="zh-CN"/>
        </w:rPr>
        <w:t>日   期：××年××月××日</w:t>
      </w:r>
    </w:p>
    <w:p w14:paraId="2BFDD2D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A30AD60">
      <w:pPr>
        <w:pStyle w:val="14"/>
        <w:rPr>
          <w:rFonts w:hint="eastAsia" w:ascii="仿宋" w:hAnsi="仿宋" w:eastAsia="仿宋" w:cs="仿宋"/>
          <w:b/>
          <w:bCs/>
          <w:color w:val="auto"/>
          <w:sz w:val="36"/>
          <w:szCs w:val="36"/>
          <w:highlight w:val="none"/>
          <w:lang w:val="en-US" w:eastAsia="zh-CN"/>
        </w:rPr>
      </w:pPr>
    </w:p>
    <w:p w14:paraId="2FBF124D">
      <w:pPr>
        <w:pStyle w:val="14"/>
        <w:rPr>
          <w:rFonts w:hint="eastAsia" w:ascii="仿宋" w:hAnsi="仿宋" w:eastAsia="仿宋" w:cs="仿宋"/>
          <w:b/>
          <w:bCs/>
          <w:color w:val="auto"/>
          <w:sz w:val="36"/>
          <w:szCs w:val="36"/>
          <w:highlight w:val="none"/>
          <w:lang w:val="en-US" w:eastAsia="zh-CN"/>
        </w:rPr>
      </w:pPr>
    </w:p>
    <w:p w14:paraId="69C8630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bookmarkStart w:id="299" w:name="_Toc8672"/>
      <w:r>
        <w:rPr>
          <w:rFonts w:hint="eastAsia" w:ascii="仿宋" w:hAnsi="仿宋" w:eastAsia="仿宋" w:cs="仿宋"/>
          <w:b/>
          <w:bCs/>
          <w:color w:val="auto"/>
          <w:sz w:val="36"/>
          <w:szCs w:val="36"/>
          <w:highlight w:val="none"/>
          <w:lang w:val="en-US" w:eastAsia="zh-CN"/>
        </w:rPr>
        <w:t>附件</w:t>
      </w:r>
      <w:bookmarkEnd w:id="299"/>
      <w:r>
        <w:rPr>
          <w:rFonts w:hint="eastAsia" w:ascii="仿宋" w:hAnsi="仿宋" w:eastAsia="仿宋" w:cs="仿宋"/>
          <w:b/>
          <w:bCs/>
          <w:color w:val="auto"/>
          <w:sz w:val="36"/>
          <w:szCs w:val="36"/>
          <w:highlight w:val="none"/>
          <w:lang w:val="en-US" w:eastAsia="zh-CN"/>
        </w:rPr>
        <w:t>五</w:t>
      </w:r>
    </w:p>
    <w:p w14:paraId="7D64DFF6">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eastAsia" w:ascii="仿宋" w:hAnsi="仿宋" w:eastAsia="仿宋" w:cs="仿宋"/>
          <w:b/>
          <w:bCs/>
          <w:color w:val="auto"/>
          <w:spacing w:val="-4"/>
          <w:position w:val="21"/>
          <w:sz w:val="32"/>
          <w:szCs w:val="32"/>
          <w:highlight w:val="none"/>
          <w:lang w:val="en-US" w:eastAsia="zh-CN"/>
        </w:rPr>
      </w:pPr>
      <w:bookmarkStart w:id="300" w:name="_Toc6755"/>
      <w:bookmarkStart w:id="301" w:name="_Toc28229"/>
      <w:r>
        <w:rPr>
          <w:rFonts w:hint="eastAsia" w:ascii="仿宋" w:hAnsi="仿宋" w:eastAsia="仿宋" w:cs="仿宋"/>
          <w:b/>
          <w:bCs/>
          <w:color w:val="auto"/>
          <w:sz w:val="28"/>
          <w:szCs w:val="28"/>
          <w:highlight w:val="none"/>
          <w:u w:val="single"/>
          <w:lang w:val="en-US" w:eastAsia="zh-CN"/>
        </w:rPr>
        <w:t>XXXXXXXX工程</w:t>
      </w:r>
      <w:r>
        <w:rPr>
          <w:rFonts w:hint="eastAsia" w:ascii="仿宋" w:hAnsi="仿宋" w:eastAsia="仿宋" w:cs="仿宋"/>
          <w:b/>
          <w:bCs/>
          <w:color w:val="auto"/>
          <w:sz w:val="28"/>
          <w:szCs w:val="28"/>
          <w:highlight w:val="none"/>
        </w:rPr>
        <w:t>结算资料目录</w:t>
      </w:r>
      <w:bookmarkEnd w:id="300"/>
      <w:bookmarkEnd w:id="301"/>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color w:val="auto"/>
          <w:sz w:val="36"/>
          <w:szCs w:val="36"/>
          <w:highlight w:val="none"/>
          <w:lang w:val="en-US" w:eastAsia="zh-CN"/>
        </w:rPr>
        <w:t xml:space="preserve">   </w:t>
      </w:r>
    </w:p>
    <w:p w14:paraId="721BFEDF">
      <w:pPr>
        <w:ind w:firstLine="0" w:firstLineChars="0"/>
        <w:rPr>
          <w:rFonts w:hint="eastAsia" w:ascii="仿宋" w:hAnsi="仿宋" w:eastAsia="仿宋" w:cs="仿宋"/>
          <w:color w:val="auto"/>
          <w:sz w:val="24"/>
          <w:highlight w:val="none"/>
          <w:u w:val="single"/>
          <w:lang w:eastAsia="zh-CN"/>
        </w:rPr>
      </w:pPr>
      <w:r>
        <w:rPr>
          <w:rFonts w:hint="eastAsia" w:ascii="仿宋" w:hAnsi="仿宋" w:eastAsia="仿宋" w:cs="仿宋"/>
          <w:color w:val="auto"/>
          <w:sz w:val="22"/>
          <w:szCs w:val="21"/>
          <w:highlight w:val="none"/>
        </w:rPr>
        <w:t>填表日期:</w:t>
      </w:r>
      <w:r>
        <w:rPr>
          <w:rFonts w:hint="eastAsia" w:ascii="仿宋" w:hAnsi="仿宋" w:eastAsia="仿宋" w:cs="仿宋"/>
          <w:color w:val="auto"/>
          <w:sz w:val="22"/>
          <w:szCs w:val="21"/>
          <w:highlight w:val="none"/>
          <w:u w:val="single"/>
        </w:rPr>
        <w:t xml:space="preserve"> </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年</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月</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日</w:t>
      </w:r>
      <w:r>
        <w:rPr>
          <w:rFonts w:hint="eastAsia" w:ascii="仿宋" w:hAnsi="仿宋" w:eastAsia="仿宋" w:cs="仿宋"/>
          <w:color w:val="auto"/>
          <w:sz w:val="22"/>
          <w:szCs w:val="21"/>
          <w:highlight w:val="none"/>
        </w:rPr>
        <w:t xml:space="preserve">  </w:t>
      </w:r>
      <w:r>
        <w:rPr>
          <w:rFonts w:hint="eastAsia" w:ascii="仿宋" w:hAnsi="仿宋" w:eastAsia="仿宋" w:cs="仿宋"/>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EE0B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6258ED72">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29831551">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136313E5">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份</w:t>
            </w:r>
            <w:r>
              <w:rPr>
                <w:rFonts w:hint="eastAsia" w:ascii="仿宋" w:hAnsi="仿宋" w:eastAsia="仿宋" w:cs="仿宋"/>
                <w:b/>
                <w:color w:val="auto"/>
                <w:sz w:val="24"/>
                <w:highlight w:val="none"/>
              </w:rPr>
              <w:t>数</w:t>
            </w:r>
          </w:p>
        </w:tc>
        <w:tc>
          <w:tcPr>
            <w:tcW w:w="2732" w:type="dxa"/>
            <w:tcBorders>
              <w:top w:val="single" w:color="auto" w:sz="12" w:space="0"/>
              <w:bottom w:val="single" w:color="auto" w:sz="12" w:space="0"/>
            </w:tcBorders>
            <w:noWrap w:val="0"/>
            <w:vAlign w:val="center"/>
          </w:tcPr>
          <w:p w14:paraId="66196249">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       注</w:t>
            </w:r>
          </w:p>
        </w:tc>
      </w:tr>
      <w:tr w14:paraId="1A0F1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17F3B560">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成本管理部提供（正副本各一份）</w:t>
            </w:r>
          </w:p>
        </w:tc>
      </w:tr>
      <w:tr w14:paraId="612F4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286176EB">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915665">
            <w:pPr>
              <w:spacing w:line="440" w:lineRule="atLeast"/>
              <w:jc w:val="left"/>
              <w:rPr>
                <w:rFonts w:hint="eastAsia" w:ascii="仿宋" w:hAnsi="仿宋" w:eastAsia="仿宋" w:cs="仿宋"/>
                <w:b/>
                <w:color w:val="auto"/>
                <w:sz w:val="24"/>
                <w:highlight w:val="none"/>
                <w:lang w:eastAsia="zh-CN"/>
              </w:rPr>
            </w:pPr>
            <w:r>
              <w:rPr>
                <w:rFonts w:hint="eastAsia" w:ascii="仿宋" w:hAnsi="仿宋" w:eastAsia="仿宋" w:cs="仿宋"/>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38E5B78">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0278B1EF">
            <w:pPr>
              <w:spacing w:line="440" w:lineRule="atLeast"/>
              <w:jc w:val="center"/>
              <w:rPr>
                <w:rFonts w:hint="eastAsia" w:ascii="仿宋" w:hAnsi="仿宋" w:eastAsia="仿宋" w:cs="仿宋"/>
                <w:b/>
                <w:color w:val="auto"/>
                <w:sz w:val="24"/>
                <w:highlight w:val="none"/>
                <w:lang w:val="en-US" w:eastAsia="zh-CN"/>
              </w:rPr>
            </w:pPr>
          </w:p>
        </w:tc>
      </w:tr>
      <w:tr w14:paraId="4AE36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1981E80B">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p>
        </w:tc>
        <w:tc>
          <w:tcPr>
            <w:tcW w:w="4407" w:type="dxa"/>
            <w:gridSpan w:val="2"/>
            <w:tcBorders>
              <w:top w:val="single" w:color="auto" w:sz="8" w:space="0"/>
            </w:tcBorders>
            <w:noWrap w:val="0"/>
            <w:vAlign w:val="center"/>
          </w:tcPr>
          <w:p w14:paraId="24F86D9D">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eastAsia="zh-CN"/>
              </w:rPr>
              <w:t>结算确认书</w:t>
            </w:r>
          </w:p>
        </w:tc>
        <w:tc>
          <w:tcPr>
            <w:tcW w:w="760" w:type="dxa"/>
            <w:tcBorders>
              <w:top w:val="single" w:color="auto" w:sz="8" w:space="0"/>
            </w:tcBorders>
            <w:noWrap w:val="0"/>
            <w:vAlign w:val="center"/>
          </w:tcPr>
          <w:p w14:paraId="11DFF9FF">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single" w:color="auto" w:sz="8" w:space="0"/>
            </w:tcBorders>
            <w:noWrap w:val="0"/>
            <w:vAlign w:val="center"/>
          </w:tcPr>
          <w:p w14:paraId="498BBFD2">
            <w:pPr>
              <w:spacing w:line="440" w:lineRule="atLeast"/>
              <w:jc w:val="center"/>
              <w:rPr>
                <w:rFonts w:hint="eastAsia" w:ascii="仿宋" w:hAnsi="仿宋" w:eastAsia="仿宋" w:cs="仿宋"/>
                <w:color w:val="auto"/>
                <w:sz w:val="24"/>
                <w:highlight w:val="none"/>
                <w:lang w:eastAsia="zh-CN"/>
              </w:rPr>
            </w:pPr>
          </w:p>
        </w:tc>
      </w:tr>
      <w:tr w14:paraId="03DD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6DB24AD">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p>
        </w:tc>
        <w:tc>
          <w:tcPr>
            <w:tcW w:w="4407" w:type="dxa"/>
            <w:gridSpan w:val="2"/>
            <w:tcBorders>
              <w:top w:val="nil"/>
            </w:tcBorders>
            <w:noWrap w:val="0"/>
            <w:vAlign w:val="center"/>
          </w:tcPr>
          <w:p w14:paraId="0CB786B8">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结算审核汇总表</w:t>
            </w:r>
          </w:p>
        </w:tc>
        <w:tc>
          <w:tcPr>
            <w:tcW w:w="760" w:type="dxa"/>
            <w:tcBorders>
              <w:top w:val="nil"/>
            </w:tcBorders>
            <w:noWrap w:val="0"/>
            <w:vAlign w:val="center"/>
          </w:tcPr>
          <w:p w14:paraId="3919AD68">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nil"/>
            </w:tcBorders>
            <w:noWrap w:val="0"/>
            <w:vAlign w:val="center"/>
          </w:tcPr>
          <w:p w14:paraId="66032C55">
            <w:pPr>
              <w:spacing w:line="440" w:lineRule="atLeast"/>
              <w:jc w:val="center"/>
              <w:rPr>
                <w:rFonts w:hint="eastAsia" w:ascii="仿宋" w:hAnsi="仿宋" w:eastAsia="仿宋" w:cs="仿宋"/>
                <w:color w:val="auto"/>
                <w:sz w:val="24"/>
                <w:highlight w:val="none"/>
                <w:lang w:eastAsia="zh-CN"/>
              </w:rPr>
            </w:pPr>
          </w:p>
        </w:tc>
      </w:tr>
      <w:tr w14:paraId="08433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48FABE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p w14:paraId="27B924A6">
            <w:pPr>
              <w:spacing w:line="440" w:lineRule="atLeast"/>
              <w:jc w:val="center"/>
              <w:rPr>
                <w:rFonts w:hint="eastAsia" w:ascii="仿宋" w:hAnsi="仿宋" w:eastAsia="仿宋" w:cs="仿宋"/>
                <w:color w:val="auto"/>
                <w:sz w:val="24"/>
                <w:highlight w:val="none"/>
                <w:lang w:val="en-US" w:eastAsia="zh-CN"/>
              </w:rPr>
            </w:pPr>
          </w:p>
          <w:p w14:paraId="7D70CCCD">
            <w:pPr>
              <w:spacing w:line="440" w:lineRule="atLeast"/>
              <w:jc w:val="center"/>
              <w:rPr>
                <w:rFonts w:hint="eastAsia" w:ascii="仿宋" w:hAnsi="仿宋" w:eastAsia="仿宋" w:cs="仿宋"/>
                <w:color w:val="auto"/>
                <w:sz w:val="24"/>
                <w:highlight w:val="none"/>
                <w:lang w:val="en-US" w:eastAsia="zh-CN"/>
              </w:rPr>
            </w:pPr>
          </w:p>
        </w:tc>
        <w:tc>
          <w:tcPr>
            <w:tcW w:w="4407" w:type="dxa"/>
            <w:gridSpan w:val="2"/>
            <w:tcBorders>
              <w:top w:val="nil"/>
            </w:tcBorders>
            <w:noWrap w:val="0"/>
            <w:vAlign w:val="center"/>
          </w:tcPr>
          <w:p w14:paraId="2EF41234">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审核结算书</w:t>
            </w:r>
          </w:p>
        </w:tc>
        <w:tc>
          <w:tcPr>
            <w:tcW w:w="760" w:type="dxa"/>
            <w:tcBorders>
              <w:top w:val="nil"/>
            </w:tcBorders>
            <w:noWrap w:val="0"/>
            <w:vAlign w:val="center"/>
          </w:tcPr>
          <w:p w14:paraId="175E686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0B099F9">
            <w:pPr>
              <w:spacing w:line="440" w:lineRule="atLeast"/>
              <w:jc w:val="center"/>
              <w:rPr>
                <w:rFonts w:hint="eastAsia" w:ascii="仿宋" w:hAnsi="仿宋" w:eastAsia="仿宋" w:cs="仿宋"/>
                <w:color w:val="auto"/>
                <w:sz w:val="24"/>
                <w:highlight w:val="none"/>
                <w:lang w:eastAsia="zh-CN"/>
              </w:rPr>
            </w:pPr>
          </w:p>
        </w:tc>
      </w:tr>
      <w:tr w14:paraId="7E496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7CBAC9BD">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分包单位提供（正副本各一份）</w:t>
            </w:r>
          </w:p>
        </w:tc>
      </w:tr>
      <w:tr w14:paraId="2C0D4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09668DC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分包单位结算申请书</w:t>
            </w:r>
          </w:p>
        </w:tc>
        <w:tc>
          <w:tcPr>
            <w:tcW w:w="510" w:type="dxa"/>
            <w:tcBorders>
              <w:top w:val="nil"/>
            </w:tcBorders>
            <w:noWrap w:val="0"/>
            <w:vAlign w:val="center"/>
          </w:tcPr>
          <w:p w14:paraId="4F48AE8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4407" w:type="dxa"/>
            <w:gridSpan w:val="2"/>
            <w:tcBorders>
              <w:top w:val="nil"/>
            </w:tcBorders>
            <w:noWrap w:val="0"/>
            <w:vAlign w:val="center"/>
          </w:tcPr>
          <w:p w14:paraId="511D69BF">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封面</w:t>
            </w:r>
          </w:p>
        </w:tc>
        <w:tc>
          <w:tcPr>
            <w:tcW w:w="760" w:type="dxa"/>
            <w:tcBorders>
              <w:top w:val="nil"/>
            </w:tcBorders>
            <w:noWrap w:val="0"/>
            <w:vAlign w:val="center"/>
          </w:tcPr>
          <w:p w14:paraId="0CA79F64">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8EFF37F">
            <w:pPr>
              <w:spacing w:line="440" w:lineRule="atLeast"/>
              <w:jc w:val="center"/>
              <w:rPr>
                <w:rFonts w:hint="eastAsia" w:ascii="仿宋" w:hAnsi="仿宋" w:eastAsia="仿宋" w:cs="仿宋"/>
                <w:color w:val="auto"/>
                <w:sz w:val="24"/>
                <w:highlight w:val="none"/>
                <w:lang w:val="en-US" w:eastAsia="zh-CN"/>
              </w:rPr>
            </w:pPr>
          </w:p>
        </w:tc>
      </w:tr>
      <w:tr w14:paraId="5E13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B3599D">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30AEDDD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4407" w:type="dxa"/>
            <w:gridSpan w:val="2"/>
            <w:tcBorders>
              <w:top w:val="nil"/>
            </w:tcBorders>
            <w:noWrap w:val="0"/>
            <w:vAlign w:val="center"/>
          </w:tcPr>
          <w:p w14:paraId="2A299581">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目录</w:t>
            </w:r>
          </w:p>
        </w:tc>
        <w:tc>
          <w:tcPr>
            <w:tcW w:w="760" w:type="dxa"/>
            <w:tcBorders>
              <w:top w:val="nil"/>
            </w:tcBorders>
            <w:noWrap w:val="0"/>
            <w:vAlign w:val="center"/>
          </w:tcPr>
          <w:p w14:paraId="1BE45F38">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3D9E56">
            <w:pPr>
              <w:spacing w:line="440" w:lineRule="atLeast"/>
              <w:jc w:val="center"/>
              <w:rPr>
                <w:rFonts w:hint="eastAsia" w:ascii="仿宋" w:hAnsi="仿宋" w:eastAsia="仿宋" w:cs="仿宋"/>
                <w:color w:val="auto"/>
                <w:sz w:val="24"/>
                <w:highlight w:val="none"/>
                <w:lang w:val="en-US" w:eastAsia="zh-CN"/>
              </w:rPr>
            </w:pPr>
          </w:p>
        </w:tc>
      </w:tr>
      <w:tr w14:paraId="379F8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99DF09">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15BE9F02">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4407" w:type="dxa"/>
            <w:gridSpan w:val="2"/>
            <w:tcBorders>
              <w:top w:val="nil"/>
            </w:tcBorders>
            <w:noWrap w:val="0"/>
            <w:vAlign w:val="center"/>
          </w:tcPr>
          <w:p w14:paraId="71C1D1C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结算申请表</w:t>
            </w:r>
          </w:p>
        </w:tc>
        <w:tc>
          <w:tcPr>
            <w:tcW w:w="760" w:type="dxa"/>
            <w:tcBorders>
              <w:top w:val="nil"/>
            </w:tcBorders>
            <w:noWrap w:val="0"/>
            <w:vAlign w:val="center"/>
          </w:tcPr>
          <w:p w14:paraId="3DFFF126">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4902AFB">
            <w:pPr>
              <w:spacing w:line="440" w:lineRule="atLeast"/>
              <w:jc w:val="center"/>
              <w:rPr>
                <w:rFonts w:hint="eastAsia" w:ascii="仿宋" w:hAnsi="仿宋" w:eastAsia="仿宋" w:cs="仿宋"/>
                <w:color w:val="auto"/>
                <w:kern w:val="2"/>
                <w:sz w:val="24"/>
                <w:highlight w:val="none"/>
                <w:lang w:val="en-US" w:eastAsia="zh-CN"/>
              </w:rPr>
            </w:pPr>
          </w:p>
        </w:tc>
      </w:tr>
      <w:tr w14:paraId="441D7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1D45A05">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73C21E4A">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tc>
        <w:tc>
          <w:tcPr>
            <w:tcW w:w="4407" w:type="dxa"/>
            <w:gridSpan w:val="2"/>
            <w:tcBorders>
              <w:top w:val="nil"/>
            </w:tcBorders>
            <w:noWrap w:val="0"/>
            <w:vAlign w:val="center"/>
          </w:tcPr>
          <w:p w14:paraId="7CCE1CB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工程结算资料审查表</w:t>
            </w:r>
          </w:p>
        </w:tc>
        <w:tc>
          <w:tcPr>
            <w:tcW w:w="760" w:type="dxa"/>
            <w:tcBorders>
              <w:top w:val="nil"/>
            </w:tcBorders>
            <w:noWrap w:val="0"/>
            <w:vAlign w:val="center"/>
          </w:tcPr>
          <w:p w14:paraId="5D60C52F">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77F0162">
            <w:pPr>
              <w:spacing w:line="440" w:lineRule="atLeast"/>
              <w:jc w:val="center"/>
              <w:rPr>
                <w:rFonts w:hint="eastAsia" w:ascii="仿宋" w:hAnsi="仿宋" w:eastAsia="仿宋" w:cs="仿宋"/>
                <w:color w:val="auto"/>
                <w:sz w:val="24"/>
                <w:highlight w:val="none"/>
                <w:lang w:val="en-US" w:eastAsia="zh-CN"/>
              </w:rPr>
            </w:pPr>
          </w:p>
        </w:tc>
      </w:tr>
      <w:tr w14:paraId="3D067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26AE3769">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5E293E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4407" w:type="dxa"/>
            <w:gridSpan w:val="2"/>
            <w:tcBorders>
              <w:top w:val="nil"/>
            </w:tcBorders>
            <w:noWrap w:val="0"/>
            <w:vAlign w:val="center"/>
          </w:tcPr>
          <w:p w14:paraId="76358E07">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送审承诺书</w:t>
            </w:r>
          </w:p>
        </w:tc>
        <w:tc>
          <w:tcPr>
            <w:tcW w:w="760" w:type="dxa"/>
            <w:tcBorders>
              <w:top w:val="nil"/>
            </w:tcBorders>
            <w:noWrap w:val="0"/>
            <w:vAlign w:val="center"/>
          </w:tcPr>
          <w:p w14:paraId="4BD75F5E">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2F7CCAAD">
            <w:pPr>
              <w:spacing w:line="440" w:lineRule="atLeast"/>
              <w:jc w:val="center"/>
              <w:rPr>
                <w:rFonts w:hint="eastAsia" w:ascii="仿宋" w:hAnsi="仿宋" w:eastAsia="仿宋" w:cs="仿宋"/>
                <w:color w:val="auto"/>
                <w:kern w:val="2"/>
                <w:sz w:val="24"/>
                <w:highlight w:val="none"/>
                <w:lang w:val="en-US" w:eastAsia="zh-CN"/>
              </w:rPr>
            </w:pPr>
          </w:p>
        </w:tc>
      </w:tr>
      <w:tr w14:paraId="68BA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F7A3BD1">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41F2870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p>
        </w:tc>
        <w:tc>
          <w:tcPr>
            <w:tcW w:w="4407" w:type="dxa"/>
            <w:gridSpan w:val="2"/>
            <w:tcBorders>
              <w:top w:val="nil"/>
            </w:tcBorders>
            <w:noWrap w:val="0"/>
            <w:vAlign w:val="center"/>
          </w:tcPr>
          <w:p w14:paraId="4FE97343">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结算承诺书</w:t>
            </w:r>
          </w:p>
        </w:tc>
        <w:tc>
          <w:tcPr>
            <w:tcW w:w="760" w:type="dxa"/>
            <w:tcBorders>
              <w:top w:val="nil"/>
            </w:tcBorders>
            <w:noWrap w:val="0"/>
            <w:vAlign w:val="center"/>
          </w:tcPr>
          <w:p w14:paraId="13E87371">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F57806C">
            <w:pPr>
              <w:spacing w:line="440" w:lineRule="atLeast"/>
              <w:jc w:val="center"/>
              <w:rPr>
                <w:rFonts w:hint="eastAsia" w:ascii="仿宋" w:hAnsi="仿宋" w:eastAsia="仿宋" w:cs="仿宋"/>
                <w:color w:val="auto"/>
                <w:kern w:val="2"/>
                <w:sz w:val="24"/>
                <w:highlight w:val="none"/>
                <w:lang w:val="en-US" w:eastAsia="zh-CN"/>
              </w:rPr>
            </w:pPr>
          </w:p>
        </w:tc>
      </w:tr>
      <w:tr w14:paraId="77919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5A41BA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1E62B3A5">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7</w:t>
            </w:r>
          </w:p>
        </w:tc>
        <w:tc>
          <w:tcPr>
            <w:tcW w:w="4407" w:type="dxa"/>
            <w:gridSpan w:val="2"/>
            <w:tcBorders>
              <w:top w:val="nil"/>
            </w:tcBorders>
            <w:noWrap w:val="0"/>
            <w:vAlign w:val="center"/>
          </w:tcPr>
          <w:p w14:paraId="7D11AA02">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工程结算支付证明单</w:t>
            </w:r>
          </w:p>
          <w:p w14:paraId="1FC45EB0">
            <w:pPr>
              <w:tabs>
                <w:tab w:val="left" w:pos="1138"/>
              </w:tabs>
              <w:spacing w:line="440" w:lineRule="atLeast"/>
              <w:rPr>
                <w:rFonts w:hint="eastAsia" w:ascii="仿宋" w:hAnsi="仿宋" w:eastAsia="仿宋" w:cs="仿宋"/>
                <w:color w:val="auto"/>
                <w:sz w:val="24"/>
                <w:highlight w:val="none"/>
                <w:lang w:val="en-US" w:eastAsia="zh-CN"/>
              </w:rPr>
            </w:pPr>
          </w:p>
        </w:tc>
        <w:tc>
          <w:tcPr>
            <w:tcW w:w="760" w:type="dxa"/>
            <w:tcBorders>
              <w:top w:val="nil"/>
            </w:tcBorders>
            <w:noWrap w:val="0"/>
            <w:vAlign w:val="center"/>
          </w:tcPr>
          <w:p w14:paraId="49E170D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1A2F37D">
            <w:pPr>
              <w:spacing w:line="440" w:lineRule="atLeast"/>
              <w:jc w:val="center"/>
              <w:rPr>
                <w:rFonts w:hint="eastAsia" w:ascii="仿宋" w:hAnsi="仿宋" w:eastAsia="仿宋" w:cs="仿宋"/>
                <w:color w:val="auto"/>
                <w:sz w:val="24"/>
                <w:highlight w:val="none"/>
                <w:lang w:val="en-US" w:eastAsia="zh-CN"/>
              </w:rPr>
            </w:pPr>
          </w:p>
        </w:tc>
      </w:tr>
      <w:tr w14:paraId="12DA6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CFA44D4">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C75FDF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4407" w:type="dxa"/>
            <w:gridSpan w:val="2"/>
            <w:tcBorders>
              <w:top w:val="nil"/>
            </w:tcBorders>
            <w:noWrap w:val="0"/>
            <w:vAlign w:val="center"/>
          </w:tcPr>
          <w:p w14:paraId="232EB41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分包情况说明</w:t>
            </w:r>
          </w:p>
        </w:tc>
        <w:tc>
          <w:tcPr>
            <w:tcW w:w="760" w:type="dxa"/>
            <w:tcBorders>
              <w:top w:val="nil"/>
            </w:tcBorders>
            <w:noWrap w:val="0"/>
            <w:vAlign w:val="center"/>
          </w:tcPr>
          <w:p w14:paraId="429BA8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7804EB">
            <w:pPr>
              <w:spacing w:line="440" w:lineRule="atLeast"/>
              <w:jc w:val="center"/>
              <w:rPr>
                <w:rFonts w:hint="eastAsia" w:ascii="仿宋" w:hAnsi="仿宋" w:eastAsia="仿宋" w:cs="仿宋"/>
                <w:color w:val="auto"/>
                <w:kern w:val="2"/>
                <w:sz w:val="24"/>
                <w:highlight w:val="none"/>
                <w:lang w:val="en-US" w:eastAsia="zh-CN"/>
              </w:rPr>
            </w:pPr>
          </w:p>
        </w:tc>
      </w:tr>
      <w:tr w14:paraId="16AD1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AB2AD00">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7576BCF1">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9</w:t>
            </w:r>
          </w:p>
        </w:tc>
        <w:tc>
          <w:tcPr>
            <w:tcW w:w="4407" w:type="dxa"/>
            <w:gridSpan w:val="2"/>
            <w:tcBorders>
              <w:top w:val="nil"/>
            </w:tcBorders>
            <w:noWrap w:val="0"/>
            <w:vAlign w:val="center"/>
          </w:tcPr>
          <w:p w14:paraId="7AA01F31">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竣工验收移交证明</w:t>
            </w:r>
          </w:p>
        </w:tc>
        <w:tc>
          <w:tcPr>
            <w:tcW w:w="760" w:type="dxa"/>
            <w:tcBorders>
              <w:top w:val="nil"/>
            </w:tcBorders>
            <w:noWrap w:val="0"/>
            <w:vAlign w:val="center"/>
          </w:tcPr>
          <w:p w14:paraId="055F23C9">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76418C47">
            <w:pPr>
              <w:spacing w:line="440" w:lineRule="atLeast"/>
              <w:jc w:val="center"/>
              <w:rPr>
                <w:rFonts w:hint="eastAsia" w:ascii="仿宋" w:hAnsi="仿宋" w:eastAsia="仿宋" w:cs="仿宋"/>
                <w:color w:val="auto"/>
                <w:kern w:val="2"/>
                <w:sz w:val="24"/>
                <w:highlight w:val="none"/>
                <w:lang w:val="en-US" w:eastAsia="zh-CN"/>
              </w:rPr>
            </w:pPr>
          </w:p>
        </w:tc>
      </w:tr>
      <w:tr w14:paraId="50D3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B8665E6">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6472C1D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p>
        </w:tc>
        <w:tc>
          <w:tcPr>
            <w:tcW w:w="4407" w:type="dxa"/>
            <w:gridSpan w:val="2"/>
            <w:tcBorders>
              <w:top w:val="nil"/>
            </w:tcBorders>
            <w:noWrap w:val="0"/>
            <w:vAlign w:val="center"/>
          </w:tcPr>
          <w:p w14:paraId="60414F2A">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施工合同</w:t>
            </w:r>
          </w:p>
        </w:tc>
        <w:tc>
          <w:tcPr>
            <w:tcW w:w="760" w:type="dxa"/>
            <w:tcBorders>
              <w:top w:val="nil"/>
            </w:tcBorders>
            <w:noWrap w:val="0"/>
            <w:vAlign w:val="center"/>
          </w:tcPr>
          <w:p w14:paraId="1060D07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537135E">
            <w:pPr>
              <w:spacing w:line="440" w:lineRule="atLeast"/>
              <w:jc w:val="center"/>
              <w:rPr>
                <w:rFonts w:hint="eastAsia" w:ascii="仿宋" w:hAnsi="仿宋" w:eastAsia="仿宋" w:cs="仿宋"/>
                <w:color w:val="auto"/>
                <w:sz w:val="24"/>
                <w:highlight w:val="none"/>
                <w:lang w:eastAsia="zh-CN"/>
              </w:rPr>
            </w:pPr>
          </w:p>
        </w:tc>
      </w:tr>
      <w:tr w14:paraId="5FFE9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2D4B256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B0C8B0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11</w:t>
            </w:r>
          </w:p>
        </w:tc>
        <w:tc>
          <w:tcPr>
            <w:tcW w:w="4407" w:type="dxa"/>
            <w:gridSpan w:val="2"/>
            <w:tcBorders>
              <w:top w:val="nil"/>
            </w:tcBorders>
            <w:noWrap w:val="0"/>
            <w:vAlign w:val="center"/>
          </w:tcPr>
          <w:p w14:paraId="791CDC9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送审结算书</w:t>
            </w:r>
          </w:p>
        </w:tc>
        <w:tc>
          <w:tcPr>
            <w:tcW w:w="760" w:type="dxa"/>
            <w:tcBorders>
              <w:top w:val="nil"/>
            </w:tcBorders>
            <w:noWrap w:val="0"/>
            <w:vAlign w:val="center"/>
          </w:tcPr>
          <w:p w14:paraId="291F29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8CFA20A">
            <w:pPr>
              <w:spacing w:line="440" w:lineRule="atLeast"/>
              <w:jc w:val="center"/>
              <w:rPr>
                <w:rFonts w:hint="eastAsia" w:ascii="仿宋" w:hAnsi="仿宋" w:eastAsia="仿宋" w:cs="仿宋"/>
                <w:color w:val="auto"/>
                <w:kern w:val="2"/>
                <w:sz w:val="24"/>
                <w:highlight w:val="none"/>
                <w:lang w:val="en-US" w:eastAsia="zh-CN"/>
              </w:rPr>
            </w:pPr>
          </w:p>
        </w:tc>
      </w:tr>
      <w:tr w14:paraId="10A6C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41071A76">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3BF8EC47">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12</w:t>
            </w:r>
          </w:p>
        </w:tc>
        <w:tc>
          <w:tcPr>
            <w:tcW w:w="4407" w:type="dxa"/>
            <w:gridSpan w:val="2"/>
            <w:noWrap w:val="0"/>
            <w:vAlign w:val="center"/>
          </w:tcPr>
          <w:p w14:paraId="01BC2D7F">
            <w:pPr>
              <w:tabs>
                <w:tab w:val="left" w:pos="1289"/>
              </w:tabs>
              <w:spacing w:line="440" w:lineRule="atLeast"/>
              <w:jc w:val="both"/>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结算资料</w:t>
            </w:r>
          </w:p>
        </w:tc>
        <w:tc>
          <w:tcPr>
            <w:tcW w:w="760" w:type="dxa"/>
            <w:noWrap w:val="0"/>
            <w:vAlign w:val="center"/>
          </w:tcPr>
          <w:p w14:paraId="6B9CD55F">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noWrap w:val="0"/>
            <w:vAlign w:val="center"/>
          </w:tcPr>
          <w:p w14:paraId="78A4E4A8">
            <w:pPr>
              <w:spacing w:line="440" w:lineRule="atLeast"/>
              <w:jc w:val="center"/>
              <w:rPr>
                <w:rFonts w:hint="eastAsia" w:ascii="仿宋" w:hAnsi="仿宋" w:eastAsia="仿宋" w:cs="仿宋"/>
                <w:color w:val="auto"/>
                <w:kern w:val="2"/>
                <w:sz w:val="24"/>
                <w:highlight w:val="none"/>
                <w:lang w:val="en-US" w:eastAsia="zh-CN"/>
              </w:rPr>
            </w:pPr>
          </w:p>
        </w:tc>
      </w:tr>
      <w:tr w14:paraId="401A9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621AB55E">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4E24A7A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13</w:t>
            </w:r>
          </w:p>
        </w:tc>
        <w:tc>
          <w:tcPr>
            <w:tcW w:w="4407" w:type="dxa"/>
            <w:gridSpan w:val="2"/>
            <w:noWrap w:val="0"/>
            <w:vAlign w:val="center"/>
          </w:tcPr>
          <w:p w14:paraId="7CD52B01">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其他相关资料</w:t>
            </w:r>
          </w:p>
        </w:tc>
        <w:tc>
          <w:tcPr>
            <w:tcW w:w="760" w:type="dxa"/>
            <w:noWrap w:val="0"/>
            <w:vAlign w:val="center"/>
          </w:tcPr>
          <w:p w14:paraId="2F0E86CF">
            <w:pPr>
              <w:spacing w:line="440" w:lineRule="atLeast"/>
              <w:jc w:val="center"/>
              <w:rPr>
                <w:rFonts w:hint="eastAsia" w:ascii="仿宋" w:hAnsi="仿宋" w:eastAsia="仿宋" w:cs="仿宋"/>
                <w:color w:val="auto"/>
                <w:kern w:val="2"/>
                <w:sz w:val="24"/>
                <w:highlight w:val="none"/>
                <w:lang w:val="en-US" w:eastAsia="zh-CN"/>
              </w:rPr>
            </w:pPr>
          </w:p>
        </w:tc>
        <w:tc>
          <w:tcPr>
            <w:tcW w:w="2732" w:type="dxa"/>
            <w:noWrap w:val="0"/>
            <w:vAlign w:val="center"/>
          </w:tcPr>
          <w:p w14:paraId="27D562D8">
            <w:pPr>
              <w:spacing w:line="440" w:lineRule="atLeast"/>
              <w:jc w:val="center"/>
              <w:rPr>
                <w:rFonts w:hint="eastAsia" w:ascii="仿宋" w:hAnsi="仿宋" w:eastAsia="仿宋" w:cs="仿宋"/>
                <w:color w:val="auto"/>
                <w:kern w:val="2"/>
                <w:sz w:val="24"/>
                <w:highlight w:val="none"/>
                <w:lang w:val="en-US" w:eastAsia="zh-CN"/>
              </w:rPr>
            </w:pPr>
          </w:p>
        </w:tc>
      </w:tr>
      <w:tr w14:paraId="124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764E9DE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w:t>
            </w:r>
          </w:p>
        </w:tc>
        <w:tc>
          <w:tcPr>
            <w:tcW w:w="1739" w:type="dxa"/>
            <w:vMerge w:val="restart"/>
            <w:noWrap w:val="0"/>
            <w:vAlign w:val="center"/>
          </w:tcPr>
          <w:p w14:paraId="7B399261">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总结意见</w:t>
            </w:r>
          </w:p>
        </w:tc>
        <w:tc>
          <w:tcPr>
            <w:tcW w:w="2668" w:type="dxa"/>
            <w:noWrap w:val="0"/>
            <w:vAlign w:val="center"/>
          </w:tcPr>
          <w:p w14:paraId="23E6CB3A">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p>
        </w:tc>
        <w:tc>
          <w:tcPr>
            <w:tcW w:w="760" w:type="dxa"/>
            <w:noWrap w:val="0"/>
            <w:vAlign w:val="center"/>
          </w:tcPr>
          <w:p w14:paraId="6A5EC568">
            <w:pPr>
              <w:spacing w:line="240" w:lineRule="auto"/>
              <w:jc w:val="center"/>
              <w:rPr>
                <w:rFonts w:hint="eastAsia" w:ascii="仿宋" w:hAnsi="仿宋" w:eastAsia="仿宋" w:cs="仿宋"/>
                <w:color w:val="auto"/>
                <w:sz w:val="24"/>
                <w:highlight w:val="none"/>
              </w:rPr>
            </w:pPr>
          </w:p>
        </w:tc>
        <w:tc>
          <w:tcPr>
            <w:tcW w:w="2732" w:type="dxa"/>
            <w:noWrap w:val="0"/>
            <w:vAlign w:val="center"/>
          </w:tcPr>
          <w:p w14:paraId="22B9B432">
            <w:pPr>
              <w:spacing w:line="440" w:lineRule="atLeast"/>
              <w:jc w:val="center"/>
              <w:rPr>
                <w:rFonts w:hint="eastAsia" w:ascii="仿宋" w:hAnsi="仿宋" w:eastAsia="仿宋" w:cs="仿宋"/>
                <w:color w:val="auto"/>
                <w:sz w:val="24"/>
                <w:highlight w:val="none"/>
              </w:rPr>
            </w:pPr>
          </w:p>
        </w:tc>
      </w:tr>
      <w:tr w14:paraId="292D1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08B5AF8D">
            <w:pPr>
              <w:spacing w:line="440" w:lineRule="atLeast"/>
              <w:jc w:val="center"/>
              <w:rPr>
                <w:rFonts w:hint="eastAsia" w:ascii="仿宋" w:hAnsi="仿宋" w:eastAsia="仿宋" w:cs="仿宋"/>
                <w:color w:val="auto"/>
                <w:sz w:val="24"/>
                <w:highlight w:val="none"/>
              </w:rPr>
            </w:pPr>
          </w:p>
        </w:tc>
        <w:tc>
          <w:tcPr>
            <w:tcW w:w="1739" w:type="dxa"/>
            <w:vMerge w:val="continue"/>
            <w:noWrap w:val="0"/>
            <w:vAlign w:val="center"/>
          </w:tcPr>
          <w:p w14:paraId="13F2401E">
            <w:pPr>
              <w:spacing w:line="440" w:lineRule="atLeast"/>
              <w:jc w:val="center"/>
              <w:rPr>
                <w:rFonts w:hint="eastAsia" w:ascii="仿宋" w:hAnsi="仿宋" w:eastAsia="仿宋" w:cs="仿宋"/>
                <w:color w:val="auto"/>
                <w:sz w:val="24"/>
                <w:highlight w:val="none"/>
              </w:rPr>
            </w:pPr>
          </w:p>
        </w:tc>
        <w:tc>
          <w:tcPr>
            <w:tcW w:w="2668" w:type="dxa"/>
            <w:noWrap w:val="0"/>
            <w:vAlign w:val="center"/>
          </w:tcPr>
          <w:p w14:paraId="10AD950F">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部门</w:t>
            </w:r>
          </w:p>
        </w:tc>
        <w:tc>
          <w:tcPr>
            <w:tcW w:w="760" w:type="dxa"/>
            <w:noWrap w:val="0"/>
            <w:vAlign w:val="center"/>
          </w:tcPr>
          <w:p w14:paraId="3F098770">
            <w:pPr>
              <w:spacing w:line="440" w:lineRule="atLeast"/>
              <w:jc w:val="center"/>
              <w:rPr>
                <w:rFonts w:hint="eastAsia" w:ascii="仿宋" w:hAnsi="仿宋" w:eastAsia="仿宋" w:cs="仿宋"/>
                <w:color w:val="auto"/>
                <w:sz w:val="24"/>
                <w:highlight w:val="none"/>
              </w:rPr>
            </w:pPr>
          </w:p>
        </w:tc>
        <w:tc>
          <w:tcPr>
            <w:tcW w:w="2732" w:type="dxa"/>
            <w:noWrap w:val="0"/>
            <w:vAlign w:val="center"/>
          </w:tcPr>
          <w:p w14:paraId="33D8FB96">
            <w:pPr>
              <w:spacing w:line="440" w:lineRule="atLeast"/>
              <w:jc w:val="center"/>
              <w:rPr>
                <w:rFonts w:hint="eastAsia" w:ascii="仿宋" w:hAnsi="仿宋" w:eastAsia="仿宋" w:cs="仿宋"/>
                <w:color w:val="auto"/>
                <w:sz w:val="24"/>
                <w:highlight w:val="none"/>
              </w:rPr>
            </w:pPr>
          </w:p>
        </w:tc>
      </w:tr>
    </w:tbl>
    <w:p w14:paraId="09FEA44A">
      <w:pPr>
        <w:pStyle w:val="14"/>
        <w:wordWrap/>
        <w:rPr>
          <w:rFonts w:hint="eastAsia"/>
          <w:color w:val="auto"/>
          <w:highlight w:val="none"/>
          <w:lang w:val="en-US" w:eastAsia="zh-CN"/>
        </w:rPr>
      </w:pPr>
    </w:p>
    <w:p w14:paraId="334AD4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289"/>
      <w:bookmarkEnd w:id="290"/>
      <w:bookmarkEnd w:id="291"/>
      <w:r>
        <w:rPr>
          <w:rFonts w:hint="eastAsia" w:ascii="仿宋" w:hAnsi="仿宋" w:eastAsia="仿宋" w:cs="仿宋"/>
          <w:b/>
          <w:bCs/>
          <w:color w:val="auto"/>
          <w:sz w:val="36"/>
          <w:szCs w:val="36"/>
          <w:highlight w:val="none"/>
          <w:lang w:val="en-US" w:eastAsia="zh-CN"/>
        </w:rPr>
        <w:t>六</w:t>
      </w:r>
    </w:p>
    <w:p w14:paraId="009057E1">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14:paraId="719BF062">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4DB0AA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52872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5176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A495D7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5C1045C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49877ABA">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1E2F444E">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70F7731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11C8C4B4">
      <w:pPr>
        <w:keepNext w:val="0"/>
        <w:keepLines w:val="0"/>
        <w:pageBreakBefore w:val="0"/>
        <w:widowControl w:val="0"/>
        <w:kinsoku/>
        <w:wordWrap/>
        <w:overflowPunct/>
        <w:topLinePunct w:val="0"/>
        <w:autoSpaceDE/>
        <w:autoSpaceDN/>
        <w:bidi w:val="0"/>
        <w:adjustRightInd/>
        <w:snapToGrid/>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3C0A35B1">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7F738C">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2EA6B72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2C6AD5FD">
      <w:pPr>
        <w:pStyle w:val="1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489C451A">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594E2D30">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3B20462D">
      <w:pPr>
        <w:pStyle w:val="14"/>
        <w:rPr>
          <w:rFonts w:hint="default"/>
          <w:color w:val="auto"/>
          <w:highlight w:val="none"/>
          <w:lang w:val="en-US" w:eastAsia="zh-CN"/>
        </w:rPr>
      </w:pPr>
    </w:p>
    <w:p w14:paraId="6403B76E">
      <w:pPr>
        <w:pStyle w:val="14"/>
        <w:rPr>
          <w:rFonts w:hint="default"/>
          <w:color w:val="auto"/>
          <w:highlight w:val="none"/>
          <w:lang w:val="en-US" w:eastAsia="zh-CN"/>
        </w:rPr>
      </w:pPr>
    </w:p>
    <w:p w14:paraId="578E8C91">
      <w:pPr>
        <w:pStyle w:val="14"/>
        <w:rPr>
          <w:rFonts w:hint="default"/>
          <w:color w:val="auto"/>
          <w:highlight w:val="none"/>
          <w:lang w:val="en-US" w:eastAsia="zh-CN"/>
        </w:rPr>
      </w:pPr>
    </w:p>
    <w:p w14:paraId="47337B2B">
      <w:pPr>
        <w:pStyle w:val="14"/>
        <w:rPr>
          <w:rFonts w:hint="default"/>
          <w:color w:val="auto"/>
          <w:highlight w:val="none"/>
          <w:lang w:val="en-US" w:eastAsia="zh-CN"/>
        </w:rPr>
      </w:pPr>
    </w:p>
    <w:p w14:paraId="72CA8FBF">
      <w:pPr>
        <w:pStyle w:val="14"/>
        <w:rPr>
          <w:rFonts w:hint="default"/>
          <w:color w:val="auto"/>
          <w:highlight w:val="none"/>
          <w:lang w:val="en-US" w:eastAsia="zh-CN"/>
        </w:rPr>
      </w:pPr>
    </w:p>
    <w:p w14:paraId="58BFB02C">
      <w:pPr>
        <w:pStyle w:val="14"/>
        <w:rPr>
          <w:rFonts w:hint="default"/>
          <w:color w:val="auto"/>
          <w:highlight w:val="none"/>
          <w:lang w:val="en-US" w:eastAsia="zh-CN"/>
        </w:rPr>
      </w:pPr>
    </w:p>
    <w:p w14:paraId="0E9C735F">
      <w:pPr>
        <w:pStyle w:val="14"/>
        <w:rPr>
          <w:rFonts w:hint="default"/>
          <w:color w:val="auto"/>
          <w:highlight w:val="none"/>
          <w:lang w:val="en-US" w:eastAsia="zh-CN"/>
        </w:rPr>
      </w:pPr>
    </w:p>
    <w:p w14:paraId="3DDAF6C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附件七</w:t>
      </w:r>
    </w:p>
    <w:p w14:paraId="7C4642AB">
      <w:pPr>
        <w:pStyle w:val="14"/>
        <w:rPr>
          <w:rFonts w:hint="default"/>
          <w:color w:val="auto"/>
          <w:highlight w:val="none"/>
          <w:lang w:val="en-US" w:eastAsia="zh-CN"/>
        </w:rPr>
      </w:pPr>
    </w:p>
    <w:p w14:paraId="127C045A">
      <w:pPr>
        <w:spacing w:after="156" w:afterLines="50"/>
        <w:ind w:right="0" w:rightChars="0"/>
        <w:jc w:val="center"/>
        <w:outlineLvl w:val="0"/>
        <w:rPr>
          <w:rFonts w:hint="eastAsia" w:ascii="仿宋" w:hAnsi="仿宋" w:eastAsia="仿宋" w:cs="仿宋"/>
          <w:color w:val="auto"/>
          <w:sz w:val="40"/>
          <w:szCs w:val="40"/>
          <w:highlight w:val="none"/>
        </w:rPr>
      </w:pPr>
      <w:bookmarkStart w:id="302" w:name="_Toc3881"/>
      <w:bookmarkStart w:id="303" w:name="_Toc24167"/>
      <w:bookmarkStart w:id="304" w:name="_Toc44"/>
      <w:bookmarkStart w:id="305" w:name="_Toc19686"/>
      <w:bookmarkStart w:id="306" w:name="_Toc9263"/>
      <w:r>
        <w:rPr>
          <w:rFonts w:hint="eastAsia" w:ascii="仿宋" w:hAnsi="仿宋" w:eastAsia="仿宋" w:cs="仿宋"/>
          <w:b/>
          <w:bCs/>
          <w:color w:val="auto"/>
          <w:sz w:val="40"/>
          <w:szCs w:val="40"/>
          <w:highlight w:val="none"/>
          <w:lang w:val="en-US" w:eastAsia="zh-CN"/>
        </w:rPr>
        <w:t>分包单位</w:t>
      </w:r>
      <w:r>
        <w:rPr>
          <w:rFonts w:hint="eastAsia" w:ascii="仿宋" w:hAnsi="仿宋" w:eastAsia="仿宋" w:cs="仿宋"/>
          <w:b/>
          <w:bCs/>
          <w:color w:val="auto"/>
          <w:sz w:val="40"/>
          <w:szCs w:val="40"/>
          <w:highlight w:val="none"/>
        </w:rPr>
        <w:t>开工令</w:t>
      </w:r>
      <w:bookmarkEnd w:id="302"/>
      <w:bookmarkEnd w:id="303"/>
      <w:bookmarkEnd w:id="304"/>
      <w:bookmarkEnd w:id="305"/>
      <w:bookmarkEnd w:id="306"/>
    </w:p>
    <w:p w14:paraId="725554D9">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合同名称： </w:t>
      </w:r>
    </w:p>
    <w:p w14:paraId="76D5EB5C">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合同编号：                           </w:t>
      </w:r>
    </w:p>
    <w:p w14:paraId="3C7448A9">
      <w:pPr>
        <w:ind w:right="0" w:rightChars="0"/>
        <w:rPr>
          <w:rFonts w:hint="eastAsia" w:ascii="仿宋" w:hAnsi="仿宋" w:eastAsia="仿宋" w:cs="仿宋"/>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66"/>
      </w:tblGrid>
      <w:tr w14:paraId="09E2D3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3483F9C3">
            <w:pPr>
              <w:ind w:right="0" w:rightChars="0"/>
              <w:rPr>
                <w:rFonts w:hint="eastAsia" w:ascii="仿宋" w:hAnsi="仿宋" w:eastAsia="仿宋" w:cs="仿宋"/>
                <w:color w:val="auto"/>
                <w:sz w:val="22"/>
                <w:szCs w:val="22"/>
                <w:highlight w:val="none"/>
              </w:rPr>
            </w:pPr>
          </w:p>
          <w:p w14:paraId="69984CED">
            <w:pPr>
              <w:spacing w:line="480" w:lineRule="auto"/>
              <w:ind w:right="0" w:rightChars="0"/>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致：（</w:t>
            </w:r>
            <w:r>
              <w:rPr>
                <w:rFonts w:hint="eastAsia" w:ascii="仿宋" w:hAnsi="仿宋" w:eastAsia="仿宋" w:cs="仿宋"/>
                <w:b/>
                <w:bCs/>
                <w:color w:val="auto"/>
                <w:sz w:val="22"/>
                <w:szCs w:val="22"/>
                <w:highlight w:val="none"/>
                <w:lang w:val="en-US" w:eastAsia="zh-CN"/>
              </w:rPr>
              <w:t>分包单位全称</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 xml:space="preserve"> </w:t>
            </w:r>
          </w:p>
          <w:p w14:paraId="62376CB4">
            <w:pPr>
              <w:spacing w:line="480" w:lineRule="auto"/>
              <w:ind w:right="0" w:rightChars="0" w:firstLine="44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你方</w:t>
            </w:r>
            <w:r>
              <w:rPr>
                <w:rFonts w:hint="eastAsia" w:ascii="仿宋" w:hAnsi="仿宋" w:eastAsia="仿宋" w:cs="仿宋"/>
                <w:color w:val="auto"/>
                <w:sz w:val="22"/>
                <w:szCs w:val="22"/>
                <w:highlight w:val="none"/>
                <w:u w:val="none"/>
                <w:lang w:val="en-US" w:eastAsia="zh-CN"/>
              </w:rPr>
              <w:t>承接的</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工程</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分部/项</w:t>
            </w:r>
            <w:r>
              <w:rPr>
                <w:rFonts w:hint="eastAsia" w:ascii="仿宋" w:hAnsi="仿宋" w:eastAsia="仿宋" w:cs="仿宋"/>
                <w:color w:val="auto"/>
                <w:sz w:val="22"/>
                <w:szCs w:val="22"/>
                <w:highlight w:val="none"/>
                <w:lang w:val="en-US" w:eastAsia="zh-CN"/>
              </w:rPr>
              <w:t>工程经审查，已具备</w:t>
            </w:r>
            <w:r>
              <w:rPr>
                <w:rFonts w:hint="eastAsia" w:ascii="仿宋" w:hAnsi="仿宋" w:eastAsia="仿宋" w:cs="仿宋"/>
                <w:color w:val="auto"/>
                <w:sz w:val="22"/>
                <w:szCs w:val="22"/>
                <w:highlight w:val="none"/>
              </w:rPr>
              <w:t>施工合同约定的开工条件，</w:t>
            </w:r>
            <w:r>
              <w:rPr>
                <w:rFonts w:hint="eastAsia" w:ascii="仿宋" w:hAnsi="仿宋" w:eastAsia="仿宋" w:cs="仿宋"/>
                <w:color w:val="auto"/>
                <w:sz w:val="22"/>
                <w:szCs w:val="22"/>
                <w:highlight w:val="none"/>
                <w:lang w:val="en-US" w:eastAsia="zh-CN"/>
              </w:rPr>
              <w:t>现通知你方正式开工</w:t>
            </w:r>
            <w:r>
              <w:rPr>
                <w:rFonts w:hint="eastAsia" w:ascii="仿宋" w:hAnsi="仿宋" w:eastAsia="仿宋" w:cs="仿宋"/>
                <w:color w:val="auto"/>
                <w:sz w:val="22"/>
                <w:szCs w:val="22"/>
                <w:highlight w:val="none"/>
              </w:rPr>
              <w:t>。</w:t>
            </w:r>
          </w:p>
          <w:p w14:paraId="3AAB1148">
            <w:pPr>
              <w:spacing w:line="480" w:lineRule="auto"/>
              <w:ind w:right="0" w:rightChars="0" w:firstLine="44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本开工令确定此合同的实际开工日期为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79FACF8A">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p>
          <w:p w14:paraId="7ABC3FD4">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施工总包单位：</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（全称及</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盖章）</w:t>
            </w:r>
          </w:p>
          <w:p w14:paraId="07715722">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项目负责人：（签名）</w:t>
            </w:r>
          </w:p>
          <w:p w14:paraId="460F823C">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日</w:t>
            </w:r>
          </w:p>
          <w:p w14:paraId="37940FFA">
            <w:pPr>
              <w:ind w:right="0" w:rightChars="0"/>
              <w:rPr>
                <w:rFonts w:hint="eastAsia" w:ascii="仿宋" w:hAnsi="仿宋" w:eastAsia="仿宋" w:cs="仿宋"/>
                <w:color w:val="auto"/>
                <w:sz w:val="22"/>
                <w:szCs w:val="22"/>
                <w:highlight w:val="none"/>
              </w:rPr>
            </w:pPr>
          </w:p>
        </w:tc>
      </w:tr>
      <w:tr w14:paraId="3DFF9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36CC2B67">
            <w:pPr>
              <w:ind w:right="0" w:rightChars="0"/>
              <w:rPr>
                <w:rFonts w:hint="eastAsia" w:ascii="仿宋" w:hAnsi="仿宋" w:eastAsia="仿宋" w:cs="仿宋"/>
                <w:color w:val="auto"/>
                <w:sz w:val="22"/>
                <w:szCs w:val="22"/>
                <w:highlight w:val="none"/>
              </w:rPr>
            </w:pPr>
          </w:p>
          <w:p w14:paraId="26989628">
            <w:pPr>
              <w:pStyle w:val="14"/>
              <w:tabs>
                <w:tab w:val="clear" w:pos="-116"/>
                <w:tab w:val="clear" w:pos="420"/>
              </w:tabs>
              <w:ind w:right="0" w:rightChars="0"/>
              <w:rPr>
                <w:rFonts w:hint="eastAsia" w:ascii="仿宋" w:hAnsi="仿宋" w:eastAsia="仿宋" w:cs="仿宋"/>
                <w:color w:val="auto"/>
                <w:highlight w:val="none"/>
              </w:rPr>
            </w:pPr>
          </w:p>
          <w:p w14:paraId="24332D5D">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今已收到项目的开工令。</w:t>
            </w:r>
          </w:p>
          <w:p w14:paraId="07E29165">
            <w:pPr>
              <w:spacing w:line="360" w:lineRule="auto"/>
              <w:ind w:right="0" w:rightChars="0" w:firstLine="3520" w:firstLineChars="1600"/>
              <w:rPr>
                <w:rFonts w:hint="eastAsia" w:ascii="仿宋" w:hAnsi="仿宋" w:eastAsia="仿宋" w:cs="仿宋"/>
                <w:color w:val="auto"/>
                <w:sz w:val="22"/>
                <w:szCs w:val="22"/>
                <w:highlight w:val="none"/>
              </w:rPr>
            </w:pPr>
          </w:p>
          <w:p w14:paraId="7018ECA4">
            <w:pPr>
              <w:pStyle w:val="14"/>
              <w:tabs>
                <w:tab w:val="clear" w:pos="-116"/>
                <w:tab w:val="clear" w:pos="420"/>
              </w:tabs>
              <w:ind w:right="0" w:rightChars="0"/>
              <w:rPr>
                <w:rFonts w:hint="eastAsia" w:ascii="仿宋" w:hAnsi="仿宋" w:eastAsia="仿宋" w:cs="仿宋"/>
                <w:color w:val="auto"/>
                <w:highlight w:val="none"/>
              </w:rPr>
            </w:pPr>
          </w:p>
          <w:p w14:paraId="55F803ED">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分包单位：（全称及盖章）</w:t>
            </w:r>
          </w:p>
          <w:p w14:paraId="0BAC3B91">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现场</w:t>
            </w:r>
            <w:r>
              <w:rPr>
                <w:rFonts w:hint="eastAsia" w:ascii="仿宋" w:hAnsi="仿宋" w:eastAsia="仿宋" w:cs="仿宋"/>
                <w:color w:val="auto"/>
                <w:sz w:val="22"/>
                <w:szCs w:val="22"/>
                <w:highlight w:val="none"/>
              </w:rPr>
              <w:t>负责人：（签名）</w:t>
            </w:r>
          </w:p>
          <w:p w14:paraId="2C9D7EA3">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w:t>
            </w:r>
            <w:r>
              <w:rPr>
                <w:rFonts w:hint="eastAsia" w:ascii="仿宋" w:hAnsi="仿宋" w:eastAsia="仿宋" w:cs="仿宋"/>
                <w:color w:val="auto"/>
                <w:sz w:val="22"/>
                <w:szCs w:val="22"/>
                <w:highlight w:val="none"/>
                <w:lang w:val="en-US" w:eastAsia="zh-CN"/>
              </w:rPr>
              <w:t>日</w:t>
            </w:r>
          </w:p>
        </w:tc>
      </w:tr>
    </w:tbl>
    <w:p w14:paraId="5C52FBD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ACA4081">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FE53A5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6579B8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DB8BE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5776CD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7" w:name="_Toc6573"/>
      <w:bookmarkStart w:id="308" w:name="_Toc25793"/>
      <w:bookmarkStart w:id="309" w:name="_Toc7395"/>
      <w:bookmarkStart w:id="310" w:name="_Toc29967"/>
    </w:p>
    <w:p w14:paraId="3F0B380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D5479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2313EB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07"/>
      <w:bookmarkEnd w:id="308"/>
      <w:bookmarkEnd w:id="309"/>
      <w:bookmarkEnd w:id="310"/>
      <w:r>
        <w:rPr>
          <w:rFonts w:hint="eastAsia" w:ascii="仿宋" w:hAnsi="仿宋" w:eastAsia="仿宋" w:cs="仿宋"/>
          <w:b/>
          <w:bCs/>
          <w:color w:val="auto"/>
          <w:sz w:val="36"/>
          <w:szCs w:val="36"/>
          <w:highlight w:val="none"/>
          <w:lang w:val="en-US" w:eastAsia="zh-CN"/>
        </w:rPr>
        <w:t>八</w:t>
      </w:r>
    </w:p>
    <w:tbl>
      <w:tblPr>
        <w:tblStyle w:val="15"/>
        <w:tblW w:w="5307" w:type="pct"/>
        <w:jc w:val="center"/>
        <w:tblLayout w:type="fixed"/>
        <w:tblCellMar>
          <w:top w:w="15" w:type="dxa"/>
          <w:left w:w="15" w:type="dxa"/>
          <w:bottom w:w="15" w:type="dxa"/>
          <w:right w:w="15" w:type="dxa"/>
        </w:tblCellMar>
      </w:tblPr>
      <w:tblGrid>
        <w:gridCol w:w="9780"/>
      </w:tblGrid>
      <w:tr w14:paraId="515E5626">
        <w:tblPrEx>
          <w:tblCellMar>
            <w:top w:w="15" w:type="dxa"/>
            <w:left w:w="15" w:type="dxa"/>
            <w:bottom w:w="15" w:type="dxa"/>
            <w:right w:w="15" w:type="dxa"/>
          </w:tblCellMar>
        </w:tblPrEx>
        <w:trPr>
          <w:trHeight w:val="13066" w:hRule="atLeast"/>
          <w:jc w:val="center"/>
        </w:trPr>
        <w:tc>
          <w:tcPr>
            <w:tcW w:w="5000" w:type="pct"/>
            <w:noWrap w:val="0"/>
            <w:vAlign w:val="center"/>
          </w:tcPr>
          <w:p w14:paraId="34992BF3">
            <w:pPr>
              <w:spacing w:before="90" w:line="226" w:lineRule="auto"/>
              <w:ind w:left="3175"/>
              <w:outlineLvl w:val="0"/>
              <w:rPr>
                <w:rFonts w:hint="eastAsia" w:ascii="仿宋" w:hAnsi="仿宋" w:eastAsia="仿宋" w:cs="仿宋"/>
                <w:color w:val="auto"/>
                <w:sz w:val="31"/>
                <w:szCs w:val="31"/>
                <w:highlight w:val="none"/>
              </w:rPr>
            </w:pPr>
            <w:bookmarkStart w:id="311" w:name="_Toc11301"/>
            <w:bookmarkStart w:id="312" w:name="_Toc4496"/>
            <w:bookmarkStart w:id="313" w:name="_Toc24733"/>
            <w:bookmarkStart w:id="314" w:name="_Toc13298"/>
            <w:bookmarkStart w:id="315" w:name="_Toc32078"/>
            <w:r>
              <w:rPr>
                <w:rFonts w:hint="eastAsia" w:ascii="仿宋" w:hAnsi="仿宋" w:eastAsia="仿宋" w:cs="仿宋"/>
                <w:color w:val="auto"/>
                <w:spacing w:val="9"/>
                <w:sz w:val="31"/>
                <w:szCs w:val="31"/>
                <w:highlight w:val="none"/>
              </w:rPr>
              <w:t>分</w:t>
            </w:r>
            <w:r>
              <w:rPr>
                <w:rFonts w:hint="eastAsia" w:ascii="仿宋" w:hAnsi="仿宋" w:eastAsia="仿宋" w:cs="仿宋"/>
                <w:color w:val="auto"/>
                <w:spacing w:val="7"/>
                <w:sz w:val="31"/>
                <w:szCs w:val="31"/>
                <w:highlight w:val="none"/>
              </w:rPr>
              <w:t>包签证确认单</w:t>
            </w:r>
            <w:bookmarkEnd w:id="311"/>
            <w:bookmarkEnd w:id="312"/>
            <w:bookmarkEnd w:id="313"/>
            <w:bookmarkEnd w:id="314"/>
            <w:bookmarkEnd w:id="315"/>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1CBB6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7A1BF163">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51577B6F">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5DE39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425AE49F">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6E8DD492">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279F3BE6">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458D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BF96742">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620B3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50373D3E">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778ECFF4">
                  <w:pPr>
                    <w:rPr>
                      <w:rFonts w:hint="eastAsia" w:ascii="仿宋" w:hAnsi="仿宋" w:eastAsia="仿宋" w:cs="仿宋"/>
                      <w:color w:val="auto"/>
                      <w:sz w:val="22"/>
                      <w:szCs w:val="22"/>
                      <w:highlight w:val="none"/>
                    </w:rPr>
                  </w:pPr>
                </w:p>
              </w:tc>
            </w:tr>
            <w:tr w14:paraId="7860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5796215E">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E690353">
                  <w:pPr>
                    <w:rPr>
                      <w:rFonts w:hint="eastAsia" w:ascii="仿宋" w:hAnsi="仿宋" w:eastAsia="仿宋" w:cs="仿宋"/>
                      <w:color w:val="auto"/>
                      <w:sz w:val="22"/>
                      <w:szCs w:val="22"/>
                      <w:highlight w:val="none"/>
                    </w:rPr>
                  </w:pPr>
                </w:p>
              </w:tc>
            </w:tr>
            <w:tr w14:paraId="23F42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1D7175FD">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281C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57F6DF85">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6FC5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42E4FBF">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71B417CF">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2FC0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66FA006E">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57AC6A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0A37FA70">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0F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26F9E9A">
                  <w:pPr>
                    <w:rPr>
                      <w:rFonts w:hint="eastAsia" w:ascii="仿宋" w:hAnsi="仿宋" w:eastAsia="仿宋" w:cs="仿宋"/>
                      <w:color w:val="auto"/>
                      <w:sz w:val="22"/>
                      <w:szCs w:val="22"/>
                      <w:highlight w:val="none"/>
                    </w:rPr>
                  </w:pPr>
                </w:p>
              </w:tc>
              <w:tc>
                <w:tcPr>
                  <w:tcW w:w="4872" w:type="dxa"/>
                  <w:gridSpan w:val="2"/>
                  <w:noWrap w:val="0"/>
                  <w:vAlign w:val="top"/>
                </w:tcPr>
                <w:p w14:paraId="230CE772">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44086C56">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14D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07131A8A">
                  <w:pPr>
                    <w:rPr>
                      <w:rFonts w:hint="eastAsia" w:ascii="仿宋" w:hAnsi="仿宋" w:eastAsia="仿宋" w:cs="仿宋"/>
                      <w:color w:val="auto"/>
                      <w:sz w:val="22"/>
                      <w:szCs w:val="22"/>
                      <w:highlight w:val="none"/>
                    </w:rPr>
                  </w:pPr>
                </w:p>
              </w:tc>
              <w:tc>
                <w:tcPr>
                  <w:tcW w:w="4872" w:type="dxa"/>
                  <w:gridSpan w:val="2"/>
                  <w:noWrap w:val="0"/>
                  <w:vAlign w:val="top"/>
                </w:tcPr>
                <w:p w14:paraId="6C319C0B">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737CA102">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10E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1D0C489C">
                  <w:pPr>
                    <w:rPr>
                      <w:rFonts w:hint="eastAsia" w:ascii="仿宋" w:hAnsi="仿宋" w:eastAsia="仿宋" w:cs="仿宋"/>
                      <w:color w:val="auto"/>
                      <w:sz w:val="22"/>
                      <w:szCs w:val="22"/>
                      <w:highlight w:val="none"/>
                    </w:rPr>
                  </w:pPr>
                </w:p>
              </w:tc>
              <w:tc>
                <w:tcPr>
                  <w:tcW w:w="4872" w:type="dxa"/>
                  <w:gridSpan w:val="2"/>
                  <w:noWrap w:val="0"/>
                  <w:vAlign w:val="top"/>
                </w:tcPr>
                <w:p w14:paraId="04321F97">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7614203E">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00D8E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26E68359">
                  <w:pPr>
                    <w:rPr>
                      <w:rFonts w:hint="eastAsia" w:ascii="仿宋" w:hAnsi="仿宋" w:eastAsia="仿宋" w:cs="仿宋"/>
                      <w:color w:val="auto"/>
                      <w:sz w:val="22"/>
                      <w:szCs w:val="22"/>
                      <w:highlight w:val="none"/>
                    </w:rPr>
                  </w:pPr>
                </w:p>
              </w:tc>
              <w:tc>
                <w:tcPr>
                  <w:tcW w:w="4872" w:type="dxa"/>
                  <w:gridSpan w:val="2"/>
                  <w:noWrap w:val="0"/>
                  <w:vAlign w:val="top"/>
                </w:tcPr>
                <w:p w14:paraId="06C09DE4">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1B50A549">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5B18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1558BC7">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744623E2">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4A8E0965">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89B1C6F">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25153156">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0D6B10E5">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5036732D">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1212BED2">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p>
    <w:p w14:paraId="70FBBEFF">
      <w:pPr>
        <w:pStyle w:val="14"/>
        <w:tabs>
          <w:tab w:val="clear" w:pos="-116"/>
          <w:tab w:val="clear" w:pos="420"/>
        </w:tabs>
        <w:rPr>
          <w:rFonts w:hint="eastAsia" w:ascii="仿宋" w:hAnsi="仿宋" w:eastAsia="仿宋" w:cs="仿宋"/>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6D04EE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0A4C84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450E6116">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2D8830A1">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6984F9A">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67847C4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752AC07E">
            <w:pPr>
              <w:jc w:val="center"/>
              <w:rPr>
                <w:rFonts w:hint="eastAsia" w:ascii="仿宋" w:hAnsi="仿宋" w:eastAsia="仿宋" w:cs="仿宋"/>
                <w:b w:val="0"/>
                <w:bCs/>
                <w:color w:val="auto"/>
                <w:sz w:val="21"/>
                <w:szCs w:val="21"/>
                <w:highlight w:val="none"/>
                <w:lang w:eastAsia="zh-CN"/>
              </w:rPr>
            </w:pPr>
          </w:p>
        </w:tc>
      </w:tr>
      <w:tr w14:paraId="1EDB2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71BA85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6F866CE6">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4111B44">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7A1578A6">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1F33AD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7F9F03ED">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5473FB70">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703698BF">
            <w:pPr>
              <w:jc w:val="center"/>
              <w:rPr>
                <w:rFonts w:hint="eastAsia" w:ascii="仿宋" w:hAnsi="仿宋" w:eastAsia="仿宋" w:cs="仿宋"/>
                <w:b w:val="0"/>
                <w:bCs/>
                <w:color w:val="auto"/>
                <w:sz w:val="21"/>
                <w:szCs w:val="21"/>
                <w:highlight w:val="none"/>
                <w:lang w:eastAsia="zh-CN"/>
              </w:rPr>
            </w:pPr>
          </w:p>
        </w:tc>
      </w:tr>
      <w:tr w14:paraId="6F575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029A8D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29365BDB">
            <w:pPr>
              <w:jc w:val="left"/>
              <w:rPr>
                <w:rFonts w:hint="eastAsia" w:ascii="仿宋" w:hAnsi="仿宋" w:eastAsia="仿宋" w:cs="仿宋"/>
                <w:b w:val="0"/>
                <w:bCs/>
                <w:color w:val="auto"/>
                <w:sz w:val="21"/>
                <w:szCs w:val="21"/>
                <w:highlight w:val="none"/>
                <w:lang w:eastAsia="zh-CN"/>
              </w:rPr>
            </w:pPr>
          </w:p>
        </w:tc>
      </w:tr>
      <w:tr w14:paraId="2CD11D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E9157D5">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7D4166DF">
            <w:pPr>
              <w:jc w:val="left"/>
              <w:rPr>
                <w:rFonts w:hint="eastAsia" w:ascii="仿宋" w:hAnsi="仿宋" w:eastAsia="仿宋" w:cs="仿宋"/>
                <w:b w:val="0"/>
                <w:bCs/>
                <w:color w:val="auto"/>
                <w:sz w:val="21"/>
                <w:szCs w:val="21"/>
                <w:highlight w:val="none"/>
                <w:lang w:eastAsia="zh-CN"/>
              </w:rPr>
            </w:pPr>
          </w:p>
        </w:tc>
      </w:tr>
      <w:tr w14:paraId="281710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BB612CD">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1CB74761">
            <w:pPr>
              <w:jc w:val="left"/>
              <w:rPr>
                <w:rFonts w:hint="eastAsia" w:ascii="仿宋" w:hAnsi="仿宋" w:eastAsia="仿宋" w:cs="仿宋"/>
                <w:b w:val="0"/>
                <w:bCs/>
                <w:color w:val="auto"/>
                <w:sz w:val="21"/>
                <w:szCs w:val="21"/>
                <w:highlight w:val="none"/>
                <w:lang w:eastAsia="zh-CN"/>
              </w:rPr>
            </w:pPr>
          </w:p>
        </w:tc>
      </w:tr>
      <w:tr w14:paraId="577B7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710F017">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7FD3E716">
            <w:pPr>
              <w:jc w:val="left"/>
              <w:rPr>
                <w:rFonts w:hint="eastAsia" w:ascii="仿宋" w:hAnsi="仿宋" w:eastAsia="仿宋" w:cs="仿宋"/>
                <w:b w:val="0"/>
                <w:bCs/>
                <w:color w:val="auto"/>
                <w:sz w:val="21"/>
                <w:szCs w:val="21"/>
                <w:highlight w:val="none"/>
                <w:lang w:eastAsia="zh-CN"/>
              </w:rPr>
            </w:pPr>
          </w:p>
        </w:tc>
      </w:tr>
      <w:tr w14:paraId="259CB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B4C692">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1C2EE6B2">
            <w:pPr>
              <w:jc w:val="left"/>
              <w:rPr>
                <w:rFonts w:hint="eastAsia" w:ascii="仿宋" w:hAnsi="仿宋" w:eastAsia="仿宋" w:cs="仿宋"/>
                <w:b w:val="0"/>
                <w:bCs/>
                <w:color w:val="auto"/>
                <w:sz w:val="21"/>
                <w:szCs w:val="21"/>
                <w:highlight w:val="none"/>
                <w:lang w:eastAsia="zh-CN"/>
              </w:rPr>
            </w:pPr>
          </w:p>
        </w:tc>
      </w:tr>
      <w:tr w14:paraId="174169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59B6D7FD">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00E0F750">
            <w:pPr>
              <w:ind w:right="284"/>
              <w:jc w:val="left"/>
              <w:rPr>
                <w:rFonts w:hint="eastAsia" w:ascii="仿宋" w:hAnsi="仿宋" w:eastAsia="仿宋" w:cs="仿宋"/>
                <w:b w:val="0"/>
                <w:bCs/>
                <w:color w:val="auto"/>
                <w:sz w:val="21"/>
                <w:szCs w:val="21"/>
                <w:highlight w:val="none"/>
              </w:rPr>
            </w:pPr>
          </w:p>
          <w:p w14:paraId="78480B48">
            <w:pPr>
              <w:ind w:right="284"/>
              <w:jc w:val="left"/>
              <w:rPr>
                <w:rFonts w:hint="eastAsia" w:ascii="仿宋" w:hAnsi="仿宋" w:eastAsia="仿宋" w:cs="仿宋"/>
                <w:b w:val="0"/>
                <w:bCs/>
                <w:color w:val="auto"/>
                <w:sz w:val="21"/>
                <w:szCs w:val="21"/>
                <w:highlight w:val="none"/>
              </w:rPr>
            </w:pPr>
          </w:p>
          <w:p w14:paraId="2D786826">
            <w:pPr>
              <w:ind w:right="284"/>
              <w:jc w:val="left"/>
              <w:rPr>
                <w:rFonts w:hint="eastAsia" w:ascii="仿宋" w:hAnsi="仿宋" w:eastAsia="仿宋" w:cs="仿宋"/>
                <w:b w:val="0"/>
                <w:bCs/>
                <w:color w:val="auto"/>
                <w:sz w:val="21"/>
                <w:szCs w:val="21"/>
                <w:highlight w:val="none"/>
              </w:rPr>
            </w:pPr>
          </w:p>
          <w:p w14:paraId="1A0B31DF">
            <w:pPr>
              <w:ind w:right="284"/>
              <w:jc w:val="left"/>
              <w:rPr>
                <w:rFonts w:hint="eastAsia" w:ascii="仿宋" w:hAnsi="仿宋" w:eastAsia="仿宋" w:cs="仿宋"/>
                <w:b w:val="0"/>
                <w:bCs/>
                <w:color w:val="auto"/>
                <w:sz w:val="21"/>
                <w:szCs w:val="21"/>
                <w:highlight w:val="none"/>
              </w:rPr>
            </w:pPr>
          </w:p>
          <w:p w14:paraId="22063F42">
            <w:pPr>
              <w:ind w:right="284"/>
              <w:jc w:val="left"/>
              <w:rPr>
                <w:rFonts w:hint="eastAsia" w:ascii="仿宋" w:hAnsi="仿宋" w:eastAsia="仿宋" w:cs="仿宋"/>
                <w:b w:val="0"/>
                <w:bCs/>
                <w:color w:val="auto"/>
                <w:sz w:val="21"/>
                <w:szCs w:val="21"/>
                <w:highlight w:val="none"/>
              </w:rPr>
            </w:pPr>
          </w:p>
          <w:p w14:paraId="42229F45">
            <w:pPr>
              <w:ind w:right="284"/>
              <w:jc w:val="left"/>
              <w:rPr>
                <w:rFonts w:hint="eastAsia" w:ascii="仿宋" w:hAnsi="仿宋" w:eastAsia="仿宋" w:cs="仿宋"/>
                <w:b w:val="0"/>
                <w:bCs/>
                <w:color w:val="auto"/>
                <w:sz w:val="21"/>
                <w:szCs w:val="21"/>
                <w:highlight w:val="none"/>
              </w:rPr>
            </w:pPr>
          </w:p>
          <w:p w14:paraId="6EACE319">
            <w:pPr>
              <w:ind w:right="284"/>
              <w:jc w:val="left"/>
              <w:rPr>
                <w:rFonts w:hint="eastAsia" w:ascii="仿宋" w:hAnsi="仿宋" w:eastAsia="仿宋" w:cs="仿宋"/>
                <w:b w:val="0"/>
                <w:bCs/>
                <w:color w:val="auto"/>
                <w:sz w:val="21"/>
                <w:szCs w:val="21"/>
                <w:highlight w:val="none"/>
              </w:rPr>
            </w:pPr>
          </w:p>
          <w:p w14:paraId="15A27A54">
            <w:pPr>
              <w:ind w:right="284"/>
              <w:jc w:val="left"/>
              <w:rPr>
                <w:rFonts w:hint="eastAsia" w:ascii="仿宋" w:hAnsi="仿宋" w:eastAsia="仿宋" w:cs="仿宋"/>
                <w:b w:val="0"/>
                <w:bCs/>
                <w:color w:val="auto"/>
                <w:sz w:val="21"/>
                <w:szCs w:val="21"/>
                <w:highlight w:val="none"/>
              </w:rPr>
            </w:pPr>
          </w:p>
          <w:p w14:paraId="3EE9B32D">
            <w:pPr>
              <w:ind w:right="284"/>
              <w:jc w:val="left"/>
              <w:rPr>
                <w:rFonts w:hint="eastAsia" w:ascii="仿宋" w:hAnsi="仿宋" w:eastAsia="仿宋" w:cs="仿宋"/>
                <w:b w:val="0"/>
                <w:bCs/>
                <w:color w:val="auto"/>
                <w:sz w:val="21"/>
                <w:szCs w:val="21"/>
                <w:highlight w:val="none"/>
              </w:rPr>
            </w:pPr>
          </w:p>
          <w:p w14:paraId="408FA85A">
            <w:pPr>
              <w:ind w:right="284"/>
              <w:jc w:val="left"/>
              <w:rPr>
                <w:rFonts w:hint="eastAsia" w:ascii="仿宋" w:hAnsi="仿宋" w:eastAsia="仿宋" w:cs="仿宋"/>
                <w:b w:val="0"/>
                <w:bCs/>
                <w:color w:val="auto"/>
                <w:sz w:val="21"/>
                <w:szCs w:val="21"/>
                <w:highlight w:val="none"/>
              </w:rPr>
            </w:pPr>
          </w:p>
          <w:p w14:paraId="3DC7243D">
            <w:pPr>
              <w:ind w:right="284"/>
              <w:jc w:val="left"/>
              <w:rPr>
                <w:rFonts w:hint="eastAsia" w:ascii="仿宋" w:hAnsi="仿宋" w:eastAsia="仿宋" w:cs="仿宋"/>
                <w:b w:val="0"/>
                <w:bCs/>
                <w:color w:val="auto"/>
                <w:sz w:val="21"/>
                <w:szCs w:val="21"/>
                <w:highlight w:val="none"/>
              </w:rPr>
            </w:pPr>
          </w:p>
          <w:p w14:paraId="0D0B97BC">
            <w:pPr>
              <w:ind w:right="284"/>
              <w:jc w:val="left"/>
              <w:rPr>
                <w:rFonts w:hint="eastAsia" w:ascii="仿宋" w:hAnsi="仿宋" w:eastAsia="仿宋" w:cs="仿宋"/>
                <w:b w:val="0"/>
                <w:bCs/>
                <w:color w:val="auto"/>
                <w:sz w:val="21"/>
                <w:szCs w:val="21"/>
                <w:highlight w:val="none"/>
              </w:rPr>
            </w:pPr>
          </w:p>
          <w:p w14:paraId="25503621">
            <w:pPr>
              <w:ind w:right="284"/>
              <w:jc w:val="left"/>
              <w:rPr>
                <w:rFonts w:hint="eastAsia" w:ascii="仿宋" w:hAnsi="仿宋" w:eastAsia="仿宋" w:cs="仿宋"/>
                <w:b w:val="0"/>
                <w:bCs/>
                <w:color w:val="auto"/>
                <w:sz w:val="21"/>
                <w:szCs w:val="21"/>
                <w:highlight w:val="none"/>
              </w:rPr>
            </w:pPr>
          </w:p>
          <w:p w14:paraId="35013C75">
            <w:pPr>
              <w:ind w:right="284"/>
              <w:jc w:val="left"/>
              <w:rPr>
                <w:rFonts w:hint="eastAsia" w:ascii="仿宋" w:hAnsi="仿宋" w:eastAsia="仿宋" w:cs="仿宋"/>
                <w:b w:val="0"/>
                <w:bCs/>
                <w:color w:val="auto"/>
                <w:sz w:val="21"/>
                <w:szCs w:val="21"/>
                <w:highlight w:val="none"/>
              </w:rPr>
            </w:pPr>
          </w:p>
          <w:p w14:paraId="6B7DB48A">
            <w:pPr>
              <w:ind w:right="284"/>
              <w:jc w:val="left"/>
              <w:rPr>
                <w:rFonts w:hint="eastAsia" w:ascii="仿宋" w:hAnsi="仿宋" w:eastAsia="仿宋" w:cs="仿宋"/>
                <w:b w:val="0"/>
                <w:bCs/>
                <w:color w:val="auto"/>
                <w:sz w:val="21"/>
                <w:szCs w:val="21"/>
                <w:highlight w:val="none"/>
              </w:rPr>
            </w:pPr>
          </w:p>
          <w:p w14:paraId="2989EAEF">
            <w:pPr>
              <w:ind w:right="284"/>
              <w:jc w:val="left"/>
              <w:rPr>
                <w:rFonts w:hint="eastAsia" w:ascii="仿宋" w:hAnsi="仿宋" w:eastAsia="仿宋" w:cs="仿宋"/>
                <w:b w:val="0"/>
                <w:bCs/>
                <w:color w:val="auto"/>
                <w:sz w:val="21"/>
                <w:szCs w:val="21"/>
                <w:highlight w:val="none"/>
              </w:rPr>
            </w:pPr>
          </w:p>
          <w:p w14:paraId="1D8E8B53">
            <w:pPr>
              <w:ind w:right="284"/>
              <w:jc w:val="left"/>
              <w:rPr>
                <w:rFonts w:hint="eastAsia" w:ascii="仿宋" w:hAnsi="仿宋" w:eastAsia="仿宋" w:cs="仿宋"/>
                <w:b w:val="0"/>
                <w:bCs/>
                <w:color w:val="auto"/>
                <w:sz w:val="21"/>
                <w:szCs w:val="21"/>
                <w:highlight w:val="none"/>
              </w:rPr>
            </w:pPr>
          </w:p>
          <w:p w14:paraId="0904A586">
            <w:pPr>
              <w:rPr>
                <w:rFonts w:hint="eastAsia" w:ascii="仿宋" w:hAnsi="仿宋" w:eastAsia="仿宋" w:cs="仿宋"/>
                <w:b w:val="0"/>
                <w:bCs/>
                <w:color w:val="auto"/>
                <w:sz w:val="21"/>
                <w:szCs w:val="21"/>
                <w:highlight w:val="none"/>
              </w:rPr>
            </w:pPr>
          </w:p>
          <w:p w14:paraId="31CE7A2B">
            <w:pPr>
              <w:ind w:right="284"/>
              <w:jc w:val="left"/>
              <w:rPr>
                <w:rFonts w:hint="eastAsia" w:ascii="仿宋" w:hAnsi="仿宋" w:eastAsia="仿宋" w:cs="仿宋"/>
                <w:b w:val="0"/>
                <w:bCs/>
                <w:color w:val="auto"/>
                <w:sz w:val="21"/>
                <w:szCs w:val="21"/>
                <w:highlight w:val="none"/>
              </w:rPr>
            </w:pPr>
          </w:p>
        </w:tc>
      </w:tr>
      <w:tr w14:paraId="6904A1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7D3F0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8D343A5">
            <w:pPr>
              <w:ind w:right="284"/>
              <w:jc w:val="left"/>
              <w:rPr>
                <w:rFonts w:hint="eastAsia" w:ascii="仿宋" w:hAnsi="仿宋" w:eastAsia="仿宋" w:cs="仿宋"/>
                <w:b/>
                <w:color w:val="auto"/>
                <w:sz w:val="21"/>
                <w:szCs w:val="21"/>
                <w:highlight w:val="none"/>
              </w:rPr>
            </w:pPr>
          </w:p>
        </w:tc>
      </w:tr>
      <w:tr w14:paraId="5F973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1A15308">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341E6367">
            <w:pPr>
              <w:ind w:right="284"/>
              <w:jc w:val="left"/>
              <w:rPr>
                <w:rFonts w:hint="eastAsia" w:ascii="仿宋" w:hAnsi="仿宋" w:eastAsia="仿宋" w:cs="仿宋"/>
                <w:b/>
                <w:color w:val="auto"/>
                <w:sz w:val="21"/>
                <w:szCs w:val="21"/>
                <w:highlight w:val="none"/>
              </w:rPr>
            </w:pPr>
          </w:p>
        </w:tc>
      </w:tr>
      <w:tr w14:paraId="409A7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77864BD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BA90BD9">
            <w:pPr>
              <w:ind w:right="284"/>
              <w:jc w:val="left"/>
              <w:rPr>
                <w:rFonts w:hint="eastAsia" w:ascii="仿宋" w:hAnsi="仿宋" w:eastAsia="仿宋" w:cs="仿宋"/>
                <w:b/>
                <w:color w:val="auto"/>
                <w:sz w:val="21"/>
                <w:szCs w:val="21"/>
                <w:highlight w:val="none"/>
              </w:rPr>
            </w:pPr>
          </w:p>
        </w:tc>
      </w:tr>
      <w:tr w14:paraId="184007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5B0C515C">
            <w:pP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29C53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BC27C5C">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673A2AE9">
            <w:pPr>
              <w:ind w:right="284"/>
              <w:jc w:val="left"/>
              <w:rPr>
                <w:rFonts w:hint="eastAsia" w:ascii="仿宋" w:hAnsi="仿宋" w:eastAsia="仿宋" w:cs="仿宋"/>
                <w:b/>
                <w:color w:val="auto"/>
                <w:sz w:val="21"/>
                <w:szCs w:val="21"/>
                <w:highlight w:val="none"/>
              </w:rPr>
            </w:pPr>
          </w:p>
        </w:tc>
      </w:tr>
      <w:tr w14:paraId="3AF045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812C74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2CE70D39">
            <w:pPr>
              <w:ind w:right="284"/>
              <w:jc w:val="left"/>
              <w:rPr>
                <w:rFonts w:hint="eastAsia" w:ascii="仿宋" w:hAnsi="仿宋" w:eastAsia="仿宋" w:cs="仿宋"/>
                <w:b/>
                <w:color w:val="auto"/>
                <w:sz w:val="21"/>
                <w:szCs w:val="21"/>
                <w:highlight w:val="none"/>
              </w:rPr>
            </w:pPr>
          </w:p>
        </w:tc>
      </w:tr>
      <w:tr w14:paraId="1BD8A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4ED17B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D1D056B">
            <w:pPr>
              <w:ind w:right="284"/>
              <w:jc w:val="left"/>
              <w:rPr>
                <w:rFonts w:hint="eastAsia" w:ascii="仿宋" w:hAnsi="仿宋" w:eastAsia="仿宋" w:cs="仿宋"/>
                <w:b/>
                <w:color w:val="auto"/>
                <w:sz w:val="21"/>
                <w:szCs w:val="21"/>
                <w:highlight w:val="none"/>
              </w:rPr>
            </w:pPr>
          </w:p>
        </w:tc>
      </w:tr>
      <w:tr w14:paraId="44F86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0BCAD2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A72DA42">
            <w:pPr>
              <w:ind w:right="284"/>
              <w:jc w:val="left"/>
              <w:rPr>
                <w:rFonts w:hint="eastAsia" w:ascii="仿宋" w:hAnsi="仿宋" w:eastAsia="仿宋" w:cs="仿宋"/>
                <w:b/>
                <w:color w:val="auto"/>
                <w:sz w:val="21"/>
                <w:szCs w:val="21"/>
                <w:highlight w:val="none"/>
              </w:rPr>
            </w:pPr>
          </w:p>
        </w:tc>
      </w:tr>
    </w:tbl>
    <w:p w14:paraId="294969EB">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16" w:name="_Toc21814"/>
      <w:bookmarkStart w:id="317" w:name="_Toc17624"/>
      <w:bookmarkStart w:id="318" w:name="_Toc4826"/>
      <w:bookmarkStart w:id="319" w:name="_Toc31438"/>
      <w:bookmarkStart w:id="320" w:name="_Toc12351"/>
      <w:r>
        <w:rPr>
          <w:rFonts w:hint="eastAsia" w:ascii="仿宋" w:hAnsi="仿宋" w:eastAsia="仿宋" w:cs="仿宋"/>
          <w:b/>
          <w:bCs w:val="0"/>
          <w:color w:val="auto"/>
          <w:sz w:val="40"/>
          <w:szCs w:val="40"/>
          <w:highlight w:val="none"/>
          <w:shd w:val="clear" w:color="auto" w:fill="auto"/>
          <w:lang w:val="en-US" w:eastAsia="zh-CN"/>
        </w:rPr>
        <w:t>附件十</w:t>
      </w:r>
      <w:bookmarkEnd w:id="316"/>
      <w:bookmarkEnd w:id="317"/>
      <w:bookmarkEnd w:id="318"/>
      <w:bookmarkEnd w:id="319"/>
      <w:bookmarkEnd w:id="320"/>
    </w:p>
    <w:p w14:paraId="77FF522E">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90D4E2D">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r>
        <w:rPr>
          <w:rFonts w:hint="eastAsia" w:ascii="仿宋" w:hAnsi="仿宋" w:eastAsia="仿宋" w:cs="仿宋"/>
          <w:snapToGrid w:val="0"/>
          <w:color w:val="auto"/>
          <w:spacing w:val="11"/>
          <w:kern w:val="0"/>
          <w:sz w:val="31"/>
          <w:szCs w:val="31"/>
          <w:highlight w:val="none"/>
        </w:rPr>
        <w:t>签</w:t>
      </w:r>
      <w:r>
        <w:rPr>
          <w:rFonts w:hint="eastAsia" w:ascii="仿宋" w:hAnsi="仿宋" w:eastAsia="仿宋" w:cs="仿宋"/>
          <w:snapToGrid w:val="0"/>
          <w:color w:val="auto"/>
          <w:spacing w:val="6"/>
          <w:kern w:val="0"/>
          <w:sz w:val="31"/>
          <w:szCs w:val="31"/>
          <w:highlight w:val="none"/>
        </w:rPr>
        <w:t>证单分包说明</w:t>
      </w:r>
    </w:p>
    <w:p w14:paraId="6FE4E0AE">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p>
    <w:p w14:paraId="35E2BB98">
      <w:pPr>
        <w:widowControl/>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14E7B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42" w:hRule="atLeast"/>
        </w:trPr>
        <w:tc>
          <w:tcPr>
            <w:tcW w:w="1357" w:type="dxa"/>
            <w:noWrap w:val="0"/>
            <w:vAlign w:val="top"/>
          </w:tcPr>
          <w:p w14:paraId="068634E5">
            <w:pPr>
              <w:widowControl/>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noWrap w:val="0"/>
            <w:vAlign w:val="top"/>
          </w:tcPr>
          <w:p w14:paraId="5EB1F160">
            <w:pPr>
              <w:widowControl/>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noWrap w:val="0"/>
            <w:vAlign w:val="top"/>
          </w:tcPr>
          <w:p w14:paraId="2A2AF916">
            <w:pPr>
              <w:widowControl/>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noWrap w:val="0"/>
            <w:vAlign w:val="top"/>
          </w:tcPr>
          <w:p w14:paraId="37553771">
            <w:pPr>
              <w:widowControl/>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14:paraId="1A59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5B0D6B36">
            <w:pPr>
              <w:widowControl/>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14:paraId="497D4B9D">
            <w:pPr>
              <w:widowControl/>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14:paraId="4AA0CC0D">
            <w:pPr>
              <w:widowControl/>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7F74CAB">
            <w:pPr>
              <w:widowControl/>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66CEDAC">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14:paraId="2BD8297A">
            <w:pPr>
              <w:widowControl/>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F806567">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14:paraId="0CDE010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02C6A03">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797037C8">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3711411B">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A605C8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1A2632D2">
      <w:pPr>
        <w:widowControl/>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14:paraId="547555C0">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6C21603B">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7E2230C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B4D748D">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8AAF330">
      <w:pPr>
        <w:widowControl/>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14:paraId="316CF2DF">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4908B8E3">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536C6CCB">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964E6A0">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04E2992">
      <w:pPr>
        <w:widowControl/>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14:paraId="2E6296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EBFB86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E1D15D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457D2D">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A5B6CCA">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24DE69">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21" w:name="_Toc25372"/>
      <w:bookmarkStart w:id="322" w:name="_Toc24467"/>
      <w:bookmarkStart w:id="323" w:name="_Toc8770"/>
      <w:bookmarkStart w:id="324" w:name="_Toc30613"/>
      <w:bookmarkStart w:id="325" w:name="_Toc4264"/>
      <w:r>
        <w:rPr>
          <w:rFonts w:hint="eastAsia" w:ascii="仿宋" w:hAnsi="仿宋" w:eastAsia="仿宋" w:cs="仿宋"/>
          <w:b/>
          <w:bCs w:val="0"/>
          <w:color w:val="auto"/>
          <w:sz w:val="40"/>
          <w:szCs w:val="40"/>
          <w:highlight w:val="none"/>
          <w:shd w:val="clear" w:color="auto" w:fill="auto"/>
          <w:lang w:val="en-US" w:eastAsia="zh-CN"/>
        </w:rPr>
        <w:t>附件十</w:t>
      </w:r>
      <w:bookmarkEnd w:id="321"/>
      <w:bookmarkEnd w:id="322"/>
      <w:bookmarkEnd w:id="323"/>
      <w:bookmarkEnd w:id="324"/>
      <w:r>
        <w:rPr>
          <w:rFonts w:hint="eastAsia" w:ascii="仿宋" w:hAnsi="仿宋" w:eastAsia="仿宋" w:cs="仿宋"/>
          <w:b/>
          <w:bCs w:val="0"/>
          <w:color w:val="auto"/>
          <w:sz w:val="40"/>
          <w:szCs w:val="40"/>
          <w:highlight w:val="none"/>
          <w:shd w:val="clear" w:color="auto" w:fill="auto"/>
          <w:lang w:val="en-US" w:eastAsia="zh-CN"/>
        </w:rPr>
        <w:t>一</w:t>
      </w:r>
      <w:bookmarkEnd w:id="325"/>
    </w:p>
    <w:p w14:paraId="77C32AD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hint="eastAsia" w:ascii="仿宋" w:hAnsi="仿宋" w:eastAsia="仿宋" w:cs="仿宋"/>
          <w:snapToGrid w:val="0"/>
          <w:color w:val="auto"/>
          <w:spacing w:val="10"/>
          <w:kern w:val="0"/>
          <w:sz w:val="31"/>
          <w:szCs w:val="31"/>
          <w:highlight w:val="none"/>
        </w:rPr>
        <w:t>工</w:t>
      </w:r>
      <w:r>
        <w:rPr>
          <w:rFonts w:hint="eastAsia" w:ascii="仿宋" w:hAnsi="仿宋" w:eastAsia="仿宋" w:cs="仿宋"/>
          <w:snapToGrid w:val="0"/>
          <w:color w:val="auto"/>
          <w:spacing w:val="8"/>
          <w:kern w:val="0"/>
          <w:sz w:val="31"/>
          <w:szCs w:val="31"/>
          <w:highlight w:val="none"/>
        </w:rPr>
        <w:t>程量现场草签记录表</w:t>
      </w:r>
    </w:p>
    <w:p w14:paraId="40B30984">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4E7AF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61C360AA">
            <w:pPr>
              <w:widowControl/>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D43B3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21A2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6265950E">
            <w:pPr>
              <w:widowControl/>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承</w:t>
            </w:r>
            <w:r>
              <w:rPr>
                <w:rFonts w:hint="eastAsia" w:ascii="仿宋" w:hAnsi="仿宋" w:eastAsia="仿宋" w:cs="仿宋"/>
                <w:snapToGrid w:val="0"/>
                <w:color w:val="auto"/>
                <w:spacing w:val="5"/>
                <w:kern w:val="0"/>
                <w:sz w:val="23"/>
                <w:szCs w:val="23"/>
                <w:highlight w:val="none"/>
              </w:rPr>
              <w:t>包方</w:t>
            </w:r>
          </w:p>
        </w:tc>
        <w:tc>
          <w:tcPr>
            <w:tcW w:w="3628" w:type="dxa"/>
            <w:gridSpan w:val="2"/>
            <w:noWrap w:val="0"/>
            <w:vAlign w:val="top"/>
          </w:tcPr>
          <w:p w14:paraId="55DE62D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6A040875">
            <w:pPr>
              <w:widowControl/>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990" w:type="dxa"/>
            <w:gridSpan w:val="3"/>
            <w:noWrap w:val="0"/>
            <w:vAlign w:val="top"/>
          </w:tcPr>
          <w:p w14:paraId="5140AE1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40134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3702D3C2">
            <w:pPr>
              <w:widowControl/>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分</w:t>
            </w:r>
            <w:r>
              <w:rPr>
                <w:rFonts w:hint="eastAsia" w:ascii="仿宋" w:hAnsi="仿宋" w:eastAsia="仿宋" w:cs="仿宋"/>
                <w:snapToGrid w:val="0"/>
                <w:color w:val="auto"/>
                <w:spacing w:val="4"/>
                <w:kern w:val="0"/>
                <w:sz w:val="23"/>
                <w:szCs w:val="23"/>
                <w:highlight w:val="none"/>
              </w:rPr>
              <w:t>包方</w:t>
            </w:r>
          </w:p>
        </w:tc>
        <w:tc>
          <w:tcPr>
            <w:tcW w:w="3628" w:type="dxa"/>
            <w:gridSpan w:val="2"/>
            <w:noWrap w:val="0"/>
            <w:vAlign w:val="top"/>
          </w:tcPr>
          <w:p w14:paraId="35AAAA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4A5102F9">
            <w:pPr>
              <w:widowControl/>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原</w:t>
            </w:r>
            <w:r>
              <w:rPr>
                <w:rFonts w:hint="eastAsia" w:ascii="仿宋" w:hAnsi="仿宋" w:eastAsia="仿宋" w:cs="仿宋"/>
                <w:snapToGrid w:val="0"/>
                <w:color w:val="auto"/>
                <w:kern w:val="0"/>
                <w:sz w:val="23"/>
                <w:szCs w:val="23"/>
                <w:highlight w:val="none"/>
              </w:rPr>
              <w:t>因</w:t>
            </w:r>
          </w:p>
        </w:tc>
        <w:tc>
          <w:tcPr>
            <w:tcW w:w="2990" w:type="dxa"/>
            <w:gridSpan w:val="3"/>
            <w:noWrap w:val="0"/>
            <w:vAlign w:val="top"/>
          </w:tcPr>
          <w:p w14:paraId="17EA338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4CDE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4294AE">
            <w:pPr>
              <w:widowControl/>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noWrap w:val="0"/>
            <w:vAlign w:val="top"/>
          </w:tcPr>
          <w:p w14:paraId="7DC1A615">
            <w:pPr>
              <w:widowControl/>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noWrap w:val="0"/>
            <w:vAlign w:val="top"/>
          </w:tcPr>
          <w:p w14:paraId="40F064E5">
            <w:pPr>
              <w:widowControl/>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noWrap w:val="0"/>
            <w:vAlign w:val="top"/>
          </w:tcPr>
          <w:p w14:paraId="10E88B7F">
            <w:pPr>
              <w:widowControl/>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noWrap w:val="0"/>
            <w:vAlign w:val="top"/>
          </w:tcPr>
          <w:p w14:paraId="50073187">
            <w:pPr>
              <w:widowControl/>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14:paraId="5FFB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951C4F9">
            <w:pPr>
              <w:widowControl/>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noWrap w:val="0"/>
            <w:vAlign w:val="top"/>
          </w:tcPr>
          <w:p w14:paraId="507B42F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9FE73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5B47AD66">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8F2661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1EE50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96E82EB">
            <w:pPr>
              <w:widowControl/>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noWrap w:val="0"/>
            <w:vAlign w:val="top"/>
          </w:tcPr>
          <w:p w14:paraId="55CD993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EC61E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3BBD9B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457DF5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7977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62364D25">
            <w:pPr>
              <w:widowControl/>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noWrap w:val="0"/>
            <w:vAlign w:val="top"/>
          </w:tcPr>
          <w:p w14:paraId="3E2B24B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679530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4DCD8A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5B7B94F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ACB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BF8D0B">
            <w:pPr>
              <w:widowControl/>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noWrap w:val="0"/>
            <w:vAlign w:val="top"/>
          </w:tcPr>
          <w:p w14:paraId="6B7EA4F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D51200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1B2B43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598AF0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D13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895B0E">
            <w:pPr>
              <w:widowControl/>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noWrap w:val="0"/>
            <w:vAlign w:val="top"/>
          </w:tcPr>
          <w:p w14:paraId="42A2C1C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002D4E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B09C82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85214C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DE17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02BA1DA">
            <w:pPr>
              <w:widowControl/>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noWrap w:val="0"/>
            <w:vAlign w:val="top"/>
          </w:tcPr>
          <w:p w14:paraId="7271F7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3B1A309">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D44C95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2EAA9B1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466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BCFD64E">
            <w:pPr>
              <w:widowControl/>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noWrap w:val="0"/>
            <w:vAlign w:val="top"/>
          </w:tcPr>
          <w:p w14:paraId="50ADD93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CE924C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643820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45C2BB8E">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406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D0801C">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noWrap w:val="0"/>
            <w:vAlign w:val="top"/>
          </w:tcPr>
          <w:p w14:paraId="62922BA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1268F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582E88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3C1A9C0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DFA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B9E8977">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noWrap w:val="0"/>
            <w:vAlign w:val="top"/>
          </w:tcPr>
          <w:p w14:paraId="27F006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02D2B1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FF1788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7A10B6EA">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3FFB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A71C1C">
            <w:pPr>
              <w:widowControl/>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noWrap w:val="0"/>
            <w:vAlign w:val="top"/>
          </w:tcPr>
          <w:p w14:paraId="5985A41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AF51A7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55DF27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D2BEAF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680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7F11ADD">
            <w:pPr>
              <w:widowControl/>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noWrap w:val="0"/>
            <w:vAlign w:val="top"/>
          </w:tcPr>
          <w:p w14:paraId="7D0243E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80971B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BA50AD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6A4FBD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527C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7F61E36">
            <w:pPr>
              <w:widowControl/>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noWrap w:val="0"/>
            <w:vAlign w:val="top"/>
          </w:tcPr>
          <w:p w14:paraId="08B8C49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D83BC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EE4A52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937F72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56D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270C5C23">
            <w:pPr>
              <w:widowControl/>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分</w:t>
            </w:r>
            <w:r>
              <w:rPr>
                <w:rFonts w:hint="eastAsia"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720633E4">
            <w:pPr>
              <w:widowControl/>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rPr>
              <w:t>承</w:t>
            </w:r>
            <w:r>
              <w:rPr>
                <w:rFonts w:hint="eastAsia"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6F497CA">
            <w:pPr>
              <w:widowControl/>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其它</w:t>
            </w:r>
          </w:p>
        </w:tc>
      </w:tr>
      <w:tr w14:paraId="5349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7B41897">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1F60143">
            <w:pPr>
              <w:widowControl/>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noWrap w:val="0"/>
            <w:vAlign w:val="top"/>
          </w:tcPr>
          <w:p w14:paraId="5D21C256">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8B2860F">
            <w:pPr>
              <w:widowControl/>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14:paraId="04DB0208">
            <w:pPr>
              <w:widowControl/>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14:paraId="4E959302">
            <w:pPr>
              <w:widowControl/>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14:paraId="60A3762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3C1DA6B1">
            <w:pPr>
              <w:widowControl/>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7704EBD5">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0DB2D5F3">
            <w:pPr>
              <w:widowControl/>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14:paraId="572E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9B14C91">
            <w:pPr>
              <w:widowControl/>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0B94FFF7">
            <w:pPr>
              <w:widowControl/>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EAC556E">
            <w:pPr>
              <w:widowControl/>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14:paraId="0766F2A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DD59D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26" w:name="_Toc10964"/>
      <w:bookmarkStart w:id="327" w:name="_Toc9549"/>
      <w:bookmarkStart w:id="328" w:name="_Toc25617"/>
      <w:bookmarkStart w:id="329" w:name="_Toc28763"/>
    </w:p>
    <w:p w14:paraId="196B3CB8">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30" w:name="_Toc22854"/>
      <w:r>
        <w:rPr>
          <w:rFonts w:hint="eastAsia" w:ascii="仿宋" w:hAnsi="仿宋" w:eastAsia="仿宋" w:cs="仿宋"/>
          <w:b/>
          <w:bCs w:val="0"/>
          <w:color w:val="auto"/>
          <w:sz w:val="40"/>
          <w:szCs w:val="40"/>
          <w:highlight w:val="none"/>
          <w:shd w:val="clear" w:color="auto" w:fill="auto"/>
          <w:lang w:val="en-US" w:eastAsia="zh-CN"/>
        </w:rPr>
        <w:t>附件十</w:t>
      </w:r>
      <w:bookmarkEnd w:id="326"/>
      <w:bookmarkEnd w:id="327"/>
      <w:bookmarkEnd w:id="328"/>
      <w:bookmarkEnd w:id="329"/>
      <w:r>
        <w:rPr>
          <w:rFonts w:hint="eastAsia" w:ascii="仿宋" w:hAnsi="仿宋" w:eastAsia="仿宋" w:cs="仿宋"/>
          <w:b/>
          <w:bCs w:val="0"/>
          <w:color w:val="auto"/>
          <w:sz w:val="40"/>
          <w:szCs w:val="40"/>
          <w:highlight w:val="none"/>
          <w:shd w:val="clear" w:color="auto" w:fill="auto"/>
          <w:lang w:val="en-US" w:eastAsia="zh-CN"/>
        </w:rPr>
        <w:t>二</w:t>
      </w:r>
      <w:bookmarkEnd w:id="330"/>
    </w:p>
    <w:p w14:paraId="3A52F819">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14:paraId="22035A8D">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14:paraId="09486071">
      <w:pPr>
        <w:jc w:val="center"/>
        <w:rPr>
          <w:rFonts w:hint="eastAsia" w:ascii="仿宋" w:hAnsi="仿宋" w:eastAsia="仿宋" w:cs="仿宋"/>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62E1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7755325">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noWrap w:val="0"/>
            <w:vAlign w:val="top"/>
          </w:tcPr>
          <w:p w14:paraId="5C1E2F80">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14:paraId="2FAB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BAA266D">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noWrap w:val="0"/>
            <w:vAlign w:val="top"/>
          </w:tcPr>
          <w:p w14:paraId="4E169411">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14:paraId="3704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366043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noWrap w:val="0"/>
            <w:vAlign w:val="top"/>
          </w:tcPr>
          <w:p w14:paraId="4AAA8417">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14:paraId="021E3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4232FF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noWrap w:val="0"/>
            <w:vAlign w:val="top"/>
          </w:tcPr>
          <w:p w14:paraId="10CB586D">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14:paraId="3630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A94940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noWrap w:val="0"/>
            <w:vAlign w:val="top"/>
          </w:tcPr>
          <w:p w14:paraId="64222BFC">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14:paraId="24C4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0B9A18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noWrap w:val="0"/>
            <w:vAlign w:val="top"/>
          </w:tcPr>
          <w:p w14:paraId="16070656">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14:paraId="0A6F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04B5EC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noWrap w:val="0"/>
            <w:vAlign w:val="top"/>
          </w:tcPr>
          <w:p w14:paraId="3C017771">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14:paraId="66E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68ADE4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noWrap w:val="0"/>
            <w:vAlign w:val="top"/>
          </w:tcPr>
          <w:p w14:paraId="737DE0D0">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AE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32F653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noWrap w:val="0"/>
            <w:vAlign w:val="top"/>
          </w:tcPr>
          <w:p w14:paraId="2A6DF193">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14:paraId="64653A79">
      <w:pPr>
        <w:jc w:val="center"/>
        <w:rPr>
          <w:rFonts w:hint="eastAsia" w:ascii="仿宋" w:hAnsi="仿宋" w:eastAsia="仿宋" w:cs="仿宋"/>
          <w:color w:val="auto"/>
          <w:sz w:val="36"/>
          <w:szCs w:val="36"/>
          <w:highlight w:val="none"/>
        </w:rPr>
      </w:pPr>
    </w:p>
    <w:p w14:paraId="5776297E">
      <w:pPr>
        <w:jc w:val="center"/>
        <w:rPr>
          <w:rFonts w:hint="eastAsia" w:ascii="仿宋" w:hAnsi="仿宋" w:eastAsia="仿宋" w:cs="仿宋"/>
          <w:color w:val="auto"/>
          <w:sz w:val="28"/>
          <w:szCs w:val="28"/>
          <w:highlight w:val="none"/>
        </w:rPr>
      </w:pPr>
    </w:p>
    <w:p w14:paraId="3DC9B41B">
      <w:pPr>
        <w:jc w:val="center"/>
        <w:rPr>
          <w:rFonts w:hint="eastAsia" w:ascii="仿宋" w:hAnsi="仿宋" w:eastAsia="仿宋" w:cs="仿宋"/>
          <w:color w:val="auto"/>
          <w:sz w:val="28"/>
          <w:szCs w:val="28"/>
          <w:highlight w:val="none"/>
        </w:rPr>
      </w:pPr>
    </w:p>
    <w:p w14:paraId="7FF1C5BC">
      <w:pPr>
        <w:jc w:val="center"/>
        <w:rPr>
          <w:rFonts w:hint="eastAsia" w:ascii="仿宋" w:hAnsi="仿宋" w:eastAsia="仿宋" w:cs="仿宋"/>
          <w:color w:val="auto"/>
          <w:sz w:val="28"/>
          <w:szCs w:val="28"/>
          <w:highlight w:val="none"/>
        </w:rPr>
      </w:pPr>
    </w:p>
    <w:p w14:paraId="34E9751E">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14:paraId="408552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7969AD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31" w:name="_Toc18518"/>
      <w:bookmarkStart w:id="332" w:name="_Toc26856"/>
      <w:bookmarkStart w:id="333" w:name="_Toc5925"/>
      <w:bookmarkStart w:id="334" w:name="_Toc20382"/>
    </w:p>
    <w:p w14:paraId="2EBB30E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178B23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AD95A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966DDE">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35" w:name="_Toc1310"/>
      <w:bookmarkStart w:id="336" w:name="_Toc31854"/>
      <w:bookmarkStart w:id="337" w:name="_Toc12674"/>
      <w:bookmarkStart w:id="338" w:name="_Toc4374"/>
      <w:bookmarkStart w:id="339" w:name="_Toc17534"/>
      <w:r>
        <w:rPr>
          <w:rFonts w:hint="eastAsia" w:ascii="仿宋" w:hAnsi="仿宋" w:eastAsia="仿宋" w:cs="仿宋"/>
          <w:b/>
          <w:bCs w:val="0"/>
          <w:color w:val="auto"/>
          <w:sz w:val="40"/>
          <w:szCs w:val="40"/>
          <w:highlight w:val="none"/>
          <w:shd w:val="clear" w:color="auto" w:fill="auto"/>
          <w:lang w:val="en-US" w:eastAsia="zh-CN"/>
        </w:rPr>
        <w:t>附件</w:t>
      </w:r>
      <w:bookmarkEnd w:id="331"/>
      <w:r>
        <w:rPr>
          <w:rFonts w:hint="eastAsia" w:ascii="仿宋" w:hAnsi="仿宋" w:eastAsia="仿宋" w:cs="仿宋"/>
          <w:b/>
          <w:bCs w:val="0"/>
          <w:color w:val="auto"/>
          <w:sz w:val="40"/>
          <w:szCs w:val="40"/>
          <w:highlight w:val="none"/>
          <w:shd w:val="clear" w:color="auto" w:fill="auto"/>
          <w:lang w:val="en-US" w:eastAsia="zh-CN"/>
        </w:rPr>
        <w:t>十</w:t>
      </w:r>
      <w:bookmarkEnd w:id="332"/>
      <w:bookmarkEnd w:id="333"/>
      <w:bookmarkEnd w:id="334"/>
      <w:bookmarkEnd w:id="335"/>
      <w:bookmarkEnd w:id="336"/>
      <w:bookmarkEnd w:id="337"/>
      <w:bookmarkEnd w:id="338"/>
      <w:r>
        <w:rPr>
          <w:rFonts w:hint="eastAsia" w:ascii="仿宋" w:hAnsi="仿宋" w:eastAsia="仿宋" w:cs="仿宋"/>
          <w:b/>
          <w:bCs w:val="0"/>
          <w:color w:val="auto"/>
          <w:sz w:val="40"/>
          <w:szCs w:val="40"/>
          <w:highlight w:val="none"/>
          <w:shd w:val="clear" w:color="auto" w:fill="auto"/>
          <w:lang w:val="en-US" w:eastAsia="zh-CN"/>
        </w:rPr>
        <w:t>三</w:t>
      </w:r>
      <w:bookmarkEnd w:id="339"/>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25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764E4CB3">
            <w:pPr>
              <w:keepNext w:val="0"/>
              <w:keepLines w:val="0"/>
              <w:widowControl/>
              <w:suppressLineNumbers w:val="0"/>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14:paraId="6A04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437A8CC9">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3E38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5BF68A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27383E89">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48158A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66939F2">
            <w:pPr>
              <w:rPr>
                <w:rFonts w:hint="eastAsia" w:ascii="仿宋" w:hAnsi="仿宋" w:eastAsia="仿宋" w:cs="仿宋"/>
                <w:i w:val="0"/>
                <w:iCs w:val="0"/>
                <w:color w:val="auto"/>
                <w:sz w:val="24"/>
                <w:szCs w:val="24"/>
                <w:highlight w:val="none"/>
                <w:u w:val="none"/>
              </w:rPr>
            </w:pPr>
          </w:p>
        </w:tc>
      </w:tr>
      <w:tr w14:paraId="27CA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074962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73C477B6">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78D62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37EF1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3735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C91E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3269AB80">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05F2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D41581">
            <w:pPr>
              <w:jc w:val="center"/>
              <w:rPr>
                <w:rFonts w:hint="eastAsia" w:ascii="仿宋" w:hAnsi="仿宋" w:eastAsia="仿宋" w:cs="仿宋"/>
                <w:i w:val="0"/>
                <w:iCs w:val="0"/>
                <w:color w:val="auto"/>
                <w:sz w:val="24"/>
                <w:szCs w:val="24"/>
                <w:highlight w:val="none"/>
                <w:u w:val="none"/>
              </w:rPr>
            </w:pPr>
          </w:p>
        </w:tc>
      </w:tr>
      <w:tr w14:paraId="4E5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EF350">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A5B0C4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0CA7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F960ABF">
            <w:pPr>
              <w:jc w:val="center"/>
              <w:rPr>
                <w:rFonts w:hint="eastAsia" w:ascii="仿宋" w:hAnsi="仿宋" w:eastAsia="仿宋" w:cs="仿宋"/>
                <w:i w:val="0"/>
                <w:iCs w:val="0"/>
                <w:color w:val="auto"/>
                <w:sz w:val="24"/>
                <w:szCs w:val="24"/>
                <w:highlight w:val="none"/>
                <w:u w:val="none"/>
              </w:rPr>
            </w:pPr>
          </w:p>
        </w:tc>
      </w:tr>
      <w:tr w14:paraId="26EB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D4FD99">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79B47278">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5C33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0CDD422">
            <w:pPr>
              <w:jc w:val="center"/>
              <w:rPr>
                <w:rFonts w:hint="eastAsia" w:ascii="仿宋" w:hAnsi="仿宋" w:eastAsia="仿宋" w:cs="仿宋"/>
                <w:i w:val="0"/>
                <w:iCs w:val="0"/>
                <w:color w:val="auto"/>
                <w:sz w:val="24"/>
                <w:szCs w:val="24"/>
                <w:highlight w:val="none"/>
                <w:u w:val="none"/>
              </w:rPr>
            </w:pPr>
          </w:p>
        </w:tc>
      </w:tr>
      <w:tr w14:paraId="40F1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349AA">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4AB44A3">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1003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8DB8E3A">
            <w:pPr>
              <w:jc w:val="center"/>
              <w:rPr>
                <w:rFonts w:hint="eastAsia" w:ascii="仿宋" w:hAnsi="仿宋" w:eastAsia="仿宋" w:cs="仿宋"/>
                <w:i w:val="0"/>
                <w:iCs w:val="0"/>
                <w:color w:val="auto"/>
                <w:sz w:val="24"/>
                <w:szCs w:val="24"/>
                <w:highlight w:val="none"/>
                <w:u w:val="none"/>
              </w:rPr>
            </w:pPr>
          </w:p>
        </w:tc>
      </w:tr>
      <w:tr w14:paraId="66AB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45D3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929BA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EC8B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31AE499">
            <w:pPr>
              <w:jc w:val="center"/>
              <w:rPr>
                <w:rFonts w:hint="eastAsia" w:ascii="仿宋" w:hAnsi="仿宋" w:eastAsia="仿宋" w:cs="仿宋"/>
                <w:i w:val="0"/>
                <w:iCs w:val="0"/>
                <w:color w:val="auto"/>
                <w:sz w:val="24"/>
                <w:szCs w:val="24"/>
                <w:highlight w:val="none"/>
                <w:u w:val="none"/>
              </w:rPr>
            </w:pPr>
          </w:p>
        </w:tc>
      </w:tr>
      <w:tr w14:paraId="5F55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8F533">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1A2975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5ECC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DE6EA0B">
            <w:pPr>
              <w:jc w:val="center"/>
              <w:rPr>
                <w:rFonts w:hint="eastAsia" w:ascii="仿宋" w:hAnsi="仿宋" w:eastAsia="仿宋" w:cs="仿宋"/>
                <w:i w:val="0"/>
                <w:iCs w:val="0"/>
                <w:color w:val="auto"/>
                <w:sz w:val="24"/>
                <w:szCs w:val="24"/>
                <w:highlight w:val="none"/>
                <w:u w:val="none"/>
              </w:rPr>
            </w:pPr>
          </w:p>
        </w:tc>
      </w:tr>
      <w:tr w14:paraId="55B09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D6E4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22B2CB9A">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702F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E0AD3A1">
            <w:pPr>
              <w:jc w:val="center"/>
              <w:rPr>
                <w:rFonts w:hint="eastAsia" w:ascii="仿宋" w:hAnsi="仿宋" w:eastAsia="仿宋" w:cs="仿宋"/>
                <w:i w:val="0"/>
                <w:iCs w:val="0"/>
                <w:color w:val="auto"/>
                <w:sz w:val="24"/>
                <w:szCs w:val="24"/>
                <w:highlight w:val="none"/>
                <w:u w:val="none"/>
              </w:rPr>
            </w:pPr>
          </w:p>
        </w:tc>
      </w:tr>
      <w:tr w14:paraId="60A71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67B114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0B7C4D4">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B7298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51C21BE">
            <w:pPr>
              <w:jc w:val="center"/>
              <w:rPr>
                <w:rFonts w:hint="eastAsia" w:ascii="仿宋" w:hAnsi="仿宋" w:eastAsia="仿宋" w:cs="仿宋"/>
                <w:i w:val="0"/>
                <w:iCs w:val="0"/>
                <w:color w:val="auto"/>
                <w:sz w:val="24"/>
                <w:szCs w:val="24"/>
                <w:highlight w:val="none"/>
                <w:u w:val="none"/>
              </w:rPr>
            </w:pPr>
          </w:p>
        </w:tc>
      </w:tr>
      <w:tr w14:paraId="4554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C6C5C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37B26152">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38C90A4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1FFB7972">
            <w:pPr>
              <w:jc w:val="center"/>
              <w:rPr>
                <w:rFonts w:hint="eastAsia" w:ascii="仿宋" w:hAnsi="仿宋" w:eastAsia="仿宋" w:cs="仿宋"/>
                <w:i w:val="0"/>
                <w:iCs w:val="0"/>
                <w:color w:val="auto"/>
                <w:sz w:val="24"/>
                <w:szCs w:val="24"/>
                <w:highlight w:val="none"/>
                <w:u w:val="none"/>
              </w:rPr>
            </w:pPr>
          </w:p>
        </w:tc>
      </w:tr>
      <w:tr w14:paraId="7754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469A2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2AD3ACC">
            <w:pPr>
              <w:jc w:val="center"/>
              <w:rPr>
                <w:rFonts w:hint="eastAsia" w:ascii="仿宋" w:hAnsi="仿宋" w:eastAsia="仿宋" w:cs="仿宋"/>
                <w:i w:val="0"/>
                <w:iCs w:val="0"/>
                <w:color w:val="auto"/>
                <w:sz w:val="24"/>
                <w:szCs w:val="24"/>
                <w:highlight w:val="none"/>
                <w:u w:val="none"/>
              </w:rPr>
            </w:pPr>
          </w:p>
        </w:tc>
      </w:tr>
      <w:tr w14:paraId="2B60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7B69FB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7FDF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1D26A558">
            <w:pPr>
              <w:jc w:val="left"/>
              <w:rPr>
                <w:rFonts w:hint="eastAsia" w:ascii="仿宋" w:hAnsi="仿宋" w:eastAsia="仿宋" w:cs="仿宋"/>
                <w:i w:val="0"/>
                <w:iCs w:val="0"/>
                <w:color w:val="auto"/>
                <w:sz w:val="24"/>
                <w:szCs w:val="24"/>
                <w:highlight w:val="none"/>
                <w:u w:val="none"/>
              </w:rPr>
            </w:pPr>
          </w:p>
        </w:tc>
      </w:tr>
    </w:tbl>
    <w:p w14:paraId="4EF32A2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0B88CB2F">
      <w:pPr>
        <w:pStyle w:val="14"/>
        <w:rPr>
          <w:rFonts w:hint="default" w:ascii="仿宋" w:hAnsi="仿宋" w:eastAsia="仿宋" w:cs="仿宋"/>
          <w:b/>
          <w:bCs/>
          <w:color w:val="auto"/>
          <w:sz w:val="36"/>
          <w:szCs w:val="36"/>
          <w:highlight w:val="none"/>
          <w:lang w:val="en-US" w:eastAsia="zh-CN"/>
        </w:rPr>
      </w:pPr>
    </w:p>
    <w:p w14:paraId="64586306">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bookmarkEnd w:id="292"/>
    <w:bookmarkEnd w:id="293"/>
    <w:bookmarkEnd w:id="294"/>
    <w:bookmarkEnd w:id="295"/>
    <w:p w14:paraId="0442BB71">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bookmarkEnd w:id="340"/>
    <w:sectPr>
      <w:footerReference r:id="rId6" w:type="default"/>
      <w:pgSz w:w="11906" w:h="16838"/>
      <w:pgMar w:top="1440" w:right="1361" w:bottom="952" w:left="1361"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2A88">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4336D">
    <w:pPr>
      <w:pStyle w:val="8"/>
    </w:pPr>
  </w:p>
  <w:p w14:paraId="1966A5E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440A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11754">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55</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1F11754">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55</w:t>
                    </w:r>
                    <w:r>
                      <w:t xml:space="preserve"> 页</w:t>
                    </w:r>
                  </w:p>
                </w:txbxContent>
              </v:textbox>
            </v:shape>
          </w:pict>
        </mc:Fallback>
      </mc:AlternateContent>
    </w:r>
  </w:p>
  <w:p w14:paraId="3AF4BB1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08A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95BC4"/>
    <w:rsid w:val="00ED202F"/>
    <w:rsid w:val="00F30062"/>
    <w:rsid w:val="00F474E7"/>
    <w:rsid w:val="010A1348"/>
    <w:rsid w:val="01176EA7"/>
    <w:rsid w:val="011E0CCE"/>
    <w:rsid w:val="01235E37"/>
    <w:rsid w:val="013730A5"/>
    <w:rsid w:val="014632E9"/>
    <w:rsid w:val="0147153B"/>
    <w:rsid w:val="01510F6A"/>
    <w:rsid w:val="015765E3"/>
    <w:rsid w:val="01813F60"/>
    <w:rsid w:val="01B5752C"/>
    <w:rsid w:val="01B6046E"/>
    <w:rsid w:val="01BF37C7"/>
    <w:rsid w:val="01C04E49"/>
    <w:rsid w:val="01CE44FC"/>
    <w:rsid w:val="01D26D8C"/>
    <w:rsid w:val="021C600F"/>
    <w:rsid w:val="021E7FE8"/>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EF25D4"/>
    <w:rsid w:val="02FE1B0B"/>
    <w:rsid w:val="033E696D"/>
    <w:rsid w:val="03630182"/>
    <w:rsid w:val="036D65A5"/>
    <w:rsid w:val="03800D34"/>
    <w:rsid w:val="03EE2CEC"/>
    <w:rsid w:val="040B4A77"/>
    <w:rsid w:val="04277401"/>
    <w:rsid w:val="04332207"/>
    <w:rsid w:val="04340622"/>
    <w:rsid w:val="0442248D"/>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3F5954"/>
    <w:rsid w:val="054F4E62"/>
    <w:rsid w:val="05657FDC"/>
    <w:rsid w:val="056B1570"/>
    <w:rsid w:val="058638BE"/>
    <w:rsid w:val="059B1E55"/>
    <w:rsid w:val="05A101F3"/>
    <w:rsid w:val="05AB5E10"/>
    <w:rsid w:val="05D56967"/>
    <w:rsid w:val="05E732EC"/>
    <w:rsid w:val="05FA2136"/>
    <w:rsid w:val="060317A8"/>
    <w:rsid w:val="064A0EA5"/>
    <w:rsid w:val="06530982"/>
    <w:rsid w:val="06596213"/>
    <w:rsid w:val="06706AD8"/>
    <w:rsid w:val="06976105"/>
    <w:rsid w:val="06A66D03"/>
    <w:rsid w:val="06D31393"/>
    <w:rsid w:val="06D870D9"/>
    <w:rsid w:val="06DC2F7F"/>
    <w:rsid w:val="06E04565"/>
    <w:rsid w:val="06E81F02"/>
    <w:rsid w:val="06ED4932"/>
    <w:rsid w:val="06F832D7"/>
    <w:rsid w:val="070B125C"/>
    <w:rsid w:val="071716FC"/>
    <w:rsid w:val="07181283"/>
    <w:rsid w:val="071B1643"/>
    <w:rsid w:val="07311721"/>
    <w:rsid w:val="073F4A62"/>
    <w:rsid w:val="07513FB1"/>
    <w:rsid w:val="07580BE5"/>
    <w:rsid w:val="075D56E6"/>
    <w:rsid w:val="076A3F72"/>
    <w:rsid w:val="07740BAF"/>
    <w:rsid w:val="07B436A2"/>
    <w:rsid w:val="07B9513E"/>
    <w:rsid w:val="07C02047"/>
    <w:rsid w:val="07E13D6B"/>
    <w:rsid w:val="07E31891"/>
    <w:rsid w:val="07F41CF0"/>
    <w:rsid w:val="07F61040"/>
    <w:rsid w:val="07F615C4"/>
    <w:rsid w:val="07FC5C21"/>
    <w:rsid w:val="080C703A"/>
    <w:rsid w:val="081B54CF"/>
    <w:rsid w:val="081B70BC"/>
    <w:rsid w:val="083A6C4A"/>
    <w:rsid w:val="084410E6"/>
    <w:rsid w:val="084731D1"/>
    <w:rsid w:val="085547A4"/>
    <w:rsid w:val="08566955"/>
    <w:rsid w:val="085C7B8E"/>
    <w:rsid w:val="089112ED"/>
    <w:rsid w:val="08A6123D"/>
    <w:rsid w:val="08B374B6"/>
    <w:rsid w:val="08BC34BB"/>
    <w:rsid w:val="08D04EA3"/>
    <w:rsid w:val="08D1580F"/>
    <w:rsid w:val="08F24A3C"/>
    <w:rsid w:val="08FA1588"/>
    <w:rsid w:val="090207D6"/>
    <w:rsid w:val="091A7535"/>
    <w:rsid w:val="094F7E28"/>
    <w:rsid w:val="09757AB5"/>
    <w:rsid w:val="09760B9C"/>
    <w:rsid w:val="097C01F9"/>
    <w:rsid w:val="099A1CCF"/>
    <w:rsid w:val="09A56C91"/>
    <w:rsid w:val="09A727B4"/>
    <w:rsid w:val="09A82D92"/>
    <w:rsid w:val="09C46844"/>
    <w:rsid w:val="09C94AB7"/>
    <w:rsid w:val="09E22A5D"/>
    <w:rsid w:val="09E87633"/>
    <w:rsid w:val="09FB1114"/>
    <w:rsid w:val="09FB55B8"/>
    <w:rsid w:val="09FB7366"/>
    <w:rsid w:val="09FF6F98"/>
    <w:rsid w:val="0A2118B5"/>
    <w:rsid w:val="0A454A85"/>
    <w:rsid w:val="0A5922DF"/>
    <w:rsid w:val="0A60366D"/>
    <w:rsid w:val="0A7964DD"/>
    <w:rsid w:val="0A9A5DF0"/>
    <w:rsid w:val="0AA10F84"/>
    <w:rsid w:val="0ACE6829"/>
    <w:rsid w:val="0AD62B48"/>
    <w:rsid w:val="0AE30F3A"/>
    <w:rsid w:val="0AFA3582"/>
    <w:rsid w:val="0AFE2A9E"/>
    <w:rsid w:val="0B3C1D27"/>
    <w:rsid w:val="0B3D2BA6"/>
    <w:rsid w:val="0B4329BB"/>
    <w:rsid w:val="0B70650A"/>
    <w:rsid w:val="0B7A69B0"/>
    <w:rsid w:val="0B9E0017"/>
    <w:rsid w:val="0BB84DE3"/>
    <w:rsid w:val="0BB93035"/>
    <w:rsid w:val="0BC02551"/>
    <w:rsid w:val="0BD92D6E"/>
    <w:rsid w:val="0BD95485"/>
    <w:rsid w:val="0BDB7D38"/>
    <w:rsid w:val="0C125258"/>
    <w:rsid w:val="0C177688"/>
    <w:rsid w:val="0C1D2B00"/>
    <w:rsid w:val="0C4D2770"/>
    <w:rsid w:val="0C727688"/>
    <w:rsid w:val="0C8E44C1"/>
    <w:rsid w:val="0C9B273A"/>
    <w:rsid w:val="0CBC5C8A"/>
    <w:rsid w:val="0CC04DC6"/>
    <w:rsid w:val="0CC9374C"/>
    <w:rsid w:val="0CCA5228"/>
    <w:rsid w:val="0CE1709F"/>
    <w:rsid w:val="0D006A41"/>
    <w:rsid w:val="0D0522AA"/>
    <w:rsid w:val="0D077DD0"/>
    <w:rsid w:val="0D0B0EE3"/>
    <w:rsid w:val="0D186481"/>
    <w:rsid w:val="0D4536A9"/>
    <w:rsid w:val="0D6042F4"/>
    <w:rsid w:val="0D6671EC"/>
    <w:rsid w:val="0D6E7935"/>
    <w:rsid w:val="0D723345"/>
    <w:rsid w:val="0D8B6C53"/>
    <w:rsid w:val="0D9553DC"/>
    <w:rsid w:val="0D964F5E"/>
    <w:rsid w:val="0DAE068F"/>
    <w:rsid w:val="0DAE649D"/>
    <w:rsid w:val="0DBB3044"/>
    <w:rsid w:val="0DD203DE"/>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127BD"/>
    <w:rsid w:val="0E5205B9"/>
    <w:rsid w:val="0E575B4B"/>
    <w:rsid w:val="0E590AFF"/>
    <w:rsid w:val="0E753A46"/>
    <w:rsid w:val="0EA63619"/>
    <w:rsid w:val="0EC33E92"/>
    <w:rsid w:val="0EC341CA"/>
    <w:rsid w:val="0EDD34DE"/>
    <w:rsid w:val="0EFD148A"/>
    <w:rsid w:val="0F0A3692"/>
    <w:rsid w:val="0F0E18EA"/>
    <w:rsid w:val="0F2E7896"/>
    <w:rsid w:val="0F3050A6"/>
    <w:rsid w:val="0F465E76"/>
    <w:rsid w:val="0F476BAA"/>
    <w:rsid w:val="0F56503F"/>
    <w:rsid w:val="0F637980"/>
    <w:rsid w:val="0F706264"/>
    <w:rsid w:val="0F9A1418"/>
    <w:rsid w:val="0FA17752"/>
    <w:rsid w:val="0FB22358"/>
    <w:rsid w:val="0FD541B5"/>
    <w:rsid w:val="0FDC5544"/>
    <w:rsid w:val="0FF10BB3"/>
    <w:rsid w:val="10352EA6"/>
    <w:rsid w:val="108674CF"/>
    <w:rsid w:val="10922D88"/>
    <w:rsid w:val="109E0A4B"/>
    <w:rsid w:val="10A145F0"/>
    <w:rsid w:val="10A14840"/>
    <w:rsid w:val="10A23752"/>
    <w:rsid w:val="10D80992"/>
    <w:rsid w:val="11126856"/>
    <w:rsid w:val="111B209C"/>
    <w:rsid w:val="11243FFF"/>
    <w:rsid w:val="113718BF"/>
    <w:rsid w:val="11407F98"/>
    <w:rsid w:val="11557E4D"/>
    <w:rsid w:val="11565855"/>
    <w:rsid w:val="11665A0D"/>
    <w:rsid w:val="1188642D"/>
    <w:rsid w:val="11902C28"/>
    <w:rsid w:val="119D1F55"/>
    <w:rsid w:val="11C2148E"/>
    <w:rsid w:val="11D01CF9"/>
    <w:rsid w:val="11EB7CC0"/>
    <w:rsid w:val="11FC60EA"/>
    <w:rsid w:val="12056FCB"/>
    <w:rsid w:val="12077CFA"/>
    <w:rsid w:val="121B43BF"/>
    <w:rsid w:val="121C60CC"/>
    <w:rsid w:val="12271A49"/>
    <w:rsid w:val="122907E8"/>
    <w:rsid w:val="124205D1"/>
    <w:rsid w:val="12613ED3"/>
    <w:rsid w:val="12635AA8"/>
    <w:rsid w:val="12696E37"/>
    <w:rsid w:val="126E62DF"/>
    <w:rsid w:val="127952CC"/>
    <w:rsid w:val="128C7E3E"/>
    <w:rsid w:val="12A30FD7"/>
    <w:rsid w:val="12AA36D7"/>
    <w:rsid w:val="12CD386A"/>
    <w:rsid w:val="12F901BB"/>
    <w:rsid w:val="130D422A"/>
    <w:rsid w:val="130F3E82"/>
    <w:rsid w:val="13165211"/>
    <w:rsid w:val="132E143F"/>
    <w:rsid w:val="133D1075"/>
    <w:rsid w:val="13471AD0"/>
    <w:rsid w:val="134753CA"/>
    <w:rsid w:val="134C478E"/>
    <w:rsid w:val="135B5878"/>
    <w:rsid w:val="13781A27"/>
    <w:rsid w:val="13826402"/>
    <w:rsid w:val="13845E89"/>
    <w:rsid w:val="13877EBC"/>
    <w:rsid w:val="1393060F"/>
    <w:rsid w:val="13985C26"/>
    <w:rsid w:val="13B14F39"/>
    <w:rsid w:val="13CE4A0B"/>
    <w:rsid w:val="13E97B32"/>
    <w:rsid w:val="14092680"/>
    <w:rsid w:val="14226B92"/>
    <w:rsid w:val="14301B15"/>
    <w:rsid w:val="14530591"/>
    <w:rsid w:val="14564D5E"/>
    <w:rsid w:val="14661880"/>
    <w:rsid w:val="14726477"/>
    <w:rsid w:val="14870CC8"/>
    <w:rsid w:val="1492781C"/>
    <w:rsid w:val="1499025C"/>
    <w:rsid w:val="149B6797"/>
    <w:rsid w:val="14B678F8"/>
    <w:rsid w:val="14C41530"/>
    <w:rsid w:val="14C9686C"/>
    <w:rsid w:val="14DE4397"/>
    <w:rsid w:val="14E07884"/>
    <w:rsid w:val="14F15522"/>
    <w:rsid w:val="150337D5"/>
    <w:rsid w:val="1504174F"/>
    <w:rsid w:val="15084B3F"/>
    <w:rsid w:val="152135DE"/>
    <w:rsid w:val="152F6751"/>
    <w:rsid w:val="15406575"/>
    <w:rsid w:val="1553452D"/>
    <w:rsid w:val="15542020"/>
    <w:rsid w:val="156F29B6"/>
    <w:rsid w:val="157E0E4B"/>
    <w:rsid w:val="158263AD"/>
    <w:rsid w:val="158F501B"/>
    <w:rsid w:val="159452FD"/>
    <w:rsid w:val="15956F9B"/>
    <w:rsid w:val="15A9794A"/>
    <w:rsid w:val="15B036FB"/>
    <w:rsid w:val="15B14B22"/>
    <w:rsid w:val="15BA33B1"/>
    <w:rsid w:val="15CD0276"/>
    <w:rsid w:val="15E16AFD"/>
    <w:rsid w:val="15E16D7A"/>
    <w:rsid w:val="15E46F00"/>
    <w:rsid w:val="15FE0734"/>
    <w:rsid w:val="16041350"/>
    <w:rsid w:val="16151C72"/>
    <w:rsid w:val="161A23FF"/>
    <w:rsid w:val="161F43DC"/>
    <w:rsid w:val="16290B92"/>
    <w:rsid w:val="16297009"/>
    <w:rsid w:val="16411B20"/>
    <w:rsid w:val="165C2217"/>
    <w:rsid w:val="167069E6"/>
    <w:rsid w:val="167D7D71"/>
    <w:rsid w:val="169F1079"/>
    <w:rsid w:val="16A3500D"/>
    <w:rsid w:val="16A362C6"/>
    <w:rsid w:val="16B36AE1"/>
    <w:rsid w:val="16C15493"/>
    <w:rsid w:val="16E42F30"/>
    <w:rsid w:val="16ED4897"/>
    <w:rsid w:val="16FE0496"/>
    <w:rsid w:val="172A0C99"/>
    <w:rsid w:val="174C7453"/>
    <w:rsid w:val="174D0264"/>
    <w:rsid w:val="17822E75"/>
    <w:rsid w:val="179A1DCD"/>
    <w:rsid w:val="179B5CE4"/>
    <w:rsid w:val="17A15E0B"/>
    <w:rsid w:val="17AF1790"/>
    <w:rsid w:val="17B24490"/>
    <w:rsid w:val="17B402E8"/>
    <w:rsid w:val="17C400EA"/>
    <w:rsid w:val="17DE3E23"/>
    <w:rsid w:val="17E53404"/>
    <w:rsid w:val="17EC5092"/>
    <w:rsid w:val="1811244B"/>
    <w:rsid w:val="18187335"/>
    <w:rsid w:val="181C1A30"/>
    <w:rsid w:val="181D494B"/>
    <w:rsid w:val="183C2E3A"/>
    <w:rsid w:val="183D3240"/>
    <w:rsid w:val="18416A30"/>
    <w:rsid w:val="185B7321"/>
    <w:rsid w:val="186E09C7"/>
    <w:rsid w:val="188E5849"/>
    <w:rsid w:val="18937310"/>
    <w:rsid w:val="189E4F3F"/>
    <w:rsid w:val="18C83A9F"/>
    <w:rsid w:val="18F224FA"/>
    <w:rsid w:val="18FC77C6"/>
    <w:rsid w:val="190D49C0"/>
    <w:rsid w:val="19191C06"/>
    <w:rsid w:val="191D4341"/>
    <w:rsid w:val="19206CA1"/>
    <w:rsid w:val="19265A82"/>
    <w:rsid w:val="1938288F"/>
    <w:rsid w:val="193C37AA"/>
    <w:rsid w:val="193D3C3C"/>
    <w:rsid w:val="193E360F"/>
    <w:rsid w:val="19597C05"/>
    <w:rsid w:val="195C7136"/>
    <w:rsid w:val="197762DD"/>
    <w:rsid w:val="19786A87"/>
    <w:rsid w:val="198B5F6F"/>
    <w:rsid w:val="19A05834"/>
    <w:rsid w:val="19A1648E"/>
    <w:rsid w:val="19AE6C9F"/>
    <w:rsid w:val="19B1359D"/>
    <w:rsid w:val="19B24E93"/>
    <w:rsid w:val="19B25567"/>
    <w:rsid w:val="19B7455F"/>
    <w:rsid w:val="19CF2197"/>
    <w:rsid w:val="19DB4ABE"/>
    <w:rsid w:val="1A015E61"/>
    <w:rsid w:val="1A0667DD"/>
    <w:rsid w:val="1A1B00A3"/>
    <w:rsid w:val="1A2A15A2"/>
    <w:rsid w:val="1A366BD3"/>
    <w:rsid w:val="1A402B73"/>
    <w:rsid w:val="1A425DB1"/>
    <w:rsid w:val="1A430ECE"/>
    <w:rsid w:val="1A693E78"/>
    <w:rsid w:val="1A903AFB"/>
    <w:rsid w:val="1AA475A6"/>
    <w:rsid w:val="1AC11F06"/>
    <w:rsid w:val="1ACC0721"/>
    <w:rsid w:val="1B022F94"/>
    <w:rsid w:val="1B2B4344"/>
    <w:rsid w:val="1B310517"/>
    <w:rsid w:val="1B3C1FFD"/>
    <w:rsid w:val="1B9118D8"/>
    <w:rsid w:val="1BA16335"/>
    <w:rsid w:val="1BA57132"/>
    <w:rsid w:val="1BA6218E"/>
    <w:rsid w:val="1BAD5FE6"/>
    <w:rsid w:val="1BB13D28"/>
    <w:rsid w:val="1BC13DCC"/>
    <w:rsid w:val="1BDF0508"/>
    <w:rsid w:val="1BE177E6"/>
    <w:rsid w:val="1BEE6D2B"/>
    <w:rsid w:val="1BF5598D"/>
    <w:rsid w:val="1C0148AF"/>
    <w:rsid w:val="1C116575"/>
    <w:rsid w:val="1C161DDD"/>
    <w:rsid w:val="1C305105"/>
    <w:rsid w:val="1C485D0F"/>
    <w:rsid w:val="1C4A1A87"/>
    <w:rsid w:val="1C4F3541"/>
    <w:rsid w:val="1C547B70"/>
    <w:rsid w:val="1C6C369E"/>
    <w:rsid w:val="1C700BEF"/>
    <w:rsid w:val="1C7B17FA"/>
    <w:rsid w:val="1C896A53"/>
    <w:rsid w:val="1C972259"/>
    <w:rsid w:val="1C9A1D5B"/>
    <w:rsid w:val="1C9D20E2"/>
    <w:rsid w:val="1CA05B4B"/>
    <w:rsid w:val="1CAF0157"/>
    <w:rsid w:val="1CB11B06"/>
    <w:rsid w:val="1CBF2781"/>
    <w:rsid w:val="1CC306E9"/>
    <w:rsid w:val="1CD70D11"/>
    <w:rsid w:val="1CDF09E4"/>
    <w:rsid w:val="1CEE594C"/>
    <w:rsid w:val="1CF42E6E"/>
    <w:rsid w:val="1CF70848"/>
    <w:rsid w:val="1D085BCA"/>
    <w:rsid w:val="1D0C42FA"/>
    <w:rsid w:val="1D0D1432"/>
    <w:rsid w:val="1D104A7F"/>
    <w:rsid w:val="1D1074B6"/>
    <w:rsid w:val="1D444728"/>
    <w:rsid w:val="1D52005B"/>
    <w:rsid w:val="1D7711E5"/>
    <w:rsid w:val="1D7E60AC"/>
    <w:rsid w:val="1D8D5398"/>
    <w:rsid w:val="1D926489"/>
    <w:rsid w:val="1D9F0A2C"/>
    <w:rsid w:val="1DC36C05"/>
    <w:rsid w:val="1DD26A50"/>
    <w:rsid w:val="1DE5092B"/>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0B4ACE"/>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201523AC"/>
    <w:rsid w:val="201C639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4005A"/>
    <w:rsid w:val="20CF6A27"/>
    <w:rsid w:val="20D364EF"/>
    <w:rsid w:val="20DB1848"/>
    <w:rsid w:val="20DE6C42"/>
    <w:rsid w:val="20E95E3C"/>
    <w:rsid w:val="20EC75B1"/>
    <w:rsid w:val="20EF2BFD"/>
    <w:rsid w:val="21260D15"/>
    <w:rsid w:val="212C2C54"/>
    <w:rsid w:val="212C428E"/>
    <w:rsid w:val="212E194B"/>
    <w:rsid w:val="212E52ED"/>
    <w:rsid w:val="2144119B"/>
    <w:rsid w:val="215D109F"/>
    <w:rsid w:val="215E090F"/>
    <w:rsid w:val="21613AFB"/>
    <w:rsid w:val="2164771A"/>
    <w:rsid w:val="216A13BE"/>
    <w:rsid w:val="21735A99"/>
    <w:rsid w:val="2177331E"/>
    <w:rsid w:val="21837F15"/>
    <w:rsid w:val="219A78C7"/>
    <w:rsid w:val="21A8557E"/>
    <w:rsid w:val="21CE3BBD"/>
    <w:rsid w:val="21D02A2F"/>
    <w:rsid w:val="21E55344"/>
    <w:rsid w:val="21E9116B"/>
    <w:rsid w:val="220B1CB9"/>
    <w:rsid w:val="220B2782"/>
    <w:rsid w:val="220F05CF"/>
    <w:rsid w:val="22205764"/>
    <w:rsid w:val="225275BA"/>
    <w:rsid w:val="22543660"/>
    <w:rsid w:val="225E003A"/>
    <w:rsid w:val="227B299A"/>
    <w:rsid w:val="227E692E"/>
    <w:rsid w:val="228E4923"/>
    <w:rsid w:val="228F6446"/>
    <w:rsid w:val="22910410"/>
    <w:rsid w:val="22A363ED"/>
    <w:rsid w:val="22AE65BE"/>
    <w:rsid w:val="22B63195"/>
    <w:rsid w:val="22BC4220"/>
    <w:rsid w:val="22E21DD6"/>
    <w:rsid w:val="22E5250A"/>
    <w:rsid w:val="22F369D5"/>
    <w:rsid w:val="22F616B5"/>
    <w:rsid w:val="22FD0E5C"/>
    <w:rsid w:val="230778C7"/>
    <w:rsid w:val="23165922"/>
    <w:rsid w:val="231A510B"/>
    <w:rsid w:val="23294DB1"/>
    <w:rsid w:val="23331187"/>
    <w:rsid w:val="235F1197"/>
    <w:rsid w:val="235F406A"/>
    <w:rsid w:val="236A7616"/>
    <w:rsid w:val="236F7F68"/>
    <w:rsid w:val="2374647C"/>
    <w:rsid w:val="237C3267"/>
    <w:rsid w:val="23933EB3"/>
    <w:rsid w:val="23A21A79"/>
    <w:rsid w:val="23BC326A"/>
    <w:rsid w:val="23BD72DF"/>
    <w:rsid w:val="23DA1E7B"/>
    <w:rsid w:val="23E629DD"/>
    <w:rsid w:val="23E7405F"/>
    <w:rsid w:val="23EA5501"/>
    <w:rsid w:val="24156E1F"/>
    <w:rsid w:val="241A4435"/>
    <w:rsid w:val="243E45C7"/>
    <w:rsid w:val="2451624A"/>
    <w:rsid w:val="2475240E"/>
    <w:rsid w:val="247955FF"/>
    <w:rsid w:val="24961E78"/>
    <w:rsid w:val="24AD5A93"/>
    <w:rsid w:val="24B148C0"/>
    <w:rsid w:val="24B56686"/>
    <w:rsid w:val="24BA1132"/>
    <w:rsid w:val="24BD3F2F"/>
    <w:rsid w:val="24D665AE"/>
    <w:rsid w:val="25201F1F"/>
    <w:rsid w:val="25207829"/>
    <w:rsid w:val="25275932"/>
    <w:rsid w:val="254C15F2"/>
    <w:rsid w:val="256A6BDA"/>
    <w:rsid w:val="256E456D"/>
    <w:rsid w:val="257D3EAF"/>
    <w:rsid w:val="258A399C"/>
    <w:rsid w:val="25976845"/>
    <w:rsid w:val="25AE72ED"/>
    <w:rsid w:val="25B34B41"/>
    <w:rsid w:val="26086C3B"/>
    <w:rsid w:val="261920D8"/>
    <w:rsid w:val="261B0492"/>
    <w:rsid w:val="26254703"/>
    <w:rsid w:val="262D7F52"/>
    <w:rsid w:val="26415CA9"/>
    <w:rsid w:val="26492DAF"/>
    <w:rsid w:val="264D0AF2"/>
    <w:rsid w:val="26571970"/>
    <w:rsid w:val="26655E3B"/>
    <w:rsid w:val="26725B01"/>
    <w:rsid w:val="26E75394"/>
    <w:rsid w:val="26EF4335"/>
    <w:rsid w:val="270B4948"/>
    <w:rsid w:val="27215AAC"/>
    <w:rsid w:val="2723400E"/>
    <w:rsid w:val="273E668C"/>
    <w:rsid w:val="274041B2"/>
    <w:rsid w:val="27594AEA"/>
    <w:rsid w:val="27767BD4"/>
    <w:rsid w:val="27A5262E"/>
    <w:rsid w:val="27B8643F"/>
    <w:rsid w:val="27C132F1"/>
    <w:rsid w:val="27C329F5"/>
    <w:rsid w:val="27CB7D80"/>
    <w:rsid w:val="27CD1F54"/>
    <w:rsid w:val="27D85841"/>
    <w:rsid w:val="27D86AE1"/>
    <w:rsid w:val="27DD7C53"/>
    <w:rsid w:val="27E014F2"/>
    <w:rsid w:val="27EC7E96"/>
    <w:rsid w:val="28034C6D"/>
    <w:rsid w:val="281F201A"/>
    <w:rsid w:val="28201DDD"/>
    <w:rsid w:val="283F0087"/>
    <w:rsid w:val="283F090E"/>
    <w:rsid w:val="2844798D"/>
    <w:rsid w:val="28691716"/>
    <w:rsid w:val="28C45AE6"/>
    <w:rsid w:val="28C64B8B"/>
    <w:rsid w:val="28CD5F1A"/>
    <w:rsid w:val="28D366FF"/>
    <w:rsid w:val="28D9669A"/>
    <w:rsid w:val="28DF697D"/>
    <w:rsid w:val="28E913EF"/>
    <w:rsid w:val="28F33821"/>
    <w:rsid w:val="291458F7"/>
    <w:rsid w:val="292C49EE"/>
    <w:rsid w:val="297B7724"/>
    <w:rsid w:val="29826D04"/>
    <w:rsid w:val="298C1931"/>
    <w:rsid w:val="29B6075C"/>
    <w:rsid w:val="29D532D8"/>
    <w:rsid w:val="29EE6148"/>
    <w:rsid w:val="29FB219D"/>
    <w:rsid w:val="2A157B78"/>
    <w:rsid w:val="2A5A558B"/>
    <w:rsid w:val="2A6B59EA"/>
    <w:rsid w:val="2A6C2FBF"/>
    <w:rsid w:val="2A7D127A"/>
    <w:rsid w:val="2A8D5961"/>
    <w:rsid w:val="2A957654"/>
    <w:rsid w:val="2A9C4854"/>
    <w:rsid w:val="2AD92954"/>
    <w:rsid w:val="2AEA2DB3"/>
    <w:rsid w:val="2AEC6B2B"/>
    <w:rsid w:val="2B0B4446"/>
    <w:rsid w:val="2B0B5F38"/>
    <w:rsid w:val="2B230BF3"/>
    <w:rsid w:val="2B471FB3"/>
    <w:rsid w:val="2B795EE5"/>
    <w:rsid w:val="2B88437A"/>
    <w:rsid w:val="2B88534B"/>
    <w:rsid w:val="2BB4516F"/>
    <w:rsid w:val="2BCD2F8E"/>
    <w:rsid w:val="2BE27F2E"/>
    <w:rsid w:val="2BE55328"/>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272A7"/>
    <w:rsid w:val="2CF43CB8"/>
    <w:rsid w:val="2CF96C08"/>
    <w:rsid w:val="2CFF066C"/>
    <w:rsid w:val="2D022713"/>
    <w:rsid w:val="2D2360D5"/>
    <w:rsid w:val="2D32459D"/>
    <w:rsid w:val="2D3575D7"/>
    <w:rsid w:val="2D392A9A"/>
    <w:rsid w:val="2D3F2720"/>
    <w:rsid w:val="2D6A3D37"/>
    <w:rsid w:val="2D8017AD"/>
    <w:rsid w:val="2DB43204"/>
    <w:rsid w:val="2DB54923"/>
    <w:rsid w:val="2DBF6A28"/>
    <w:rsid w:val="2DC75DE6"/>
    <w:rsid w:val="2DD04934"/>
    <w:rsid w:val="2DDB4BC1"/>
    <w:rsid w:val="2DDD3FC1"/>
    <w:rsid w:val="2DED6820"/>
    <w:rsid w:val="2E0F2B31"/>
    <w:rsid w:val="2E220AB6"/>
    <w:rsid w:val="2E255EB0"/>
    <w:rsid w:val="2E3A7D96"/>
    <w:rsid w:val="2E4427DA"/>
    <w:rsid w:val="2E4A5917"/>
    <w:rsid w:val="2E5C5D76"/>
    <w:rsid w:val="2E5D389C"/>
    <w:rsid w:val="2E5D477B"/>
    <w:rsid w:val="2E630C84"/>
    <w:rsid w:val="2E641B42"/>
    <w:rsid w:val="2E837111"/>
    <w:rsid w:val="2E84600A"/>
    <w:rsid w:val="2E956466"/>
    <w:rsid w:val="2EA66FF1"/>
    <w:rsid w:val="2EAB0AAB"/>
    <w:rsid w:val="2EBF37A7"/>
    <w:rsid w:val="2EBF4B0B"/>
    <w:rsid w:val="2ED26038"/>
    <w:rsid w:val="2ED86F63"/>
    <w:rsid w:val="2EED10C4"/>
    <w:rsid w:val="2EF7784D"/>
    <w:rsid w:val="2EFA10EB"/>
    <w:rsid w:val="2EFB21A9"/>
    <w:rsid w:val="2F1A353B"/>
    <w:rsid w:val="2F1F5FD6"/>
    <w:rsid w:val="2F3C1703"/>
    <w:rsid w:val="2F407445"/>
    <w:rsid w:val="2F544C9F"/>
    <w:rsid w:val="2F5527C5"/>
    <w:rsid w:val="2F560A17"/>
    <w:rsid w:val="2F5702EB"/>
    <w:rsid w:val="2F5C1DA5"/>
    <w:rsid w:val="2F6F0666"/>
    <w:rsid w:val="2F860BD0"/>
    <w:rsid w:val="2F927575"/>
    <w:rsid w:val="2FF574A1"/>
    <w:rsid w:val="300246FB"/>
    <w:rsid w:val="301D42EF"/>
    <w:rsid w:val="30250D25"/>
    <w:rsid w:val="3025488D"/>
    <w:rsid w:val="3044084D"/>
    <w:rsid w:val="304E5F54"/>
    <w:rsid w:val="30644D23"/>
    <w:rsid w:val="30894E1C"/>
    <w:rsid w:val="308F2E8B"/>
    <w:rsid w:val="3097100B"/>
    <w:rsid w:val="30B05F05"/>
    <w:rsid w:val="30CD3408"/>
    <w:rsid w:val="30CF4EA4"/>
    <w:rsid w:val="30DA76A0"/>
    <w:rsid w:val="30E91417"/>
    <w:rsid w:val="30F57DBC"/>
    <w:rsid w:val="30FA3624"/>
    <w:rsid w:val="31002A27"/>
    <w:rsid w:val="310A4AEB"/>
    <w:rsid w:val="310D2023"/>
    <w:rsid w:val="31132938"/>
    <w:rsid w:val="311C7A3E"/>
    <w:rsid w:val="313308E4"/>
    <w:rsid w:val="314D7BF8"/>
    <w:rsid w:val="3163741B"/>
    <w:rsid w:val="31662CD4"/>
    <w:rsid w:val="31857392"/>
    <w:rsid w:val="318E1BB8"/>
    <w:rsid w:val="319475D5"/>
    <w:rsid w:val="319976C6"/>
    <w:rsid w:val="319A711F"/>
    <w:rsid w:val="31A15954"/>
    <w:rsid w:val="31C375C8"/>
    <w:rsid w:val="31E75151"/>
    <w:rsid w:val="320643AF"/>
    <w:rsid w:val="32130E41"/>
    <w:rsid w:val="322841C1"/>
    <w:rsid w:val="322D6302"/>
    <w:rsid w:val="32562ADC"/>
    <w:rsid w:val="32585F5F"/>
    <w:rsid w:val="32632A63"/>
    <w:rsid w:val="326F46E0"/>
    <w:rsid w:val="3273368E"/>
    <w:rsid w:val="327A3BC6"/>
    <w:rsid w:val="327D450D"/>
    <w:rsid w:val="327F745D"/>
    <w:rsid w:val="3284589B"/>
    <w:rsid w:val="32846148"/>
    <w:rsid w:val="328E671A"/>
    <w:rsid w:val="32962C35"/>
    <w:rsid w:val="32990C1B"/>
    <w:rsid w:val="32C24615"/>
    <w:rsid w:val="32CB013A"/>
    <w:rsid w:val="32D3412D"/>
    <w:rsid w:val="32DA017D"/>
    <w:rsid w:val="32E4458C"/>
    <w:rsid w:val="32E8120D"/>
    <w:rsid w:val="32F347CF"/>
    <w:rsid w:val="32F848CB"/>
    <w:rsid w:val="33007B2E"/>
    <w:rsid w:val="330306C4"/>
    <w:rsid w:val="330B1B18"/>
    <w:rsid w:val="331134D2"/>
    <w:rsid w:val="331D1161"/>
    <w:rsid w:val="332130EA"/>
    <w:rsid w:val="33372EAB"/>
    <w:rsid w:val="3341378C"/>
    <w:rsid w:val="334C66DF"/>
    <w:rsid w:val="335C4122"/>
    <w:rsid w:val="335D1989"/>
    <w:rsid w:val="336F1756"/>
    <w:rsid w:val="33786E01"/>
    <w:rsid w:val="337A0A4C"/>
    <w:rsid w:val="338056EA"/>
    <w:rsid w:val="33911204"/>
    <w:rsid w:val="33AF3D68"/>
    <w:rsid w:val="33AF6666"/>
    <w:rsid w:val="33BE6F4E"/>
    <w:rsid w:val="33C63C91"/>
    <w:rsid w:val="33CB572B"/>
    <w:rsid w:val="33CE21B1"/>
    <w:rsid w:val="33CE657B"/>
    <w:rsid w:val="33EA3E24"/>
    <w:rsid w:val="33EC7B9C"/>
    <w:rsid w:val="33FB0977"/>
    <w:rsid w:val="34034EE6"/>
    <w:rsid w:val="340842AA"/>
    <w:rsid w:val="341C53BA"/>
    <w:rsid w:val="342C131A"/>
    <w:rsid w:val="34312EC5"/>
    <w:rsid w:val="344A041F"/>
    <w:rsid w:val="345F6A06"/>
    <w:rsid w:val="346B35D2"/>
    <w:rsid w:val="347C1D6E"/>
    <w:rsid w:val="347C39A8"/>
    <w:rsid w:val="34847DD4"/>
    <w:rsid w:val="34853B4C"/>
    <w:rsid w:val="3493296C"/>
    <w:rsid w:val="34AE30A3"/>
    <w:rsid w:val="34B34723"/>
    <w:rsid w:val="34C83A95"/>
    <w:rsid w:val="34E41339"/>
    <w:rsid w:val="34EB6364"/>
    <w:rsid w:val="34F565DC"/>
    <w:rsid w:val="35132F06"/>
    <w:rsid w:val="35373099"/>
    <w:rsid w:val="3538296D"/>
    <w:rsid w:val="354B444E"/>
    <w:rsid w:val="354E440C"/>
    <w:rsid w:val="356F6F29"/>
    <w:rsid w:val="358A766C"/>
    <w:rsid w:val="358B2CE3"/>
    <w:rsid w:val="358C26FA"/>
    <w:rsid w:val="359C4C4F"/>
    <w:rsid w:val="35AD5109"/>
    <w:rsid w:val="35BE2E72"/>
    <w:rsid w:val="35C32BDC"/>
    <w:rsid w:val="35D5640E"/>
    <w:rsid w:val="36422F6B"/>
    <w:rsid w:val="364610BA"/>
    <w:rsid w:val="365657A0"/>
    <w:rsid w:val="36724494"/>
    <w:rsid w:val="3679649B"/>
    <w:rsid w:val="367D0F7F"/>
    <w:rsid w:val="36826C31"/>
    <w:rsid w:val="368F0CBF"/>
    <w:rsid w:val="36916FED"/>
    <w:rsid w:val="36A469C4"/>
    <w:rsid w:val="36A521D9"/>
    <w:rsid w:val="36F55EAA"/>
    <w:rsid w:val="370F0532"/>
    <w:rsid w:val="371676C9"/>
    <w:rsid w:val="372B09DB"/>
    <w:rsid w:val="37763F45"/>
    <w:rsid w:val="3784095E"/>
    <w:rsid w:val="37895E9F"/>
    <w:rsid w:val="37E40B8A"/>
    <w:rsid w:val="37EA2644"/>
    <w:rsid w:val="37EB1F18"/>
    <w:rsid w:val="380447BA"/>
    <w:rsid w:val="38044D88"/>
    <w:rsid w:val="3806031D"/>
    <w:rsid w:val="382C513A"/>
    <w:rsid w:val="382E79D1"/>
    <w:rsid w:val="38417D8A"/>
    <w:rsid w:val="3842422E"/>
    <w:rsid w:val="384635F3"/>
    <w:rsid w:val="3847643D"/>
    <w:rsid w:val="38526F7A"/>
    <w:rsid w:val="386A0A3A"/>
    <w:rsid w:val="387A2F34"/>
    <w:rsid w:val="387C555A"/>
    <w:rsid w:val="387E2D8D"/>
    <w:rsid w:val="3899550E"/>
    <w:rsid w:val="389C521D"/>
    <w:rsid w:val="38AB198A"/>
    <w:rsid w:val="38E52970"/>
    <w:rsid w:val="38EA21D0"/>
    <w:rsid w:val="38F24DE8"/>
    <w:rsid w:val="38F372D7"/>
    <w:rsid w:val="38F65019"/>
    <w:rsid w:val="38FB43DD"/>
    <w:rsid w:val="39182D35"/>
    <w:rsid w:val="3946752A"/>
    <w:rsid w:val="39641F82"/>
    <w:rsid w:val="39684912"/>
    <w:rsid w:val="397441F3"/>
    <w:rsid w:val="398919E9"/>
    <w:rsid w:val="398C75BD"/>
    <w:rsid w:val="39A16C97"/>
    <w:rsid w:val="39A24859"/>
    <w:rsid w:val="39A56B84"/>
    <w:rsid w:val="39A77BB2"/>
    <w:rsid w:val="39AD173D"/>
    <w:rsid w:val="39AD5743"/>
    <w:rsid w:val="39BE5B37"/>
    <w:rsid w:val="39CD1EE3"/>
    <w:rsid w:val="39CD78A2"/>
    <w:rsid w:val="39D1471A"/>
    <w:rsid w:val="39ED6FFB"/>
    <w:rsid w:val="3A017A4D"/>
    <w:rsid w:val="3A67104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D80550"/>
    <w:rsid w:val="3BE56E1B"/>
    <w:rsid w:val="3BED2DB3"/>
    <w:rsid w:val="3C1A2DCC"/>
    <w:rsid w:val="3C215F09"/>
    <w:rsid w:val="3C4075D1"/>
    <w:rsid w:val="3C436B55"/>
    <w:rsid w:val="3C595E61"/>
    <w:rsid w:val="3C622D83"/>
    <w:rsid w:val="3C7324DC"/>
    <w:rsid w:val="3C8C74DC"/>
    <w:rsid w:val="3C920830"/>
    <w:rsid w:val="3CAA7145"/>
    <w:rsid w:val="3CB74ABF"/>
    <w:rsid w:val="3CBC6D81"/>
    <w:rsid w:val="3CC0618E"/>
    <w:rsid w:val="3CC35212"/>
    <w:rsid w:val="3CC828E4"/>
    <w:rsid w:val="3CD14C56"/>
    <w:rsid w:val="3CD25455"/>
    <w:rsid w:val="3CD87391"/>
    <w:rsid w:val="3D1D70A7"/>
    <w:rsid w:val="3D2263DC"/>
    <w:rsid w:val="3D245259"/>
    <w:rsid w:val="3D2736E7"/>
    <w:rsid w:val="3D2C1009"/>
    <w:rsid w:val="3D3C1DEC"/>
    <w:rsid w:val="3D502922"/>
    <w:rsid w:val="3D605157"/>
    <w:rsid w:val="3DE042EE"/>
    <w:rsid w:val="3DE60DD6"/>
    <w:rsid w:val="3E004349"/>
    <w:rsid w:val="3E0F7B1D"/>
    <w:rsid w:val="3E234AB8"/>
    <w:rsid w:val="3E4009FD"/>
    <w:rsid w:val="3E444130"/>
    <w:rsid w:val="3E4C5C06"/>
    <w:rsid w:val="3E5C1BAD"/>
    <w:rsid w:val="3E60064C"/>
    <w:rsid w:val="3E9230EE"/>
    <w:rsid w:val="3E9F6F17"/>
    <w:rsid w:val="3EA37CD2"/>
    <w:rsid w:val="3EDF3E59"/>
    <w:rsid w:val="3EE06168"/>
    <w:rsid w:val="3EE85404"/>
    <w:rsid w:val="3EFA3D38"/>
    <w:rsid w:val="3F141725"/>
    <w:rsid w:val="3F1B1335"/>
    <w:rsid w:val="3F200257"/>
    <w:rsid w:val="3F286DBF"/>
    <w:rsid w:val="3F3E3276"/>
    <w:rsid w:val="3F4028FA"/>
    <w:rsid w:val="3F611A6D"/>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B4DC9"/>
    <w:rsid w:val="401C3766"/>
    <w:rsid w:val="4022565B"/>
    <w:rsid w:val="402266F3"/>
    <w:rsid w:val="40290AEF"/>
    <w:rsid w:val="403629A3"/>
    <w:rsid w:val="403B122D"/>
    <w:rsid w:val="404B007A"/>
    <w:rsid w:val="405A7C3B"/>
    <w:rsid w:val="405B7334"/>
    <w:rsid w:val="405C70C5"/>
    <w:rsid w:val="40646D0C"/>
    <w:rsid w:val="406B3BF6"/>
    <w:rsid w:val="40875F80"/>
    <w:rsid w:val="40C31C84"/>
    <w:rsid w:val="40CD2BBC"/>
    <w:rsid w:val="40CE74E8"/>
    <w:rsid w:val="40D55514"/>
    <w:rsid w:val="40D7128C"/>
    <w:rsid w:val="40F96B4C"/>
    <w:rsid w:val="40FE0F0E"/>
    <w:rsid w:val="41107AF2"/>
    <w:rsid w:val="41390199"/>
    <w:rsid w:val="41561B7B"/>
    <w:rsid w:val="415D5C35"/>
    <w:rsid w:val="415F2382"/>
    <w:rsid w:val="41644CA3"/>
    <w:rsid w:val="417C604D"/>
    <w:rsid w:val="418238EE"/>
    <w:rsid w:val="41C84587"/>
    <w:rsid w:val="41DF75B5"/>
    <w:rsid w:val="41E64E09"/>
    <w:rsid w:val="421568CA"/>
    <w:rsid w:val="422229DB"/>
    <w:rsid w:val="422A47BA"/>
    <w:rsid w:val="422F2C0A"/>
    <w:rsid w:val="425608D6"/>
    <w:rsid w:val="427A77FA"/>
    <w:rsid w:val="427C658F"/>
    <w:rsid w:val="42997BDD"/>
    <w:rsid w:val="42AC4D28"/>
    <w:rsid w:val="42B60CBA"/>
    <w:rsid w:val="42BA4570"/>
    <w:rsid w:val="42C43A92"/>
    <w:rsid w:val="42D670A8"/>
    <w:rsid w:val="42DB62DB"/>
    <w:rsid w:val="42F40D87"/>
    <w:rsid w:val="430F75E6"/>
    <w:rsid w:val="43157031"/>
    <w:rsid w:val="431F6F1A"/>
    <w:rsid w:val="43204D6E"/>
    <w:rsid w:val="433E0C67"/>
    <w:rsid w:val="434171A0"/>
    <w:rsid w:val="434F476D"/>
    <w:rsid w:val="43661D30"/>
    <w:rsid w:val="436C09A1"/>
    <w:rsid w:val="436E0D52"/>
    <w:rsid w:val="436F047F"/>
    <w:rsid w:val="436F39FE"/>
    <w:rsid w:val="436F7EA2"/>
    <w:rsid w:val="437B082C"/>
    <w:rsid w:val="43863FBF"/>
    <w:rsid w:val="43B835F7"/>
    <w:rsid w:val="43BA63BC"/>
    <w:rsid w:val="43BD6A6D"/>
    <w:rsid w:val="43E56FFE"/>
    <w:rsid w:val="43E77A38"/>
    <w:rsid w:val="44033175"/>
    <w:rsid w:val="44071DF4"/>
    <w:rsid w:val="440C749E"/>
    <w:rsid w:val="441912DB"/>
    <w:rsid w:val="442347E8"/>
    <w:rsid w:val="442567B2"/>
    <w:rsid w:val="4435005E"/>
    <w:rsid w:val="44384517"/>
    <w:rsid w:val="445B2639"/>
    <w:rsid w:val="44894274"/>
    <w:rsid w:val="44C77869"/>
    <w:rsid w:val="44D51F86"/>
    <w:rsid w:val="44E70410"/>
    <w:rsid w:val="45073342"/>
    <w:rsid w:val="451720F2"/>
    <w:rsid w:val="45223472"/>
    <w:rsid w:val="452B604A"/>
    <w:rsid w:val="453C0257"/>
    <w:rsid w:val="45406B12"/>
    <w:rsid w:val="4559484F"/>
    <w:rsid w:val="455A06DD"/>
    <w:rsid w:val="458F482B"/>
    <w:rsid w:val="45A42F3B"/>
    <w:rsid w:val="45DA2553"/>
    <w:rsid w:val="45DA2E00"/>
    <w:rsid w:val="45ED3300"/>
    <w:rsid w:val="45EF1111"/>
    <w:rsid w:val="460C7409"/>
    <w:rsid w:val="460D74FE"/>
    <w:rsid w:val="461643C7"/>
    <w:rsid w:val="4636593F"/>
    <w:rsid w:val="46390F6D"/>
    <w:rsid w:val="463D7DE3"/>
    <w:rsid w:val="464A2500"/>
    <w:rsid w:val="464C0026"/>
    <w:rsid w:val="465D4CB9"/>
    <w:rsid w:val="467632F5"/>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34C9A"/>
    <w:rsid w:val="48877A3B"/>
    <w:rsid w:val="48886A56"/>
    <w:rsid w:val="488C0CE1"/>
    <w:rsid w:val="489C2DB7"/>
    <w:rsid w:val="489C351F"/>
    <w:rsid w:val="489E1D09"/>
    <w:rsid w:val="48A028AB"/>
    <w:rsid w:val="48BD520B"/>
    <w:rsid w:val="48C1039E"/>
    <w:rsid w:val="48EB1D78"/>
    <w:rsid w:val="48F2130F"/>
    <w:rsid w:val="490023BE"/>
    <w:rsid w:val="491A265E"/>
    <w:rsid w:val="491D285B"/>
    <w:rsid w:val="491D3EFC"/>
    <w:rsid w:val="491F1A22"/>
    <w:rsid w:val="493666B5"/>
    <w:rsid w:val="494877A6"/>
    <w:rsid w:val="49663358"/>
    <w:rsid w:val="49683634"/>
    <w:rsid w:val="49724393"/>
    <w:rsid w:val="497C0C22"/>
    <w:rsid w:val="497F6965"/>
    <w:rsid w:val="49816239"/>
    <w:rsid w:val="49975BE8"/>
    <w:rsid w:val="49AD702E"/>
    <w:rsid w:val="49C425C9"/>
    <w:rsid w:val="49EF3581"/>
    <w:rsid w:val="49F66C27"/>
    <w:rsid w:val="49FA5FEB"/>
    <w:rsid w:val="4A1C69A8"/>
    <w:rsid w:val="4A282B58"/>
    <w:rsid w:val="4A2C2648"/>
    <w:rsid w:val="4A372D9B"/>
    <w:rsid w:val="4A38723F"/>
    <w:rsid w:val="4A5676C5"/>
    <w:rsid w:val="4A5A4C2D"/>
    <w:rsid w:val="4A622805"/>
    <w:rsid w:val="4A791606"/>
    <w:rsid w:val="4A83500A"/>
    <w:rsid w:val="4A995804"/>
    <w:rsid w:val="4AA246B9"/>
    <w:rsid w:val="4AA541A9"/>
    <w:rsid w:val="4AB27C27"/>
    <w:rsid w:val="4AC24D5B"/>
    <w:rsid w:val="4AD3077D"/>
    <w:rsid w:val="4ADB5E1D"/>
    <w:rsid w:val="4B1F5D09"/>
    <w:rsid w:val="4B21248D"/>
    <w:rsid w:val="4B2B3A38"/>
    <w:rsid w:val="4B313C8F"/>
    <w:rsid w:val="4B6C61E6"/>
    <w:rsid w:val="4B6D633F"/>
    <w:rsid w:val="4B797CFE"/>
    <w:rsid w:val="4B7A6071"/>
    <w:rsid w:val="4B7C6006"/>
    <w:rsid w:val="4B80662D"/>
    <w:rsid w:val="4B96714B"/>
    <w:rsid w:val="4BA95F1B"/>
    <w:rsid w:val="4BB16CD5"/>
    <w:rsid w:val="4BB5666E"/>
    <w:rsid w:val="4BB723FD"/>
    <w:rsid w:val="4BEE2F77"/>
    <w:rsid w:val="4BF73906"/>
    <w:rsid w:val="4C0F1BEA"/>
    <w:rsid w:val="4C3A2445"/>
    <w:rsid w:val="4C3C28EB"/>
    <w:rsid w:val="4C87625C"/>
    <w:rsid w:val="4CA56323"/>
    <w:rsid w:val="4CED7ABD"/>
    <w:rsid w:val="4CF66F3E"/>
    <w:rsid w:val="4D0478AD"/>
    <w:rsid w:val="4D0A4797"/>
    <w:rsid w:val="4D187642"/>
    <w:rsid w:val="4D2553D4"/>
    <w:rsid w:val="4D2F41FE"/>
    <w:rsid w:val="4D56422A"/>
    <w:rsid w:val="4D59639E"/>
    <w:rsid w:val="4D6F3B43"/>
    <w:rsid w:val="4D712FDA"/>
    <w:rsid w:val="4D746E8E"/>
    <w:rsid w:val="4D7E04A0"/>
    <w:rsid w:val="4D800456"/>
    <w:rsid w:val="4D862070"/>
    <w:rsid w:val="4D92310A"/>
    <w:rsid w:val="4D9D385D"/>
    <w:rsid w:val="4DC4703C"/>
    <w:rsid w:val="4DCD7C9F"/>
    <w:rsid w:val="4DE17BEE"/>
    <w:rsid w:val="4E1C02AE"/>
    <w:rsid w:val="4E1E6324"/>
    <w:rsid w:val="4E4F4B57"/>
    <w:rsid w:val="4E5C1A72"/>
    <w:rsid w:val="4E615284"/>
    <w:rsid w:val="4E6744B1"/>
    <w:rsid w:val="4EA64556"/>
    <w:rsid w:val="4EAD29E4"/>
    <w:rsid w:val="4EC1149E"/>
    <w:rsid w:val="4EC310A1"/>
    <w:rsid w:val="4F043B94"/>
    <w:rsid w:val="4F1A55F3"/>
    <w:rsid w:val="4F1B205A"/>
    <w:rsid w:val="4F2A7373"/>
    <w:rsid w:val="4F2E5442"/>
    <w:rsid w:val="4F2F1144"/>
    <w:rsid w:val="4F30313F"/>
    <w:rsid w:val="4F52580A"/>
    <w:rsid w:val="4F691C49"/>
    <w:rsid w:val="4F6A776F"/>
    <w:rsid w:val="4F702FD7"/>
    <w:rsid w:val="4F707F08"/>
    <w:rsid w:val="4F9273F2"/>
    <w:rsid w:val="4FD277EE"/>
    <w:rsid w:val="4FDA7D75"/>
    <w:rsid w:val="4FF57980"/>
    <w:rsid w:val="4FFB3E9B"/>
    <w:rsid w:val="501E6ED7"/>
    <w:rsid w:val="50787096"/>
    <w:rsid w:val="507C775A"/>
    <w:rsid w:val="508D5E0B"/>
    <w:rsid w:val="508F1B83"/>
    <w:rsid w:val="50B25281"/>
    <w:rsid w:val="50BF0E64"/>
    <w:rsid w:val="50E579F5"/>
    <w:rsid w:val="50E87836"/>
    <w:rsid w:val="50EA500B"/>
    <w:rsid w:val="50F83282"/>
    <w:rsid w:val="50FB4B23"/>
    <w:rsid w:val="50FE3FD9"/>
    <w:rsid w:val="51173459"/>
    <w:rsid w:val="511E2B79"/>
    <w:rsid w:val="51257DF2"/>
    <w:rsid w:val="51265C7E"/>
    <w:rsid w:val="514814EC"/>
    <w:rsid w:val="5153670D"/>
    <w:rsid w:val="515E4990"/>
    <w:rsid w:val="515F1555"/>
    <w:rsid w:val="519C765E"/>
    <w:rsid w:val="51A83B47"/>
    <w:rsid w:val="51AC22C1"/>
    <w:rsid w:val="51B17E6B"/>
    <w:rsid w:val="51CB2747"/>
    <w:rsid w:val="51DA038A"/>
    <w:rsid w:val="51DB032E"/>
    <w:rsid w:val="51EB4B97"/>
    <w:rsid w:val="51EE6435"/>
    <w:rsid w:val="5201260D"/>
    <w:rsid w:val="52072F1E"/>
    <w:rsid w:val="521665CC"/>
    <w:rsid w:val="5217644D"/>
    <w:rsid w:val="523D6181"/>
    <w:rsid w:val="523E73BD"/>
    <w:rsid w:val="523F4EE3"/>
    <w:rsid w:val="524620FA"/>
    <w:rsid w:val="5274360D"/>
    <w:rsid w:val="52756B57"/>
    <w:rsid w:val="52972F71"/>
    <w:rsid w:val="52BF7DD2"/>
    <w:rsid w:val="52DA5E34"/>
    <w:rsid w:val="52EC1919"/>
    <w:rsid w:val="530A3743"/>
    <w:rsid w:val="531719BC"/>
    <w:rsid w:val="532145E9"/>
    <w:rsid w:val="53395DD6"/>
    <w:rsid w:val="5347038D"/>
    <w:rsid w:val="534A6CD4"/>
    <w:rsid w:val="534E7AD3"/>
    <w:rsid w:val="536553EF"/>
    <w:rsid w:val="53830375"/>
    <w:rsid w:val="538B4884"/>
    <w:rsid w:val="53A3143D"/>
    <w:rsid w:val="53A5521A"/>
    <w:rsid w:val="53A63921"/>
    <w:rsid w:val="53AC47FA"/>
    <w:rsid w:val="53CC5791"/>
    <w:rsid w:val="53D95D45"/>
    <w:rsid w:val="53DA1367"/>
    <w:rsid w:val="53E2646E"/>
    <w:rsid w:val="53EB53BD"/>
    <w:rsid w:val="53F8359B"/>
    <w:rsid w:val="54505185"/>
    <w:rsid w:val="545671EC"/>
    <w:rsid w:val="54611097"/>
    <w:rsid w:val="5487370E"/>
    <w:rsid w:val="54915C10"/>
    <w:rsid w:val="54B27BEE"/>
    <w:rsid w:val="54C618EB"/>
    <w:rsid w:val="54CD4A28"/>
    <w:rsid w:val="54D15F1A"/>
    <w:rsid w:val="54D264E2"/>
    <w:rsid w:val="54D65699"/>
    <w:rsid w:val="54E01D6C"/>
    <w:rsid w:val="54E47B17"/>
    <w:rsid w:val="54E9481D"/>
    <w:rsid w:val="54F1391B"/>
    <w:rsid w:val="54F226E1"/>
    <w:rsid w:val="55046B0A"/>
    <w:rsid w:val="55094443"/>
    <w:rsid w:val="551142AB"/>
    <w:rsid w:val="5539097C"/>
    <w:rsid w:val="554127C0"/>
    <w:rsid w:val="55560EC1"/>
    <w:rsid w:val="5579695E"/>
    <w:rsid w:val="557D19A9"/>
    <w:rsid w:val="55B87486"/>
    <w:rsid w:val="55C470D8"/>
    <w:rsid w:val="55CD41D9"/>
    <w:rsid w:val="55CE6CAA"/>
    <w:rsid w:val="55DF5DA8"/>
    <w:rsid w:val="55EF136D"/>
    <w:rsid w:val="55F55C55"/>
    <w:rsid w:val="56156687"/>
    <w:rsid w:val="56177EC9"/>
    <w:rsid w:val="5635492A"/>
    <w:rsid w:val="563F0838"/>
    <w:rsid w:val="5647080A"/>
    <w:rsid w:val="5684052B"/>
    <w:rsid w:val="56921A85"/>
    <w:rsid w:val="56927CD7"/>
    <w:rsid w:val="569976E5"/>
    <w:rsid w:val="56E16569"/>
    <w:rsid w:val="56EE460E"/>
    <w:rsid w:val="56F25D16"/>
    <w:rsid w:val="56F72230"/>
    <w:rsid w:val="56F770C8"/>
    <w:rsid w:val="56F95FA8"/>
    <w:rsid w:val="57087F99"/>
    <w:rsid w:val="570F0DAD"/>
    <w:rsid w:val="57136DC9"/>
    <w:rsid w:val="571C1C97"/>
    <w:rsid w:val="57342B3C"/>
    <w:rsid w:val="57394670"/>
    <w:rsid w:val="57443D1C"/>
    <w:rsid w:val="575738E1"/>
    <w:rsid w:val="5769056B"/>
    <w:rsid w:val="57715B3F"/>
    <w:rsid w:val="577949F3"/>
    <w:rsid w:val="57805D82"/>
    <w:rsid w:val="579068FA"/>
    <w:rsid w:val="579730CB"/>
    <w:rsid w:val="579B705F"/>
    <w:rsid w:val="57E427B4"/>
    <w:rsid w:val="57F02C2A"/>
    <w:rsid w:val="57F246BE"/>
    <w:rsid w:val="57F648EB"/>
    <w:rsid w:val="5809221B"/>
    <w:rsid w:val="5814296E"/>
    <w:rsid w:val="582A3F3F"/>
    <w:rsid w:val="582B03E3"/>
    <w:rsid w:val="582F35B7"/>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C503C4"/>
    <w:rsid w:val="59EC76FE"/>
    <w:rsid w:val="59F91818"/>
    <w:rsid w:val="59FB3DE5"/>
    <w:rsid w:val="5A172243"/>
    <w:rsid w:val="5A196ED2"/>
    <w:rsid w:val="5A3317D1"/>
    <w:rsid w:val="5A395B76"/>
    <w:rsid w:val="5A432F55"/>
    <w:rsid w:val="5A5878B5"/>
    <w:rsid w:val="5A5C69D5"/>
    <w:rsid w:val="5A636344"/>
    <w:rsid w:val="5AA2093F"/>
    <w:rsid w:val="5AA95EA4"/>
    <w:rsid w:val="5AC26CBD"/>
    <w:rsid w:val="5AD63E09"/>
    <w:rsid w:val="5AD80DDB"/>
    <w:rsid w:val="5AFC7E15"/>
    <w:rsid w:val="5AFF3461"/>
    <w:rsid w:val="5B123195"/>
    <w:rsid w:val="5B223606"/>
    <w:rsid w:val="5B266C40"/>
    <w:rsid w:val="5B2E6FAA"/>
    <w:rsid w:val="5B4332B6"/>
    <w:rsid w:val="5B433C96"/>
    <w:rsid w:val="5B4B66A7"/>
    <w:rsid w:val="5B5C6B06"/>
    <w:rsid w:val="5B5D791E"/>
    <w:rsid w:val="5B5E0F00"/>
    <w:rsid w:val="5B6516C6"/>
    <w:rsid w:val="5B6F1A17"/>
    <w:rsid w:val="5B972453"/>
    <w:rsid w:val="5B9E7C72"/>
    <w:rsid w:val="5BA87F9D"/>
    <w:rsid w:val="5BAF4E87"/>
    <w:rsid w:val="5BDE39BF"/>
    <w:rsid w:val="5BE65C1B"/>
    <w:rsid w:val="5BFD68E7"/>
    <w:rsid w:val="5C0B7B76"/>
    <w:rsid w:val="5C1271C4"/>
    <w:rsid w:val="5C4562E5"/>
    <w:rsid w:val="5C675762"/>
    <w:rsid w:val="5C682BEC"/>
    <w:rsid w:val="5C9A1694"/>
    <w:rsid w:val="5C9D1184"/>
    <w:rsid w:val="5CA7123C"/>
    <w:rsid w:val="5CAE15E3"/>
    <w:rsid w:val="5CC42BB4"/>
    <w:rsid w:val="5CC826A5"/>
    <w:rsid w:val="5CDC7EFE"/>
    <w:rsid w:val="5CF77950"/>
    <w:rsid w:val="5D101956"/>
    <w:rsid w:val="5D115D59"/>
    <w:rsid w:val="5D364458"/>
    <w:rsid w:val="5D441D14"/>
    <w:rsid w:val="5D4A542D"/>
    <w:rsid w:val="5D972077"/>
    <w:rsid w:val="5DAE426C"/>
    <w:rsid w:val="5DAF467E"/>
    <w:rsid w:val="5DCD04E0"/>
    <w:rsid w:val="5DD03A54"/>
    <w:rsid w:val="5DD15BF4"/>
    <w:rsid w:val="5DD25BBB"/>
    <w:rsid w:val="5DDE1134"/>
    <w:rsid w:val="5E187A8F"/>
    <w:rsid w:val="5E1D1CEB"/>
    <w:rsid w:val="5E1D6CF8"/>
    <w:rsid w:val="5E23390B"/>
    <w:rsid w:val="5E311C0C"/>
    <w:rsid w:val="5E421185"/>
    <w:rsid w:val="5E895C8E"/>
    <w:rsid w:val="5ECF1FD2"/>
    <w:rsid w:val="5ED510A9"/>
    <w:rsid w:val="5F20216B"/>
    <w:rsid w:val="5F36439B"/>
    <w:rsid w:val="5F755A2A"/>
    <w:rsid w:val="5F814D8D"/>
    <w:rsid w:val="5F8328B3"/>
    <w:rsid w:val="5F8959EF"/>
    <w:rsid w:val="5F920D48"/>
    <w:rsid w:val="5FA40A7B"/>
    <w:rsid w:val="5FB07420"/>
    <w:rsid w:val="5FC04410"/>
    <w:rsid w:val="5FC652C4"/>
    <w:rsid w:val="5FC845C3"/>
    <w:rsid w:val="5FCB1F0B"/>
    <w:rsid w:val="5FCB6F0A"/>
    <w:rsid w:val="5FE62E42"/>
    <w:rsid w:val="60017C7C"/>
    <w:rsid w:val="6016735B"/>
    <w:rsid w:val="601C6864"/>
    <w:rsid w:val="601F4747"/>
    <w:rsid w:val="602F6597"/>
    <w:rsid w:val="6052321D"/>
    <w:rsid w:val="60696BC9"/>
    <w:rsid w:val="608508AD"/>
    <w:rsid w:val="609A3376"/>
    <w:rsid w:val="60A42170"/>
    <w:rsid w:val="60B47D5B"/>
    <w:rsid w:val="60E5134B"/>
    <w:rsid w:val="60FD45FF"/>
    <w:rsid w:val="611A0FF5"/>
    <w:rsid w:val="611D1FCC"/>
    <w:rsid w:val="61220F29"/>
    <w:rsid w:val="612B3202"/>
    <w:rsid w:val="616008F1"/>
    <w:rsid w:val="61847169"/>
    <w:rsid w:val="618625DD"/>
    <w:rsid w:val="61903065"/>
    <w:rsid w:val="61932B55"/>
    <w:rsid w:val="61B249C0"/>
    <w:rsid w:val="61B7149D"/>
    <w:rsid w:val="61B9080E"/>
    <w:rsid w:val="61CA1C79"/>
    <w:rsid w:val="61D61932"/>
    <w:rsid w:val="61E36F1D"/>
    <w:rsid w:val="62044ED6"/>
    <w:rsid w:val="620852F1"/>
    <w:rsid w:val="621048C9"/>
    <w:rsid w:val="6210694A"/>
    <w:rsid w:val="621231A6"/>
    <w:rsid w:val="621641CF"/>
    <w:rsid w:val="621F43E9"/>
    <w:rsid w:val="62210161"/>
    <w:rsid w:val="62861F1F"/>
    <w:rsid w:val="629139EC"/>
    <w:rsid w:val="62917095"/>
    <w:rsid w:val="62A16A87"/>
    <w:rsid w:val="62BA646B"/>
    <w:rsid w:val="62CF7FE7"/>
    <w:rsid w:val="62D94CCA"/>
    <w:rsid w:val="631D2A8C"/>
    <w:rsid w:val="63462575"/>
    <w:rsid w:val="63493E13"/>
    <w:rsid w:val="635A1B7D"/>
    <w:rsid w:val="63666773"/>
    <w:rsid w:val="638B7F88"/>
    <w:rsid w:val="638C48DD"/>
    <w:rsid w:val="63936E3D"/>
    <w:rsid w:val="639B087E"/>
    <w:rsid w:val="63A64DC2"/>
    <w:rsid w:val="63A90E76"/>
    <w:rsid w:val="63B55005"/>
    <w:rsid w:val="63BA6D0B"/>
    <w:rsid w:val="63CB5CCC"/>
    <w:rsid w:val="63EB4ECB"/>
    <w:rsid w:val="63F975E8"/>
    <w:rsid w:val="63FA3360"/>
    <w:rsid w:val="640B731B"/>
    <w:rsid w:val="640C5AA6"/>
    <w:rsid w:val="641745A0"/>
    <w:rsid w:val="645529C0"/>
    <w:rsid w:val="645C36D2"/>
    <w:rsid w:val="64657739"/>
    <w:rsid w:val="64754794"/>
    <w:rsid w:val="64824B18"/>
    <w:rsid w:val="64881976"/>
    <w:rsid w:val="64942E6C"/>
    <w:rsid w:val="64AE3CB5"/>
    <w:rsid w:val="64B90B25"/>
    <w:rsid w:val="64CD637E"/>
    <w:rsid w:val="64D43BB1"/>
    <w:rsid w:val="64DC03FF"/>
    <w:rsid w:val="64F425BA"/>
    <w:rsid w:val="650D6603"/>
    <w:rsid w:val="65202952"/>
    <w:rsid w:val="65210C32"/>
    <w:rsid w:val="652225D5"/>
    <w:rsid w:val="652F2B95"/>
    <w:rsid w:val="65311E05"/>
    <w:rsid w:val="65402FF4"/>
    <w:rsid w:val="65451957"/>
    <w:rsid w:val="65623E76"/>
    <w:rsid w:val="659770B8"/>
    <w:rsid w:val="65995BCE"/>
    <w:rsid w:val="65B46366"/>
    <w:rsid w:val="65BD63F3"/>
    <w:rsid w:val="65D025CA"/>
    <w:rsid w:val="65F570CF"/>
    <w:rsid w:val="66002CD4"/>
    <w:rsid w:val="6613137D"/>
    <w:rsid w:val="66215782"/>
    <w:rsid w:val="6624387D"/>
    <w:rsid w:val="662824C8"/>
    <w:rsid w:val="66320B8F"/>
    <w:rsid w:val="663E7534"/>
    <w:rsid w:val="664B6B47"/>
    <w:rsid w:val="66661757"/>
    <w:rsid w:val="66707909"/>
    <w:rsid w:val="66763171"/>
    <w:rsid w:val="667C005C"/>
    <w:rsid w:val="66976C44"/>
    <w:rsid w:val="669B7B39"/>
    <w:rsid w:val="66AC7A81"/>
    <w:rsid w:val="66AE4D0B"/>
    <w:rsid w:val="66B5494D"/>
    <w:rsid w:val="66B84695"/>
    <w:rsid w:val="66D103A8"/>
    <w:rsid w:val="66D47E98"/>
    <w:rsid w:val="66DE0D17"/>
    <w:rsid w:val="66EF6A80"/>
    <w:rsid w:val="66F978FF"/>
    <w:rsid w:val="66FB71D3"/>
    <w:rsid w:val="670523DE"/>
    <w:rsid w:val="670C5884"/>
    <w:rsid w:val="670D5158"/>
    <w:rsid w:val="67256946"/>
    <w:rsid w:val="67461D48"/>
    <w:rsid w:val="67472418"/>
    <w:rsid w:val="67486190"/>
    <w:rsid w:val="674A6CAF"/>
    <w:rsid w:val="676034DA"/>
    <w:rsid w:val="67694A84"/>
    <w:rsid w:val="67784F2E"/>
    <w:rsid w:val="6780592A"/>
    <w:rsid w:val="678A67A9"/>
    <w:rsid w:val="678F1925"/>
    <w:rsid w:val="67942577"/>
    <w:rsid w:val="67973EB5"/>
    <w:rsid w:val="67A92539"/>
    <w:rsid w:val="67CA4EF1"/>
    <w:rsid w:val="67E20393"/>
    <w:rsid w:val="67F76A7E"/>
    <w:rsid w:val="67F86871"/>
    <w:rsid w:val="682A566B"/>
    <w:rsid w:val="684352D5"/>
    <w:rsid w:val="68482324"/>
    <w:rsid w:val="684D1CB0"/>
    <w:rsid w:val="686D5EAE"/>
    <w:rsid w:val="686F7E78"/>
    <w:rsid w:val="687E455F"/>
    <w:rsid w:val="687E630D"/>
    <w:rsid w:val="688B0A2A"/>
    <w:rsid w:val="68A5389A"/>
    <w:rsid w:val="68AF3CA2"/>
    <w:rsid w:val="68BB130F"/>
    <w:rsid w:val="68CB0E27"/>
    <w:rsid w:val="68CC560D"/>
    <w:rsid w:val="68E97265"/>
    <w:rsid w:val="68EF0FB9"/>
    <w:rsid w:val="691E189E"/>
    <w:rsid w:val="691E4DEC"/>
    <w:rsid w:val="692635EB"/>
    <w:rsid w:val="69342E70"/>
    <w:rsid w:val="693B41FE"/>
    <w:rsid w:val="6951757E"/>
    <w:rsid w:val="69561384"/>
    <w:rsid w:val="69775165"/>
    <w:rsid w:val="697B7D23"/>
    <w:rsid w:val="69807E63"/>
    <w:rsid w:val="698C183A"/>
    <w:rsid w:val="69B230A2"/>
    <w:rsid w:val="69CB3977"/>
    <w:rsid w:val="69E2224C"/>
    <w:rsid w:val="69F819AA"/>
    <w:rsid w:val="6A136F29"/>
    <w:rsid w:val="6A187723"/>
    <w:rsid w:val="6A1D1B56"/>
    <w:rsid w:val="6A1D2B18"/>
    <w:rsid w:val="6A595414"/>
    <w:rsid w:val="6A5A4A67"/>
    <w:rsid w:val="6A6E7FF3"/>
    <w:rsid w:val="6A700C09"/>
    <w:rsid w:val="6A82630A"/>
    <w:rsid w:val="6A8E3BBF"/>
    <w:rsid w:val="6AA67D9D"/>
    <w:rsid w:val="6AAD6A36"/>
    <w:rsid w:val="6ABC577D"/>
    <w:rsid w:val="6AC57AA5"/>
    <w:rsid w:val="6ADD3291"/>
    <w:rsid w:val="6B027A44"/>
    <w:rsid w:val="6B0A70A4"/>
    <w:rsid w:val="6B3B6738"/>
    <w:rsid w:val="6B3D24B0"/>
    <w:rsid w:val="6B685053"/>
    <w:rsid w:val="6B7F4739"/>
    <w:rsid w:val="6B8A4FC9"/>
    <w:rsid w:val="6B9A5FD4"/>
    <w:rsid w:val="6BA75B7B"/>
    <w:rsid w:val="6C042FCD"/>
    <w:rsid w:val="6C20148A"/>
    <w:rsid w:val="6C3710E8"/>
    <w:rsid w:val="6C44786E"/>
    <w:rsid w:val="6C9431CC"/>
    <w:rsid w:val="6CAB1AEE"/>
    <w:rsid w:val="6CAE2F39"/>
    <w:rsid w:val="6CAF10DA"/>
    <w:rsid w:val="6CB513FE"/>
    <w:rsid w:val="6CDA06B8"/>
    <w:rsid w:val="6D0715F8"/>
    <w:rsid w:val="6D30394E"/>
    <w:rsid w:val="6D426B56"/>
    <w:rsid w:val="6D505108"/>
    <w:rsid w:val="6D6C7892"/>
    <w:rsid w:val="6D77297F"/>
    <w:rsid w:val="6D8238F3"/>
    <w:rsid w:val="6D8617C0"/>
    <w:rsid w:val="6D920165"/>
    <w:rsid w:val="6DBB5AC1"/>
    <w:rsid w:val="6DCF4F15"/>
    <w:rsid w:val="6DD662A4"/>
    <w:rsid w:val="6E0468F3"/>
    <w:rsid w:val="6E0F7A08"/>
    <w:rsid w:val="6E38263C"/>
    <w:rsid w:val="6E526272"/>
    <w:rsid w:val="6E573B2B"/>
    <w:rsid w:val="6E616223"/>
    <w:rsid w:val="6E94481B"/>
    <w:rsid w:val="6EA2373C"/>
    <w:rsid w:val="6EBA3E17"/>
    <w:rsid w:val="6EDF387E"/>
    <w:rsid w:val="6EF70BC7"/>
    <w:rsid w:val="6F0357BE"/>
    <w:rsid w:val="6F0B01CF"/>
    <w:rsid w:val="6F241291"/>
    <w:rsid w:val="6F3552E1"/>
    <w:rsid w:val="6F4066AD"/>
    <w:rsid w:val="6F4A1C6F"/>
    <w:rsid w:val="6F6F075E"/>
    <w:rsid w:val="6F7658CB"/>
    <w:rsid w:val="6F976FBE"/>
    <w:rsid w:val="6FA359EB"/>
    <w:rsid w:val="6FA6381A"/>
    <w:rsid w:val="6FB42615"/>
    <w:rsid w:val="6FC36CFC"/>
    <w:rsid w:val="6FCA63E4"/>
    <w:rsid w:val="6FD26F3F"/>
    <w:rsid w:val="6FF218DD"/>
    <w:rsid w:val="6FF42BE0"/>
    <w:rsid w:val="6FFC41AF"/>
    <w:rsid w:val="6FFF339E"/>
    <w:rsid w:val="700C0A1A"/>
    <w:rsid w:val="7024713C"/>
    <w:rsid w:val="704C4F43"/>
    <w:rsid w:val="706804A2"/>
    <w:rsid w:val="706C2EEF"/>
    <w:rsid w:val="70761F1B"/>
    <w:rsid w:val="708C1ED2"/>
    <w:rsid w:val="70B30B1E"/>
    <w:rsid w:val="70CB230C"/>
    <w:rsid w:val="70DD3506"/>
    <w:rsid w:val="70E32593"/>
    <w:rsid w:val="70E801A2"/>
    <w:rsid w:val="70FF6F56"/>
    <w:rsid w:val="7104581E"/>
    <w:rsid w:val="71132E62"/>
    <w:rsid w:val="711D41EA"/>
    <w:rsid w:val="711E1588"/>
    <w:rsid w:val="71222297"/>
    <w:rsid w:val="71231438"/>
    <w:rsid w:val="714348B5"/>
    <w:rsid w:val="71504B10"/>
    <w:rsid w:val="71554590"/>
    <w:rsid w:val="715A0F06"/>
    <w:rsid w:val="715D01AD"/>
    <w:rsid w:val="71762326"/>
    <w:rsid w:val="719941B8"/>
    <w:rsid w:val="719E357C"/>
    <w:rsid w:val="71A87F57"/>
    <w:rsid w:val="71BD1788"/>
    <w:rsid w:val="71C50B09"/>
    <w:rsid w:val="71FB452B"/>
    <w:rsid w:val="722515A8"/>
    <w:rsid w:val="723979C9"/>
    <w:rsid w:val="725E7ADD"/>
    <w:rsid w:val="726631BE"/>
    <w:rsid w:val="727265AC"/>
    <w:rsid w:val="727B1B10"/>
    <w:rsid w:val="727D13E4"/>
    <w:rsid w:val="729C3F60"/>
    <w:rsid w:val="72A526E9"/>
    <w:rsid w:val="72D71070"/>
    <w:rsid w:val="72EC1039"/>
    <w:rsid w:val="72F13B80"/>
    <w:rsid w:val="72FF57F4"/>
    <w:rsid w:val="73004C2C"/>
    <w:rsid w:val="7304330F"/>
    <w:rsid w:val="732E5FCC"/>
    <w:rsid w:val="73337CF4"/>
    <w:rsid w:val="733817AF"/>
    <w:rsid w:val="73412411"/>
    <w:rsid w:val="73440778"/>
    <w:rsid w:val="734463A5"/>
    <w:rsid w:val="73520AC2"/>
    <w:rsid w:val="73524A76"/>
    <w:rsid w:val="7358775B"/>
    <w:rsid w:val="737F4571"/>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66390"/>
    <w:rsid w:val="749F595E"/>
    <w:rsid w:val="74AA2238"/>
    <w:rsid w:val="74CF0EA0"/>
    <w:rsid w:val="74DF0134"/>
    <w:rsid w:val="74F87650"/>
    <w:rsid w:val="75054390"/>
    <w:rsid w:val="751122B7"/>
    <w:rsid w:val="75114065"/>
    <w:rsid w:val="751A5610"/>
    <w:rsid w:val="7539539D"/>
    <w:rsid w:val="75695C4F"/>
    <w:rsid w:val="757B0B57"/>
    <w:rsid w:val="758C657E"/>
    <w:rsid w:val="759248B8"/>
    <w:rsid w:val="759C7DD3"/>
    <w:rsid w:val="75A153E9"/>
    <w:rsid w:val="75CB6E7D"/>
    <w:rsid w:val="75EA3234"/>
    <w:rsid w:val="75ED3231"/>
    <w:rsid w:val="75FC2C73"/>
    <w:rsid w:val="75FD5C4B"/>
    <w:rsid w:val="76047756"/>
    <w:rsid w:val="760A5684"/>
    <w:rsid w:val="76155660"/>
    <w:rsid w:val="761B33ED"/>
    <w:rsid w:val="761E5D99"/>
    <w:rsid w:val="761F03BE"/>
    <w:rsid w:val="762B1157"/>
    <w:rsid w:val="764A5A81"/>
    <w:rsid w:val="764C7A4B"/>
    <w:rsid w:val="766111DA"/>
    <w:rsid w:val="76612DCA"/>
    <w:rsid w:val="766528BB"/>
    <w:rsid w:val="767B20DE"/>
    <w:rsid w:val="767B7C93"/>
    <w:rsid w:val="768C42EB"/>
    <w:rsid w:val="7694586D"/>
    <w:rsid w:val="76B4739E"/>
    <w:rsid w:val="76C75323"/>
    <w:rsid w:val="76D1655C"/>
    <w:rsid w:val="76D25D41"/>
    <w:rsid w:val="76E666DE"/>
    <w:rsid w:val="76E72AA0"/>
    <w:rsid w:val="76EA57E2"/>
    <w:rsid w:val="7701090C"/>
    <w:rsid w:val="771A711A"/>
    <w:rsid w:val="771D4F43"/>
    <w:rsid w:val="771F7C5B"/>
    <w:rsid w:val="772A600E"/>
    <w:rsid w:val="77336515"/>
    <w:rsid w:val="77362975"/>
    <w:rsid w:val="77444BC6"/>
    <w:rsid w:val="77577349"/>
    <w:rsid w:val="775A6197"/>
    <w:rsid w:val="776D7992"/>
    <w:rsid w:val="7772349F"/>
    <w:rsid w:val="777C4360"/>
    <w:rsid w:val="778238FB"/>
    <w:rsid w:val="77955421"/>
    <w:rsid w:val="77A411C1"/>
    <w:rsid w:val="77B238DE"/>
    <w:rsid w:val="77B6486A"/>
    <w:rsid w:val="77C655DB"/>
    <w:rsid w:val="77F71C38"/>
    <w:rsid w:val="77F90661"/>
    <w:rsid w:val="7808174F"/>
    <w:rsid w:val="780D57F6"/>
    <w:rsid w:val="78106856"/>
    <w:rsid w:val="781E4FE7"/>
    <w:rsid w:val="78276B74"/>
    <w:rsid w:val="783764D9"/>
    <w:rsid w:val="7840256B"/>
    <w:rsid w:val="7884096A"/>
    <w:rsid w:val="78850FF2"/>
    <w:rsid w:val="788E0A67"/>
    <w:rsid w:val="789524E8"/>
    <w:rsid w:val="789D29DD"/>
    <w:rsid w:val="78B611AB"/>
    <w:rsid w:val="78CA10FB"/>
    <w:rsid w:val="78E03E67"/>
    <w:rsid w:val="78E71CAD"/>
    <w:rsid w:val="78EA52F9"/>
    <w:rsid w:val="78F06D68"/>
    <w:rsid w:val="78F55DA6"/>
    <w:rsid w:val="790E548B"/>
    <w:rsid w:val="79236E7C"/>
    <w:rsid w:val="792A1B99"/>
    <w:rsid w:val="794013BD"/>
    <w:rsid w:val="796B1B89"/>
    <w:rsid w:val="797B008A"/>
    <w:rsid w:val="797B7D48"/>
    <w:rsid w:val="798516DF"/>
    <w:rsid w:val="798C015E"/>
    <w:rsid w:val="79921C19"/>
    <w:rsid w:val="79A46F00"/>
    <w:rsid w:val="79C618C2"/>
    <w:rsid w:val="79D73ACF"/>
    <w:rsid w:val="79E46056"/>
    <w:rsid w:val="7A0C534E"/>
    <w:rsid w:val="7A0D399C"/>
    <w:rsid w:val="7A222CE3"/>
    <w:rsid w:val="7A735C4D"/>
    <w:rsid w:val="7A8C2B0C"/>
    <w:rsid w:val="7A8E7C8A"/>
    <w:rsid w:val="7A9F01F0"/>
    <w:rsid w:val="7AAA6765"/>
    <w:rsid w:val="7ABB7B5C"/>
    <w:rsid w:val="7AD87AFF"/>
    <w:rsid w:val="7B0152A5"/>
    <w:rsid w:val="7B112B38"/>
    <w:rsid w:val="7B1C72FB"/>
    <w:rsid w:val="7B2A5E81"/>
    <w:rsid w:val="7B2C7E4B"/>
    <w:rsid w:val="7B2F16E9"/>
    <w:rsid w:val="7B4636CB"/>
    <w:rsid w:val="7B7567C0"/>
    <w:rsid w:val="7B7B66DC"/>
    <w:rsid w:val="7B7D2454"/>
    <w:rsid w:val="7B845591"/>
    <w:rsid w:val="7B9072BC"/>
    <w:rsid w:val="7B944A08"/>
    <w:rsid w:val="7B960850"/>
    <w:rsid w:val="7B9F57C7"/>
    <w:rsid w:val="7BBD0AA3"/>
    <w:rsid w:val="7BEB3862"/>
    <w:rsid w:val="7BF5023D"/>
    <w:rsid w:val="7BF97C74"/>
    <w:rsid w:val="7C19584E"/>
    <w:rsid w:val="7C266648"/>
    <w:rsid w:val="7C2823C0"/>
    <w:rsid w:val="7C354382"/>
    <w:rsid w:val="7C563402"/>
    <w:rsid w:val="7C572F4E"/>
    <w:rsid w:val="7C5E2286"/>
    <w:rsid w:val="7C686C61"/>
    <w:rsid w:val="7C765D1B"/>
    <w:rsid w:val="7C7B659E"/>
    <w:rsid w:val="7C7E0232"/>
    <w:rsid w:val="7C831CEC"/>
    <w:rsid w:val="7C9712F4"/>
    <w:rsid w:val="7C9B0FDB"/>
    <w:rsid w:val="7CAB6D80"/>
    <w:rsid w:val="7CAD6D69"/>
    <w:rsid w:val="7CBA4D6C"/>
    <w:rsid w:val="7CC85951"/>
    <w:rsid w:val="7CCC5441"/>
    <w:rsid w:val="7CD23C7F"/>
    <w:rsid w:val="7CD24BAE"/>
    <w:rsid w:val="7CE56503"/>
    <w:rsid w:val="7D026F49"/>
    <w:rsid w:val="7D033147"/>
    <w:rsid w:val="7D1066E2"/>
    <w:rsid w:val="7D1B3CD3"/>
    <w:rsid w:val="7D227CB6"/>
    <w:rsid w:val="7D300C5A"/>
    <w:rsid w:val="7D4C0330"/>
    <w:rsid w:val="7D811B7B"/>
    <w:rsid w:val="7D836171"/>
    <w:rsid w:val="7DAB2803"/>
    <w:rsid w:val="7DBA0B43"/>
    <w:rsid w:val="7DF47503"/>
    <w:rsid w:val="7E186464"/>
    <w:rsid w:val="7E3E4800"/>
    <w:rsid w:val="7E5042D1"/>
    <w:rsid w:val="7E696CC0"/>
    <w:rsid w:val="7E7B41B8"/>
    <w:rsid w:val="7E7F0292"/>
    <w:rsid w:val="7E835AFC"/>
    <w:rsid w:val="7E851714"/>
    <w:rsid w:val="7E88060D"/>
    <w:rsid w:val="7E966D9F"/>
    <w:rsid w:val="7EA45F4A"/>
    <w:rsid w:val="7EBE0318"/>
    <w:rsid w:val="7ECA197C"/>
    <w:rsid w:val="7ECD54A1"/>
    <w:rsid w:val="7EDF79CA"/>
    <w:rsid w:val="7EE02B0F"/>
    <w:rsid w:val="7EF16259"/>
    <w:rsid w:val="7EF163A6"/>
    <w:rsid w:val="7F0D7FB9"/>
    <w:rsid w:val="7F2B0D53"/>
    <w:rsid w:val="7F4E65E2"/>
    <w:rsid w:val="7F6A7194"/>
    <w:rsid w:val="7F714152"/>
    <w:rsid w:val="7F773EF6"/>
    <w:rsid w:val="7F7A32AB"/>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57</Pages>
  <Words>19307</Words>
  <Characters>20386</Characters>
  <Lines>1</Lines>
  <Paragraphs>1</Paragraphs>
  <TotalTime>0</TotalTime>
  <ScaleCrop>false</ScaleCrop>
  <LinksUpToDate>false</LinksUpToDate>
  <CharactersWithSpaces>20775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2024-11-14T06:42:00Z</cp:lastPrinted>
  <dcterms:modified xsi:type="dcterms:W3CDTF">2025-08-07T00:22:54Z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29068A1E58F84C6E9694F5FB62E5AF96_13</vt:lpwstr>
  </property>
  <property fmtid="{D5CDD505-2E9C-101B-9397-08002B2CF9AE}" pid="4" name="commondata">
    <vt:lpwstr>eyJoZGlkIjoiZDJiMzdlZTkyZWRmN2IzYzY2ZmI2ZTBlN2MyMWRiOWEifQ==</vt:lpwstr>
  </property>
  <property fmtid="{D5CDD505-2E9C-101B-9397-08002B2CF9AE}" pid="5" name="KSOTemplateDocerSaveRecord">
    <vt:lpwstr>eyJoZGlkIjoiNDRjMmI1NzI5ZTU0NGRmMTJiMmFmYjYxNTlhNDg1OGYiLCJ1c2VySWQiOiIzMjYyOTIwOTcifQ==</vt:lpwstr>
  </property>
</Properties>
</file>