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FB920">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highlight w:val="none"/>
          <w:shd w:val="clear" w:color="auto" w:fill="auto"/>
          <w:lang w:val="en-US" w:eastAsia="zh-CN"/>
        </w:rPr>
        <w:t xml:space="preserve"> </w:t>
      </w:r>
    </w:p>
    <w:p w14:paraId="65ACA94F">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60325</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14:paraId="01570225">
      <w:pPr>
        <w:jc w:val="both"/>
        <w:rPr>
          <w:rFonts w:hint="eastAsia" w:ascii="仿宋" w:hAnsi="仿宋" w:eastAsia="仿宋" w:cs="仿宋"/>
          <w:color w:val="auto"/>
          <w:highlight w:val="none"/>
          <w:shd w:val="clear" w:color="auto" w:fill="auto"/>
          <w:lang w:val="en-US" w:eastAsia="zh-CN"/>
        </w:rPr>
      </w:pPr>
    </w:p>
    <w:p w14:paraId="3FBF7F9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10535"/>
      <w:bookmarkStart w:id="1" w:name="_Toc32493"/>
      <w:bookmarkStart w:id="2" w:name="_Toc19409"/>
    </w:p>
    <w:bookmarkEnd w:id="0"/>
    <w:bookmarkEnd w:id="1"/>
    <w:bookmarkEnd w:id="2"/>
    <w:p w14:paraId="1D4CCBDE">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3" w:name="_Toc9217"/>
      <w:bookmarkStart w:id="4" w:name="_Toc15496"/>
      <w:bookmarkStart w:id="5" w:name="_Toc31960"/>
    </w:p>
    <w:bookmarkEnd w:id="3"/>
    <w:bookmarkEnd w:id="4"/>
    <w:bookmarkEnd w:id="5"/>
    <w:p w14:paraId="45D7C65D">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6" w:name="_Toc26019"/>
      <w:bookmarkStart w:id="7" w:name="_Toc18534"/>
      <w:bookmarkStart w:id="8" w:name="_Toc12144"/>
      <w:bookmarkStart w:id="9" w:name="_Toc20270"/>
      <w:bookmarkStart w:id="10" w:name="_Toc7024"/>
      <w:bookmarkStart w:id="11" w:name="_Toc30654"/>
      <w:r>
        <w:rPr>
          <w:rFonts w:hint="eastAsia" w:ascii="仿宋" w:hAnsi="仿宋" w:eastAsia="仿宋" w:cs="仿宋"/>
          <w:b/>
          <w:color w:val="auto"/>
          <w:sz w:val="52"/>
          <w:szCs w:val="52"/>
          <w:highlight w:val="none"/>
          <w:shd w:val="clear" w:color="auto" w:fill="auto"/>
          <w:lang w:val="en-US" w:eastAsia="zh-CN"/>
        </w:rPr>
        <w:t>东莞市常平镇环保专业基地洗水、印花污水处理厂-3号水池、配水井铝合金门窗、栏杆、盖板及零星五金制安工程</w:t>
      </w:r>
    </w:p>
    <w:p w14:paraId="75F2F76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施</w:t>
      </w:r>
      <w:bookmarkEnd w:id="6"/>
      <w:bookmarkEnd w:id="7"/>
      <w:bookmarkEnd w:id="8"/>
      <w:bookmarkStart w:id="12" w:name="_Toc1376"/>
      <w:bookmarkStart w:id="13" w:name="_Toc32225"/>
      <w:bookmarkStart w:id="14" w:name="_Toc14075"/>
    </w:p>
    <w:p w14:paraId="57250AB6">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工</w:t>
      </w:r>
      <w:bookmarkEnd w:id="12"/>
      <w:bookmarkEnd w:id="13"/>
      <w:bookmarkEnd w:id="14"/>
      <w:bookmarkStart w:id="15" w:name="_Toc16327"/>
      <w:bookmarkStart w:id="16" w:name="_Toc17899"/>
      <w:bookmarkStart w:id="17" w:name="_Toc32406"/>
    </w:p>
    <w:p w14:paraId="4ABC54E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合</w:t>
      </w:r>
      <w:bookmarkEnd w:id="15"/>
      <w:bookmarkEnd w:id="16"/>
      <w:bookmarkEnd w:id="17"/>
      <w:bookmarkStart w:id="18" w:name="_Toc24850"/>
      <w:bookmarkStart w:id="19" w:name="_Toc1931"/>
      <w:bookmarkStart w:id="20" w:name="_Toc9107"/>
    </w:p>
    <w:p w14:paraId="06C97AC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color w:val="auto"/>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同</w:t>
      </w:r>
      <w:bookmarkEnd w:id="9"/>
      <w:bookmarkEnd w:id="10"/>
      <w:bookmarkEnd w:id="11"/>
      <w:bookmarkEnd w:id="18"/>
      <w:bookmarkEnd w:id="19"/>
      <w:bookmarkEnd w:id="20"/>
    </w:p>
    <w:p w14:paraId="01F405D2">
      <w:pPr>
        <w:jc w:val="center"/>
        <w:rPr>
          <w:rFonts w:hint="eastAsia" w:ascii="仿宋" w:hAnsi="仿宋" w:eastAsia="仿宋" w:cs="仿宋"/>
          <w:b/>
          <w:bCs/>
          <w:color w:val="auto"/>
          <w:sz w:val="24"/>
          <w:szCs w:val="28"/>
          <w:highlight w:val="none"/>
          <w:shd w:val="clear" w:color="auto" w:fill="auto"/>
          <w:lang w:val="en-US" w:eastAsia="zh-CN"/>
        </w:rPr>
      </w:pPr>
    </w:p>
    <w:p w14:paraId="1375613A">
      <w:pPr>
        <w:jc w:val="center"/>
        <w:rPr>
          <w:rFonts w:hint="eastAsia" w:ascii="仿宋" w:hAnsi="仿宋" w:eastAsia="仿宋" w:cs="仿宋"/>
          <w:color w:val="auto"/>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3A82B140">
      <w:pPr>
        <w:jc w:val="both"/>
        <w:rPr>
          <w:rFonts w:hint="eastAsia" w:ascii="仿宋" w:hAnsi="仿宋" w:eastAsia="仿宋" w:cs="仿宋"/>
          <w:color w:val="auto"/>
          <w:highlight w:val="none"/>
          <w:shd w:val="clear" w:color="auto" w:fill="auto"/>
          <w:lang w:val="en-US" w:eastAsia="zh-CN"/>
        </w:rPr>
      </w:pPr>
    </w:p>
    <w:p w14:paraId="7BBB9A3F">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r>
        <w:rPr>
          <w:rFonts w:hint="eastAsia" w:ascii="仿宋" w:hAnsi="仿宋" w:eastAsia="仿宋" w:cs="仿宋"/>
          <w:b w:val="0"/>
          <w:bCs w:val="0"/>
          <w:color w:val="auto"/>
          <w:sz w:val="28"/>
          <w:szCs w:val="28"/>
          <w:highlight w:val="none"/>
          <w:lang w:val="en-US" w:eastAsia="zh-CN"/>
        </w:rPr>
        <w:t xml:space="preserve">  </w:t>
      </w:r>
    </w:p>
    <w:p w14:paraId="1F6A1894">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5596EEEA">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乙方（承包方）： </w:t>
      </w:r>
    </w:p>
    <w:p w14:paraId="5F749670">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753C4D06">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2"/>
          <w:szCs w:val="24"/>
          <w:highlight w:val="none"/>
          <w:lang w:val="en-US" w:eastAsia="zh-CN" w:bidi="ar-SA"/>
        </w:rPr>
      </w:sdtEndPr>
      <w:sdtContent>
        <w:p w14:paraId="0861F1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2"/>
              <w:sz w:val="21"/>
              <w:szCs w:val="24"/>
              <w:highlight w:val="none"/>
              <w:lang w:val="en-US" w:eastAsia="zh-CN" w:bidi="ar-SA"/>
            </w:rPr>
          </w:pPr>
          <w:bookmarkStart w:id="21" w:name="_Toc21482"/>
          <w:r>
            <w:rPr>
              <w:rFonts w:hint="eastAsia" w:ascii="仿宋" w:hAnsi="仿宋" w:eastAsia="仿宋" w:cs="仿宋"/>
              <w:color w:val="auto"/>
              <w:sz w:val="24"/>
              <w:szCs w:val="28"/>
              <w:highlight w:val="none"/>
            </w:rPr>
            <w:t>目录</w:t>
          </w:r>
          <w:r>
            <w:rPr>
              <w:rFonts w:hint="eastAsia" w:ascii="仿宋" w:hAnsi="仿宋" w:eastAsia="仿宋" w:cs="仿宋"/>
              <w:color w:val="auto"/>
              <w:sz w:val="22"/>
              <w:szCs w:val="24"/>
              <w:highlight w:val="none"/>
            </w:rPr>
            <w:fldChar w:fldCharType="begin"/>
          </w:r>
          <w:r>
            <w:rPr>
              <w:rFonts w:hint="eastAsia" w:ascii="仿宋" w:hAnsi="仿宋" w:eastAsia="仿宋" w:cs="仿宋"/>
              <w:color w:val="auto"/>
              <w:sz w:val="22"/>
              <w:szCs w:val="24"/>
              <w:highlight w:val="none"/>
            </w:rPr>
            <w:instrText xml:space="preserve">TOC \o "1-2" \h \u </w:instrText>
          </w:r>
          <w:r>
            <w:rPr>
              <w:rFonts w:hint="eastAsia" w:ascii="仿宋" w:hAnsi="仿宋" w:eastAsia="仿宋" w:cs="仿宋"/>
              <w:color w:val="auto"/>
              <w:sz w:val="22"/>
              <w:szCs w:val="24"/>
              <w:highlight w:val="none"/>
            </w:rPr>
            <w:fldChar w:fldCharType="separate"/>
          </w:r>
        </w:p>
        <w:p w14:paraId="217FD5C7">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_Toc13672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kern w:val="0"/>
              <w:sz w:val="24"/>
              <w:szCs w:val="36"/>
              <w:highlight w:val="none"/>
              <w:shd w:val="clear" w:fill="auto"/>
              <w:lang w:val="en-US" w:eastAsia="zh-CN"/>
            </w:rPr>
            <w:t xml:space="preserve">第一部分 </w:t>
          </w:r>
          <w:r>
            <w:rPr>
              <w:rFonts w:hint="eastAsia" w:ascii="仿宋" w:hAnsi="仿宋" w:eastAsia="仿宋" w:cs="仿宋"/>
              <w:bCs/>
              <w:i w:val="0"/>
              <w:iCs w:val="0"/>
              <w:color w:val="auto"/>
              <w:kern w:val="0"/>
              <w:sz w:val="24"/>
              <w:szCs w:val="36"/>
              <w:highlight w:val="none"/>
              <w:shd w:val="clear" w:color="auto" w:fill="auto"/>
              <w:lang w:val="en-US" w:eastAsia="zh-CN"/>
            </w:rPr>
            <w:t>合同专用条款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_Toc13672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2988234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_Toc16629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第一章</w:t>
          </w:r>
          <w:r>
            <w:rPr>
              <w:rFonts w:hint="eastAsia" w:ascii="仿宋" w:hAnsi="仿宋" w:eastAsia="仿宋" w:cs="仿宋"/>
              <w:bCs/>
              <w:i w:val="0"/>
              <w:iCs w:val="0"/>
              <w:color w:val="auto"/>
              <w:sz w:val="24"/>
              <w:szCs w:val="36"/>
              <w:highlight w:val="none"/>
              <w:shd w:val="clear" w:color="auto" w:fill="auto"/>
            </w:rPr>
            <w:t>、项目概况</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_Toc16629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64761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_Toc8658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第二章、承包方式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_Toc8658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84C514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_Toc31266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第三章、承包范围及主要工程内容</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_Toc31266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929EE7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_Toc12329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第四章、工期</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_Toc12329 \h </w:instrText>
          </w:r>
          <w:r>
            <w:rPr>
              <w:color w:val="auto"/>
              <w:sz w:val="24"/>
              <w:szCs w:val="28"/>
              <w:highlight w:val="none"/>
            </w:rPr>
            <w:fldChar w:fldCharType="separate"/>
          </w:r>
          <w:r>
            <w:rPr>
              <w:color w:val="auto"/>
              <w:sz w:val="24"/>
              <w:szCs w:val="28"/>
              <w:highlight w:val="none"/>
            </w:rPr>
            <w:t>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FBF7A8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_Toc541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第五章、工程质量标准</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_Toc541 \h </w:instrText>
          </w:r>
          <w:r>
            <w:rPr>
              <w:color w:val="auto"/>
              <w:sz w:val="24"/>
              <w:szCs w:val="28"/>
              <w:highlight w:val="none"/>
            </w:rPr>
            <w:fldChar w:fldCharType="separate"/>
          </w:r>
          <w:r>
            <w:rPr>
              <w:color w:val="auto"/>
              <w:sz w:val="24"/>
              <w:szCs w:val="28"/>
              <w:highlight w:val="none"/>
            </w:rPr>
            <w:t>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AED6E3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_Toc23895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第六章、合同价款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_Toc23895 \h </w:instrText>
          </w:r>
          <w:r>
            <w:rPr>
              <w:color w:val="auto"/>
              <w:sz w:val="24"/>
              <w:szCs w:val="28"/>
              <w:highlight w:val="none"/>
            </w:rPr>
            <w:fldChar w:fldCharType="separate"/>
          </w:r>
          <w:r>
            <w:rPr>
              <w:color w:val="auto"/>
              <w:sz w:val="24"/>
              <w:szCs w:val="28"/>
              <w:highlight w:val="none"/>
            </w:rPr>
            <w:t>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8862B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_Toc15702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第七章、计量计价方式及结算方式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_Toc15702 \h </w:instrText>
          </w:r>
          <w:r>
            <w:rPr>
              <w:color w:val="auto"/>
              <w:sz w:val="24"/>
              <w:szCs w:val="28"/>
              <w:highlight w:val="none"/>
            </w:rPr>
            <w:fldChar w:fldCharType="separate"/>
          </w:r>
          <w:r>
            <w:rPr>
              <w:color w:val="auto"/>
              <w:sz w:val="24"/>
              <w:szCs w:val="28"/>
              <w:highlight w:val="none"/>
            </w:rPr>
            <w:t>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17EEAB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_Toc21112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第八章、付款方式（每个组团独立付款）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_Toc21112 \h </w:instrText>
          </w:r>
          <w:r>
            <w:rPr>
              <w:color w:val="auto"/>
              <w:sz w:val="24"/>
              <w:szCs w:val="28"/>
              <w:highlight w:val="none"/>
            </w:rPr>
            <w:fldChar w:fldCharType="separate"/>
          </w:r>
          <w:r>
            <w:rPr>
              <w:color w:val="auto"/>
              <w:sz w:val="24"/>
              <w:szCs w:val="28"/>
              <w:highlight w:val="none"/>
            </w:rPr>
            <w:t>10</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D0ED4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_Toc5039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第九章、双方责任和权利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_Toc5039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2170C96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_Toc22984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第十章、甲供材料设备</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_Toc22984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DCD852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_Toc16932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第十一章、验收及保修</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_Toc16932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E1F886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_Toc18309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第十二章、其他</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_Toc18309 \h </w:instrText>
          </w:r>
          <w:r>
            <w:rPr>
              <w:color w:val="auto"/>
              <w:sz w:val="24"/>
              <w:szCs w:val="28"/>
              <w:highlight w:val="none"/>
            </w:rPr>
            <w:fldChar w:fldCharType="separate"/>
          </w:r>
          <w:r>
            <w:rPr>
              <w:color w:val="auto"/>
              <w:sz w:val="24"/>
              <w:szCs w:val="28"/>
              <w:highlight w:val="none"/>
            </w:rPr>
            <w:t>14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4832602">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_Toc28852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kern w:val="0"/>
              <w:sz w:val="24"/>
              <w:szCs w:val="36"/>
              <w:highlight w:val="none"/>
              <w:shd w:val="clear" w:fill="auto"/>
              <w:lang w:val="en-US" w:eastAsia="zh-CN"/>
            </w:rPr>
            <w:t xml:space="preserve">第二部分 </w:t>
          </w:r>
          <w:r>
            <w:rPr>
              <w:rFonts w:hint="eastAsia" w:ascii="仿宋" w:hAnsi="仿宋" w:eastAsia="仿宋" w:cs="仿宋"/>
              <w:bCs/>
              <w:i w:val="0"/>
              <w:iCs w:val="0"/>
              <w:color w:val="auto"/>
              <w:kern w:val="0"/>
              <w:sz w:val="24"/>
              <w:szCs w:val="36"/>
              <w:highlight w:val="none"/>
              <w:shd w:val="clear" w:color="auto" w:fill="auto"/>
              <w:lang w:val="en-US" w:eastAsia="zh-CN"/>
            </w:rPr>
            <w:t>合同通用条款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_Toc28852 \h </w:instrText>
          </w:r>
          <w:r>
            <w:rPr>
              <w:color w:val="auto"/>
              <w:sz w:val="24"/>
              <w:szCs w:val="28"/>
              <w:highlight w:val="none"/>
            </w:rPr>
            <w:fldChar w:fldCharType="separate"/>
          </w:r>
          <w:r>
            <w:rPr>
              <w:color w:val="auto"/>
              <w:sz w:val="24"/>
              <w:szCs w:val="28"/>
              <w:highlight w:val="none"/>
            </w:rPr>
            <w:t>16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62FA54">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_Toc11047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第一章、承包方式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_Toc11047 \h </w:instrText>
          </w:r>
          <w:r>
            <w:rPr>
              <w:color w:val="auto"/>
              <w:sz w:val="24"/>
              <w:szCs w:val="28"/>
              <w:highlight w:val="none"/>
            </w:rPr>
            <w:fldChar w:fldCharType="separate"/>
          </w:r>
          <w:r>
            <w:rPr>
              <w:color w:val="auto"/>
              <w:sz w:val="24"/>
              <w:szCs w:val="28"/>
              <w:highlight w:val="none"/>
            </w:rPr>
            <w:t>16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7E0DEA7">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_Toc29690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第二章、承包范围及主要工程内容</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_Toc29690 \h </w:instrText>
          </w:r>
          <w:r>
            <w:rPr>
              <w:color w:val="auto"/>
              <w:sz w:val="24"/>
              <w:szCs w:val="28"/>
              <w:highlight w:val="none"/>
            </w:rPr>
            <w:fldChar w:fldCharType="separate"/>
          </w:r>
          <w:r>
            <w:rPr>
              <w:color w:val="auto"/>
              <w:sz w:val="24"/>
              <w:szCs w:val="28"/>
              <w:highlight w:val="none"/>
            </w:rPr>
            <w:t>16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DB5B22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_Toc8809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第三章、工期</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_Toc8809 \h </w:instrText>
          </w:r>
          <w:r>
            <w:rPr>
              <w:color w:val="auto"/>
              <w:sz w:val="24"/>
              <w:szCs w:val="28"/>
              <w:highlight w:val="none"/>
            </w:rPr>
            <w:fldChar w:fldCharType="separate"/>
          </w:r>
          <w:r>
            <w:rPr>
              <w:color w:val="auto"/>
              <w:sz w:val="24"/>
              <w:szCs w:val="28"/>
              <w:highlight w:val="none"/>
            </w:rPr>
            <w:t>17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BFEC7B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_Toc26647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第四章、工程质量标准</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_Toc26647 \h </w:instrText>
          </w:r>
          <w:r>
            <w:rPr>
              <w:color w:val="auto"/>
              <w:sz w:val="24"/>
              <w:szCs w:val="28"/>
              <w:highlight w:val="none"/>
            </w:rPr>
            <w:fldChar w:fldCharType="separate"/>
          </w:r>
          <w:r>
            <w:rPr>
              <w:color w:val="auto"/>
              <w:sz w:val="24"/>
              <w:szCs w:val="28"/>
              <w:highlight w:val="none"/>
            </w:rPr>
            <w:t>19</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A4F33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_Toc8460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第五章、合同价款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_Toc8460 \h </w:instrText>
          </w:r>
          <w:r>
            <w:rPr>
              <w:color w:val="auto"/>
              <w:sz w:val="24"/>
              <w:szCs w:val="28"/>
              <w:highlight w:val="none"/>
            </w:rPr>
            <w:fldChar w:fldCharType="separate"/>
          </w:r>
          <w:r>
            <w:rPr>
              <w:color w:val="auto"/>
              <w:sz w:val="24"/>
              <w:szCs w:val="28"/>
              <w:highlight w:val="none"/>
            </w:rPr>
            <w:t>20</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03CE01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_Toc8540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第六章、计量计价方式及结算方式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_Toc8540 \h </w:instrText>
          </w:r>
          <w:r>
            <w:rPr>
              <w:color w:val="auto"/>
              <w:sz w:val="24"/>
              <w:szCs w:val="28"/>
              <w:highlight w:val="none"/>
            </w:rPr>
            <w:fldChar w:fldCharType="separate"/>
          </w:r>
          <w:r>
            <w:rPr>
              <w:color w:val="auto"/>
              <w:sz w:val="24"/>
              <w:szCs w:val="28"/>
              <w:highlight w:val="none"/>
            </w:rPr>
            <w:t>21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C67387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_Toc850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第七章、付款方式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_Toc850 \h </w:instrText>
          </w:r>
          <w:r>
            <w:rPr>
              <w:color w:val="auto"/>
              <w:sz w:val="24"/>
              <w:szCs w:val="28"/>
              <w:highlight w:val="none"/>
            </w:rPr>
            <w:fldChar w:fldCharType="separate"/>
          </w:r>
          <w:r>
            <w:rPr>
              <w:color w:val="auto"/>
              <w:sz w:val="24"/>
              <w:szCs w:val="28"/>
              <w:highlight w:val="none"/>
            </w:rPr>
            <w:t>26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37E23A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_Toc18290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第八章、双方责任和权利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_Toc18290 \h </w:instrText>
          </w:r>
          <w:r>
            <w:rPr>
              <w:color w:val="auto"/>
              <w:sz w:val="24"/>
              <w:szCs w:val="28"/>
              <w:highlight w:val="none"/>
            </w:rPr>
            <w:fldChar w:fldCharType="separate"/>
          </w:r>
          <w:r>
            <w:rPr>
              <w:color w:val="auto"/>
              <w:sz w:val="24"/>
              <w:szCs w:val="28"/>
              <w:highlight w:val="none"/>
            </w:rPr>
            <w:t>28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6C45091">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_Toc17662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第九章、安全生产、文明施工要求</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_Toc17662 \h </w:instrText>
          </w:r>
          <w:r>
            <w:rPr>
              <w:color w:val="auto"/>
              <w:sz w:val="24"/>
              <w:szCs w:val="28"/>
              <w:highlight w:val="none"/>
            </w:rPr>
            <w:fldChar w:fldCharType="separate"/>
          </w:r>
          <w:r>
            <w:rPr>
              <w:color w:val="auto"/>
              <w:sz w:val="24"/>
              <w:szCs w:val="28"/>
              <w:highlight w:val="none"/>
            </w:rPr>
            <w:t>34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DF8CD6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_Toc5829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第十章、甲供材料设备</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_Toc5829 \h </w:instrText>
          </w:r>
          <w:r>
            <w:rPr>
              <w:color w:val="auto"/>
              <w:sz w:val="24"/>
              <w:szCs w:val="28"/>
              <w:highlight w:val="none"/>
            </w:rPr>
            <w:fldChar w:fldCharType="separate"/>
          </w:r>
          <w:r>
            <w:rPr>
              <w:color w:val="auto"/>
              <w:sz w:val="24"/>
              <w:szCs w:val="28"/>
              <w:highlight w:val="none"/>
            </w:rPr>
            <w:t>35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76B724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_Toc2462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第十一章、验收及保修</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_Toc2462 \h </w:instrText>
          </w:r>
          <w:r>
            <w:rPr>
              <w:color w:val="auto"/>
              <w:sz w:val="24"/>
              <w:szCs w:val="28"/>
              <w:highlight w:val="none"/>
            </w:rPr>
            <w:fldChar w:fldCharType="separate"/>
          </w:r>
          <w:r>
            <w:rPr>
              <w:color w:val="auto"/>
              <w:sz w:val="24"/>
              <w:szCs w:val="28"/>
              <w:highlight w:val="none"/>
            </w:rPr>
            <w:t>36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C6132C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_Toc25142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第十二章、保险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_Toc25142 \h </w:instrText>
          </w:r>
          <w:r>
            <w:rPr>
              <w:color w:val="auto"/>
              <w:sz w:val="24"/>
              <w:szCs w:val="28"/>
              <w:highlight w:val="none"/>
            </w:rPr>
            <w:fldChar w:fldCharType="separate"/>
          </w:r>
          <w:r>
            <w:rPr>
              <w:color w:val="auto"/>
              <w:sz w:val="24"/>
              <w:szCs w:val="28"/>
              <w:highlight w:val="none"/>
            </w:rPr>
            <w:t>37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75612D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_Toc18420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第十三章、奖罚条款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_Toc18420 \h </w:instrText>
          </w:r>
          <w:r>
            <w:rPr>
              <w:color w:val="auto"/>
              <w:sz w:val="24"/>
              <w:szCs w:val="28"/>
              <w:highlight w:val="none"/>
            </w:rPr>
            <w:fldChar w:fldCharType="separate"/>
          </w:r>
          <w:r>
            <w:rPr>
              <w:color w:val="auto"/>
              <w:sz w:val="24"/>
              <w:szCs w:val="28"/>
              <w:highlight w:val="none"/>
            </w:rPr>
            <w:t>38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B0F1B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_Toc32604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第十四章、违约条款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_Toc32604 \h </w:instrText>
          </w:r>
          <w:r>
            <w:rPr>
              <w:color w:val="auto"/>
              <w:sz w:val="24"/>
              <w:szCs w:val="28"/>
              <w:highlight w:val="none"/>
            </w:rPr>
            <w:fldChar w:fldCharType="separate"/>
          </w:r>
          <w:r>
            <w:rPr>
              <w:color w:val="auto"/>
              <w:sz w:val="24"/>
              <w:szCs w:val="28"/>
              <w:highlight w:val="none"/>
            </w:rPr>
            <w:t>40</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6C49EA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_Toc14761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第十五章、廉洁条款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_Toc14761 \h </w:instrText>
          </w:r>
          <w:r>
            <w:rPr>
              <w:color w:val="auto"/>
              <w:sz w:val="24"/>
              <w:szCs w:val="28"/>
              <w:highlight w:val="none"/>
            </w:rPr>
            <w:fldChar w:fldCharType="separate"/>
          </w:r>
          <w:r>
            <w:rPr>
              <w:color w:val="auto"/>
              <w:sz w:val="24"/>
              <w:szCs w:val="28"/>
              <w:highlight w:val="none"/>
            </w:rPr>
            <w:t>40</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AEE844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_Toc23011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第十六章、其他</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_Toc23011 \h </w:instrText>
          </w:r>
          <w:r>
            <w:rPr>
              <w:color w:val="auto"/>
              <w:sz w:val="24"/>
              <w:szCs w:val="28"/>
              <w:highlight w:val="none"/>
            </w:rPr>
            <w:fldChar w:fldCharType="separate"/>
          </w:r>
          <w:r>
            <w:rPr>
              <w:color w:val="auto"/>
              <w:sz w:val="24"/>
              <w:szCs w:val="28"/>
              <w:highlight w:val="none"/>
            </w:rPr>
            <w:t>42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D2FCE7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r>
            <w:rPr>
              <w:rFonts w:hint="eastAsia" w:ascii="仿宋" w:hAnsi="仿宋" w:eastAsia="仿宋" w:cs="仿宋"/>
              <w:color w:val="auto"/>
              <w:szCs w:val="24"/>
              <w:highlight w:val="none"/>
            </w:rPr>
            <w:fldChar w:fldCharType="end"/>
          </w:r>
        </w:p>
      </w:sdtContent>
    </w:sdt>
    <w:p w14:paraId="45FD5DCB">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22" w:name="_Toc13672"/>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21"/>
      <w:bookmarkEnd w:id="22"/>
    </w:p>
    <w:p w14:paraId="43091672">
      <w:pPr>
        <w:keepNext w:val="0"/>
        <w:keepLines w:val="0"/>
        <w:pageBreakBefore w:val="0"/>
        <w:widowControl w:val="0"/>
        <w:tabs>
          <w:tab w:val="left" w:pos="6272"/>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在乙方确认并承诺自身满足本项目所在地住建主管部门资质和要求的前提下，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b/>
          <w:bCs/>
          <w:i w:val="0"/>
          <w:iCs w:val="0"/>
          <w:color w:val="auto"/>
          <w:sz w:val="28"/>
          <w:szCs w:val="28"/>
          <w:highlight w:val="none"/>
          <w:u w:val="single"/>
          <w:shd w:val="clear" w:color="auto" w:fill="auto"/>
          <w:lang w:val="en-US" w:eastAsia="zh-CN"/>
        </w:rPr>
        <w:t>东莞市常平镇环保专业基地洗水、印花污水处理厂-3号水池、配水井铝合金门窗、栏杆、盖板及零星五金制安工程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2E5B6B6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23" w:name="_Toc26146"/>
      <w:bookmarkStart w:id="24" w:name="_Toc1208"/>
      <w:bookmarkStart w:id="25" w:name="_Toc16629"/>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23"/>
      <w:bookmarkEnd w:id="24"/>
      <w:bookmarkEnd w:id="25"/>
    </w:p>
    <w:p w14:paraId="05E6E64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东莞市常平镇环保专业基地洗水、印花污水处理厂-3号水池、配水井</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本合同简称“本项目”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14:paraId="21EF577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东莞市常平镇司马环保工业路5号常平环保基地内污水处理厂内</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14:paraId="1DCBAA8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详见附件《报价清单》。</w:t>
      </w:r>
    </w:p>
    <w:p w14:paraId="64C00448">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乙方施工期间可使用甲方现场已有设施，甲方不另提供其他设施。本工程施工的水费、电费由甲方承担（水电接线由乙方负责），但乙方人员的生活电费由乙方承担且</w:t>
      </w:r>
      <w:r>
        <w:rPr>
          <w:rFonts w:hint="eastAsia" w:ascii="仿宋" w:hAnsi="仿宋" w:eastAsia="仿宋" w:cs="仿宋"/>
          <w:color w:val="auto"/>
          <w:sz w:val="28"/>
          <w:szCs w:val="28"/>
          <w:highlight w:val="none"/>
          <w:u w:val="single"/>
          <w:shd w:val="clear" w:color="auto" w:fill="auto"/>
        </w:rPr>
        <w:t>已含于各项合同单价中，不</w:t>
      </w:r>
      <w:r>
        <w:rPr>
          <w:rFonts w:hint="eastAsia" w:ascii="仿宋" w:hAnsi="仿宋" w:eastAsia="仿宋" w:cs="仿宋"/>
          <w:color w:val="auto"/>
          <w:sz w:val="28"/>
          <w:szCs w:val="28"/>
          <w:highlight w:val="none"/>
          <w:u w:val="single"/>
          <w:shd w:val="clear" w:color="auto" w:fill="auto"/>
          <w:lang w:val="en-US" w:eastAsia="zh-CN"/>
        </w:rPr>
        <w:t>另行</w:t>
      </w:r>
      <w:r>
        <w:rPr>
          <w:rFonts w:hint="eastAsia" w:ascii="仿宋" w:hAnsi="仿宋" w:eastAsia="仿宋" w:cs="仿宋"/>
          <w:color w:val="auto"/>
          <w:sz w:val="28"/>
          <w:szCs w:val="28"/>
          <w:highlight w:val="none"/>
          <w:u w:val="single"/>
          <w:shd w:val="clear" w:color="auto" w:fill="auto"/>
        </w:rPr>
        <w:t>单列计费</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p>
    <w:p w14:paraId="717C7C8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6" w:name="_Toc8658"/>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26"/>
    </w:p>
    <w:p w14:paraId="55CF04E2">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i w:val="0"/>
          <w:iCs w:val="0"/>
          <w:color w:val="auto"/>
          <w:sz w:val="28"/>
          <w:szCs w:val="28"/>
          <w:highlight w:val="none"/>
          <w:u w:val="none"/>
          <w:shd w:val="clear" w:color="auto" w:fill="auto"/>
          <w:lang w:val="en-US" w:eastAsia="zh-CN"/>
        </w:rPr>
        <w:t>包所有预留、预埋、安装、调试、试压、试水、试验等</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61C5EEA">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乙方绘制。</w:t>
      </w:r>
    </w:p>
    <w:p w14:paraId="33DBDE30">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2.3乙方按甲方要求对本工程进行深化设计，设计成果须经建设单位、甲方签字确认并作为乙方施工依据。</w:t>
      </w:r>
    </w:p>
    <w:p w14:paraId="4A94ED73">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7" w:name="_Toc31266"/>
      <w:bookmarkStart w:id="28" w:name="_Toc27213"/>
      <w:bookmarkStart w:id="29" w:name="_Toc9670"/>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27"/>
      <w:bookmarkEnd w:id="28"/>
      <w:bookmarkEnd w:id="29"/>
    </w:p>
    <w:p w14:paraId="303C945F">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3.1</w:t>
      </w:r>
      <w:r>
        <w:rPr>
          <w:rFonts w:hint="eastAsia" w:ascii="仿宋" w:hAnsi="仿宋" w:eastAsia="仿宋" w:cs="仿宋"/>
          <w:color w:val="auto"/>
          <w:sz w:val="28"/>
          <w:szCs w:val="28"/>
          <w:highlight w:val="none"/>
          <w:lang w:val="en-US" w:eastAsia="zh-CN"/>
        </w:rPr>
        <w:t>本项目及所辖的包括用地红线范围内及本工程图纸（即甲方确认的广州市创景市政工程设计有限公司设计的二0二五年三月版本工程施工图，详见附件《图纸目录清单》）范围及经甲方权限领导审批的本工程与本项目其他专业施工界限文件（如有）内的全部</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u w:val="single"/>
          <w:shd w:val="clear" w:color="auto" w:fill="auto"/>
          <w:lang w:val="en-US" w:eastAsia="zh-CN"/>
        </w:rPr>
        <w:t>铝合金门窗、金属栏杆、盖板、</w:t>
      </w:r>
      <w:r>
        <w:rPr>
          <w:rFonts w:hint="eastAsia" w:ascii="仿宋" w:hAnsi="仿宋" w:eastAsia="仿宋" w:cs="仿宋"/>
          <w:i w:val="0"/>
          <w:iCs w:val="0"/>
          <w:color w:val="auto"/>
          <w:sz w:val="28"/>
          <w:szCs w:val="28"/>
          <w:highlight w:val="none"/>
          <w:lang w:val="en-US" w:eastAsia="zh-CN"/>
        </w:rPr>
        <w:t>铝方通饰面、</w:t>
      </w:r>
      <w:r>
        <w:rPr>
          <w:rFonts w:hint="eastAsia" w:ascii="仿宋" w:hAnsi="仿宋" w:eastAsia="仿宋" w:cs="仿宋"/>
          <w:b/>
          <w:bCs/>
          <w:i w:val="0"/>
          <w:iCs w:val="0"/>
          <w:color w:val="auto"/>
          <w:sz w:val="28"/>
          <w:szCs w:val="28"/>
          <w:highlight w:val="none"/>
          <w:u w:val="single"/>
          <w:shd w:val="clear" w:color="auto" w:fill="auto"/>
          <w:lang w:val="en-US" w:eastAsia="zh-CN"/>
        </w:rPr>
        <w:t>爬梯及其他五金制安</w:t>
      </w:r>
      <w:r>
        <w:rPr>
          <w:rFonts w:hint="eastAsia" w:ascii="仿宋" w:hAnsi="仿宋" w:eastAsia="仿宋" w:cs="仿宋"/>
          <w:i w:val="0"/>
          <w:iCs w:val="0"/>
          <w:color w:val="auto"/>
          <w:sz w:val="28"/>
          <w:szCs w:val="28"/>
          <w:highlight w:val="none"/>
          <w:u w:val="single"/>
          <w:shd w:val="clear" w:color="auto" w:fill="auto"/>
          <w:lang w:val="en-US" w:eastAsia="zh-CN"/>
        </w:rPr>
        <w:t>等</w:t>
      </w:r>
      <w:r>
        <w:rPr>
          <w:rFonts w:hint="eastAsia" w:ascii="仿宋" w:hAnsi="仿宋" w:eastAsia="仿宋" w:cs="仿宋"/>
          <w:color w:val="auto"/>
          <w:sz w:val="28"/>
          <w:szCs w:val="28"/>
          <w:highlight w:val="none"/>
          <w:lang w:val="en-US" w:eastAsia="zh-CN"/>
        </w:rPr>
        <w:t>相关工程由乙方施工</w:t>
      </w:r>
      <w:r>
        <w:rPr>
          <w:rFonts w:hint="eastAsia" w:ascii="仿宋" w:hAnsi="仿宋" w:eastAsia="仿宋" w:cs="仿宋"/>
          <w:b w:val="0"/>
          <w:bCs w:val="0"/>
          <w:i w:val="0"/>
          <w:iCs w:val="0"/>
          <w:color w:val="auto"/>
          <w:sz w:val="28"/>
          <w:szCs w:val="28"/>
          <w:highlight w:val="none"/>
          <w:shd w:val="clear" w:color="auto" w:fill="auto"/>
        </w:rPr>
        <w:t>（具体施工范围</w:t>
      </w:r>
      <w:r>
        <w:rPr>
          <w:rFonts w:hint="eastAsia" w:ascii="仿宋" w:hAnsi="仿宋" w:eastAsia="仿宋" w:cs="仿宋"/>
          <w:b w:val="0"/>
          <w:bCs w:val="0"/>
          <w:i w:val="0"/>
          <w:iCs w:val="0"/>
          <w:color w:val="auto"/>
          <w:sz w:val="28"/>
          <w:szCs w:val="28"/>
          <w:highlight w:val="none"/>
          <w:shd w:val="clear" w:color="auto" w:fill="auto"/>
          <w:lang w:val="en-US" w:eastAsia="zh-CN"/>
        </w:rPr>
        <w:t>按甲方</w:t>
      </w:r>
      <w:r>
        <w:rPr>
          <w:rFonts w:hint="eastAsia" w:ascii="仿宋" w:hAnsi="仿宋" w:eastAsia="仿宋" w:cs="仿宋"/>
          <w:b w:val="0"/>
          <w:bCs w:val="0"/>
          <w:i w:val="0"/>
          <w:iCs w:val="0"/>
          <w:color w:val="auto"/>
          <w:sz w:val="28"/>
          <w:szCs w:val="28"/>
          <w:highlight w:val="none"/>
          <w:shd w:val="clear" w:color="auto" w:fill="auto"/>
        </w:rPr>
        <w:t>要求）</w:t>
      </w:r>
      <w:r>
        <w:rPr>
          <w:rFonts w:hint="eastAsia" w:ascii="仿宋" w:hAnsi="仿宋" w:eastAsia="仿宋" w:cs="仿宋"/>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rPr>
        <w:t>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、机具、施工管理等由乙方解决</w:t>
      </w:r>
      <w:r>
        <w:rPr>
          <w:rFonts w:hint="eastAsia" w:ascii="仿宋" w:hAnsi="仿宋" w:eastAsia="仿宋" w:cs="仿宋"/>
          <w:i w:val="0"/>
          <w:iCs w:val="0"/>
          <w:color w:val="auto"/>
          <w:sz w:val="28"/>
          <w:szCs w:val="28"/>
          <w:highlight w:val="none"/>
          <w:lang w:val="en-US" w:eastAsia="zh-CN"/>
        </w:rPr>
        <w:t>。</w:t>
      </w:r>
    </w:p>
    <w:p w14:paraId="42460306">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i w:val="0"/>
          <w:iCs w:val="0"/>
          <w:color w:val="auto"/>
          <w:sz w:val="28"/>
          <w:szCs w:val="28"/>
          <w:highlight w:val="none"/>
          <w:lang w:val="en-US" w:eastAsia="zh-CN"/>
        </w:rPr>
        <w:t>3.2</w:t>
      </w:r>
      <w:r>
        <w:rPr>
          <w:rFonts w:hint="eastAsia" w:ascii="仿宋" w:hAnsi="仿宋" w:eastAsia="仿宋" w:cs="仿宋"/>
          <w:b w:val="0"/>
          <w:bCs w:val="0"/>
          <w:i w:val="0"/>
          <w:iCs w:val="0"/>
          <w:color w:val="auto"/>
          <w:sz w:val="28"/>
          <w:szCs w:val="28"/>
          <w:highlight w:val="none"/>
          <w:shd w:val="clear" w:color="auto" w:fill="auto"/>
          <w:lang w:val="en-US" w:eastAsia="zh-CN"/>
        </w:rPr>
        <w:t>乙方负责的内容还包括但不限于</w:t>
      </w:r>
      <w:r>
        <w:rPr>
          <w:rFonts w:hint="eastAsia" w:ascii="仿宋" w:hAnsi="仿宋" w:eastAsia="仿宋" w:cs="仿宋"/>
          <w:b w:val="0"/>
          <w:bCs w:val="0"/>
          <w:i w:val="0"/>
          <w:iCs w:val="0"/>
          <w:color w:val="auto"/>
          <w:sz w:val="28"/>
          <w:szCs w:val="28"/>
          <w:highlight w:val="none"/>
          <w:u w:val="none"/>
          <w:lang w:val="en-US" w:eastAsia="zh-CN"/>
        </w:rPr>
        <w:t>：</w:t>
      </w:r>
    </w:p>
    <w:p w14:paraId="6F89B719">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3.2.1建筑外围不锈钢栏杆样式（方钢：立柱及面横杆60×25×3mm、横杆40×25×2mm、竖杆20×20×1.5mm，含预埋件）： </w:t>
      </w:r>
    </w:p>
    <w:p w14:paraId="068FA67C">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（1）1.2米高固定栏杆； </w:t>
      </w:r>
    </w:p>
    <w:p w14:paraId="26057A88">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（2）1.2米高LT01、LT03楼梯栏杆； </w:t>
      </w:r>
    </w:p>
    <w:p w14:paraId="60FF2A82">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（3）1.2米高景观栏杆； </w:t>
      </w:r>
    </w:p>
    <w:p w14:paraId="389628A5">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3.2.2建筑内池内防护栏杆样式（方钢：立柱及面横杆60×25×2mm、横杆40×25×1.5mm，含预埋件）： </w:t>
      </w:r>
    </w:p>
    <w:p w14:paraId="5A351825">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（1）1.1米高固定栏杆； </w:t>
      </w:r>
    </w:p>
    <w:p w14:paraId="3C6E150A">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（2）1.1米高可拆卸栏杆； </w:t>
      </w:r>
    </w:p>
    <w:p w14:paraId="736A1672">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（3）1.1米高LT04、LT05、LT06楼梯栏杆； </w:t>
      </w:r>
    </w:p>
    <w:p w14:paraId="6F696B20">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（4）1.2米高可拆卸栏杆； </w:t>
      </w:r>
    </w:p>
    <w:p w14:paraId="67A35BEF">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（5）1.1米高配水井栏杆； </w:t>
      </w:r>
    </w:p>
    <w:p w14:paraId="6B3CD3ED">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3.2.3女儿墙围挡不锈钢栏杆（方钢：立柱及面横杆60×25×2mm、横杆40×25×1.5mm，含预埋件）： 0.6米高围挡栏杆。 </w:t>
      </w:r>
    </w:p>
    <w:p w14:paraId="5EA37395">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3.2.4护窗栏杆｛参照22J403-1（HC7/4-24）｝规格：高0.9米，含预埋件。</w:t>
      </w:r>
    </w:p>
    <w:p w14:paraId="040EE444">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3.2.5高低压配电间和空压机房钢爬梯，含预埋件。 </w:t>
      </w:r>
    </w:p>
    <w:p w14:paraId="137CF152">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3.2.6备用堆泥间、粉焦车间阳角位防撞角铁，含预埋件。规格：L70×70×4t角铁、Ф10@300（L=100）。距地面100mm设置。高1200mm面刷黄黑相间警示油漆。 </w:t>
      </w:r>
    </w:p>
    <w:p w14:paraId="7DB7B894">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3.2.7钢结构树脂板雨棚（长8.5米、宽3.5米，做法参照07SG528-1第23页），含预埋件。 </w:t>
      </w:r>
    </w:p>
    <w:p w14:paraId="0382D864">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3.2.8雨水阀门井(含不锈钢爬梯）：对开式不锈钢检修门（带锁），荷载200kg/m，规格1.6×1.6。 </w:t>
      </w:r>
    </w:p>
    <w:p w14:paraId="2C62ADF1">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3.2.9热浸锌钢格板或玻璃钢格栅盖板（预埋L45×3热镀锌角钢一周）：</w:t>
      </w:r>
    </w:p>
    <w:p w14:paraId="1CEB4785">
      <w:pPr>
        <w:keepNext w:val="0"/>
        <w:keepLines w:val="0"/>
        <w:pageBreakBefore w:val="0"/>
        <w:widowControl w:val="0"/>
        <w:numPr>
          <w:ilvl w:val="0"/>
          <w:numId w:val="2"/>
        </w:numPr>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标高-4米污泥泵饭排水沟300×300、集水井1000×1000×800，含盖板、预埋L45×3热镀锌角钢。</w:t>
      </w:r>
    </w:p>
    <w:p w14:paraId="23BE381C">
      <w:pPr>
        <w:keepNext w:val="0"/>
        <w:keepLines w:val="0"/>
        <w:pageBreakBefore w:val="0"/>
        <w:widowControl w:val="0"/>
        <w:numPr>
          <w:ilvl w:val="0"/>
          <w:numId w:val="2"/>
        </w:numPr>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C35预制盖板（YB1、YB2、YB3）：含盖板、预埋L45×3热镀锌角钢。</w:t>
      </w:r>
    </w:p>
    <w:p w14:paraId="782CFB2A">
      <w:pPr>
        <w:keepNext w:val="0"/>
        <w:keepLines w:val="0"/>
        <w:pageBreakBefore w:val="0"/>
        <w:widowControl w:val="0"/>
        <w:numPr>
          <w:ilvl w:val="0"/>
          <w:numId w:val="2"/>
        </w:numPr>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标高0.2米处：粉焦车间、备用堆泥间、检查井盖板，预埋L45×3热镀锌角钢。</w:t>
      </w:r>
    </w:p>
    <w:p w14:paraId="42A4DAB8">
      <w:pPr>
        <w:keepNext w:val="0"/>
        <w:keepLines w:val="0"/>
        <w:pageBreakBefore w:val="0"/>
        <w:widowControl w:val="0"/>
        <w:numPr>
          <w:ilvl w:val="0"/>
          <w:numId w:val="2"/>
        </w:numPr>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标高5米处：巡视通道、管廊盖板，预埋L45×3热镀锌角钢。 </w:t>
      </w:r>
    </w:p>
    <w:p w14:paraId="22872C69">
      <w:pPr>
        <w:keepNext w:val="0"/>
        <w:keepLines w:val="0"/>
        <w:pageBreakBefore w:val="0"/>
        <w:widowControl w:val="0"/>
        <w:numPr>
          <w:ilvl w:val="0"/>
          <w:numId w:val="2"/>
        </w:numPr>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标高14.9米处：巡视通道盖板，预埋L45×3热镀锌角钢。</w:t>
      </w:r>
    </w:p>
    <w:p w14:paraId="7D0E818A">
      <w:pPr>
        <w:keepNext w:val="0"/>
        <w:keepLines w:val="0"/>
        <w:pageBreakBefore w:val="0"/>
        <w:widowControl w:val="0"/>
        <w:numPr>
          <w:ilvl w:val="0"/>
          <w:numId w:val="2"/>
        </w:numPr>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池体屋面盖板，预埋L45×3热镀锌角钢。</w:t>
      </w:r>
    </w:p>
    <w:p w14:paraId="1937F131">
      <w:pPr>
        <w:keepNext w:val="0"/>
        <w:keepLines w:val="0"/>
        <w:pageBreakBefore w:val="0"/>
        <w:widowControl w:val="0"/>
        <w:numPr>
          <w:ilvl w:val="0"/>
          <w:numId w:val="2"/>
        </w:numPr>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室外排水沟（明沟），成品雨水篦子盖板，预埋L45×3热镀锌角钢。 </w:t>
      </w:r>
    </w:p>
    <w:p w14:paraId="48232434">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3.2.10粉末静电喷涂灰色铝合金窗（成品），消防救援窗（易碎玻璃）。</w:t>
      </w:r>
    </w:p>
    <w:p w14:paraId="4FEDD462">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 xml:space="preserve">3.2.11内墙与窗交接处防火封堵：施工顺序：防火胶泥封堵-填满岩棉板-竖向轻钢龙骨（外刷涂防火涂料-10厚双层石膏板面自攻螺钉紧固-1.5厚通高槽铝收边-防火胶泥封堵。 </w:t>
      </w:r>
    </w:p>
    <w:p w14:paraId="7C78C015">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3.2.12高玻璃栏杆，做法详图纸及甲方要求。</w:t>
      </w:r>
    </w:p>
    <w:p w14:paraId="28C1B31D">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3.2.13厂区大门：</w:t>
      </w:r>
    </w:p>
    <w:p w14:paraId="490DD6B2">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（1）成品不锈钢车行道闸。</w:t>
      </w:r>
    </w:p>
    <w:p w14:paraId="70171E91">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（2）成品不锈钢人行闸机。</w:t>
      </w:r>
    </w:p>
    <w:p w14:paraId="3D30AABF">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（3）1.2厚不锈钢钢板，贴墙白色字体（字高500，厚30），字间距45，内藏LED灯带。</w:t>
      </w:r>
    </w:p>
    <w:p w14:paraId="7A8E31E6">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3.2.14上述第3.2.1-3.2.13条内容仅为概述，具体</w:t>
      </w:r>
      <w:r>
        <w:rPr>
          <w:rFonts w:hint="eastAsia" w:ascii="仿宋" w:hAnsi="仿宋" w:eastAsia="仿宋" w:cs="仿宋"/>
          <w:b w:val="0"/>
          <w:bCs w:val="0"/>
          <w:i w:val="0"/>
          <w:iCs w:val="0"/>
          <w:color w:val="auto"/>
          <w:sz w:val="28"/>
          <w:szCs w:val="28"/>
          <w:highlight w:val="none"/>
          <w:lang w:val="en-US" w:eastAsia="zh-CN"/>
        </w:rPr>
        <w:t>施工范围、内容以</w:t>
      </w:r>
      <w:r>
        <w:rPr>
          <w:rFonts w:hint="eastAsia" w:ascii="仿宋" w:hAnsi="仿宋" w:eastAsia="仿宋" w:cs="仿宋"/>
          <w:b w:val="0"/>
          <w:bCs w:val="0"/>
          <w:i w:val="0"/>
          <w:iCs w:val="0"/>
          <w:color w:val="auto"/>
          <w:sz w:val="28"/>
          <w:szCs w:val="28"/>
          <w:highlight w:val="none"/>
          <w:u w:val="none"/>
          <w:shd w:val="clear" w:color="auto" w:fill="auto"/>
          <w:lang w:val="en-US" w:eastAsia="zh-CN"/>
        </w:rPr>
        <w:t>甲方提供的施工图纸、施工方案、图纸会审、工程量清单、交楼标准为准，互有矛盾的，以甲方最终确认为准，但乙方不得因此调增合同单价。</w:t>
      </w:r>
    </w:p>
    <w:p w14:paraId="0EACF3E4">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3.2.15乙方须严格执行甲方发布的质量通病细则。</w:t>
      </w:r>
    </w:p>
    <w:p w14:paraId="42FEBD70">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 xml:space="preserve">3.2.16本工程图纸的漏项、错项内容，非重大工程量变更的施工图纸调整内容，本工程图纸、报价清单未列明但属于本工程合理施工范围或完成本工程所需进行的施工内容等。 </w:t>
      </w:r>
    </w:p>
    <w:p w14:paraId="6BD88B45">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3.2.17乙方负责对本工程的相关施工机械及总分配电箱、电缆线进行维护、保养。甲方只负责将配电箱接至施工区域附近，乙方自行接至工作面开关箱，电线、电缆由乙方负责。</w:t>
      </w:r>
    </w:p>
    <w:p w14:paraId="7684C3C7">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3.2.18乙方自备如下施工材料：本工程整改或返工所用材料以及完成本工程所涉材料，仅不含本合同约定的甲供材（如有）。</w:t>
      </w:r>
    </w:p>
    <w:p w14:paraId="0A483FD3">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3.2.19除本合同已明确的甲供机具（如有）外，本工程整改或返工所用机具以及完成本工程所涉的其他机具均由乙方自行提供。乙方自备机具的维修及养护由乙方自行负责。乙方自备/采购的材料、设备或小型机具必须符合使用规范及本项目施工总承包合同的要求。</w:t>
      </w:r>
    </w:p>
    <w:p w14:paraId="322FB960">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3.2.20本工程因乙方原因返工所需的全部材料、机具由乙方自备。本合同约定的甲供材和甲供机具仅供乙方第一次施工本工程。</w:t>
      </w:r>
    </w:p>
    <w:p w14:paraId="20143425">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3.2.21本工程须满足建设单位的交楼标准要求，须满足本项目所在地政府监管部门安全管理标准化施工要求。</w:t>
      </w:r>
    </w:p>
    <w:p w14:paraId="32250BF1">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3.2.22乙方自行负责施工管理，自行组织本工程施工的相关质量、安全、进度、成本等现场组织管理工作，施工方案以甲方书面确定的为准。</w:t>
      </w:r>
    </w:p>
    <w:p w14:paraId="31B3BD7F">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3.2.23乙方负责本工程工作面上所用材料、机具、垃圾的清理，做到工完场清，并自行负责有机物垃圾的处置，隐蔽工程验收前把工作面有关材料、机具、垃圾清理到甲方指定位置。</w:t>
      </w:r>
    </w:p>
    <w:p w14:paraId="40ECCA61">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3.2.24本工程使用的材料、机械设备，如因施工环境和场地限制，汽车不能直接运至现场（不能直接原车运到施工组织设计要求的范围内的堆放地点），由乙方负责再次运输及二次装运卸。</w:t>
      </w:r>
    </w:p>
    <w:p w14:paraId="480C86A9">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b/>
          <w:bCs/>
          <w:i w:val="0"/>
          <w:iCs w:val="0"/>
          <w:color w:val="auto"/>
          <w:sz w:val="28"/>
          <w:szCs w:val="28"/>
          <w:highlight w:val="none"/>
          <w:u w:val="none"/>
          <w:shd w:val="clear" w:color="auto" w:fill="auto"/>
          <w:lang w:val="en-US" w:eastAsia="zh-CN"/>
        </w:rPr>
      </w:pPr>
      <w:bookmarkStart w:id="30" w:name="_Toc15548"/>
      <w:bookmarkStart w:id="31" w:name="_Toc15468"/>
      <w:r>
        <w:rPr>
          <w:rFonts w:hint="eastAsia" w:ascii="仿宋" w:hAnsi="仿宋" w:eastAsia="仿宋" w:cs="仿宋"/>
          <w:i w:val="0"/>
          <w:iCs w:val="0"/>
          <w:color w:val="auto"/>
          <w:sz w:val="28"/>
          <w:szCs w:val="28"/>
          <w:highlight w:val="none"/>
          <w:lang w:val="en-US" w:eastAsia="zh-CN"/>
        </w:rPr>
        <w:t>3.3</w:t>
      </w:r>
      <w:r>
        <w:rPr>
          <w:rFonts w:hint="eastAsia" w:ascii="仿宋" w:hAnsi="仿宋" w:eastAsia="仿宋" w:cs="仿宋"/>
          <w:b/>
          <w:bCs/>
          <w:i w:val="0"/>
          <w:iCs w:val="0"/>
          <w:color w:val="auto"/>
          <w:sz w:val="28"/>
          <w:szCs w:val="28"/>
          <w:highlight w:val="none"/>
          <w:u w:val="single"/>
          <w:shd w:val="clear" w:color="auto" w:fill="auto"/>
          <w:lang w:val="en-US" w:eastAsia="zh-CN"/>
        </w:rPr>
        <w:t>乙方完成前述内容的</w:t>
      </w:r>
      <w:r>
        <w:rPr>
          <w:rFonts w:hint="eastAsia" w:ascii="仿宋" w:hAnsi="仿宋" w:eastAsia="仿宋" w:cs="仿宋"/>
          <w:b w:val="0"/>
          <w:bCs w:val="0"/>
          <w:i w:val="0"/>
          <w:iCs w:val="0"/>
          <w:color w:val="auto"/>
          <w:sz w:val="28"/>
          <w:szCs w:val="28"/>
          <w:highlight w:val="none"/>
          <w:u w:val="none"/>
          <w:shd w:val="clear" w:color="auto" w:fill="auto"/>
          <w:lang w:val="en-US" w:eastAsia="zh-CN"/>
        </w:rPr>
        <w:t>相关费用已含在</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合同总价内</w:t>
      </w:r>
      <w:r>
        <w:rPr>
          <w:rFonts w:hint="eastAsia" w:ascii="仿宋" w:hAnsi="仿宋" w:eastAsia="仿宋" w:cs="仿宋"/>
          <w:b/>
          <w:bCs/>
          <w:i w:val="0"/>
          <w:iCs w:val="0"/>
          <w:color w:val="auto"/>
          <w:sz w:val="28"/>
          <w:szCs w:val="28"/>
          <w:highlight w:val="none"/>
          <w:u w:val="single"/>
          <w:shd w:val="clear" w:color="auto" w:fill="auto"/>
          <w:lang w:val="en-US" w:eastAsia="zh-CN"/>
        </w:rPr>
        <w:t>，不属于增加工程</w:t>
      </w:r>
      <w:r>
        <w:rPr>
          <w:rFonts w:hint="eastAsia" w:ascii="仿宋" w:hAnsi="仿宋" w:eastAsia="仿宋" w:cs="仿宋"/>
          <w:b w:val="0"/>
          <w:bCs w:val="0"/>
          <w:i w:val="0"/>
          <w:iCs w:val="0"/>
          <w:color w:val="auto"/>
          <w:sz w:val="28"/>
          <w:szCs w:val="28"/>
          <w:highlight w:val="none"/>
          <w:u w:val="none"/>
          <w:shd w:val="clear" w:color="auto" w:fill="auto"/>
          <w:lang w:val="en-US" w:eastAsia="zh-CN"/>
        </w:rPr>
        <w:t>，甲方不另行付费给乙方</w:t>
      </w:r>
      <w:r>
        <w:rPr>
          <w:rFonts w:hint="eastAsia" w:ascii="仿宋" w:hAnsi="仿宋" w:eastAsia="仿宋" w:cs="仿宋"/>
          <w:b/>
          <w:bCs/>
          <w:i w:val="0"/>
          <w:iCs w:val="0"/>
          <w:color w:val="auto"/>
          <w:sz w:val="28"/>
          <w:szCs w:val="28"/>
          <w:highlight w:val="none"/>
          <w:u w:val="none"/>
          <w:shd w:val="clear" w:color="auto" w:fill="auto"/>
          <w:lang w:val="en-US" w:eastAsia="zh-CN"/>
        </w:rPr>
        <w:t>。</w:t>
      </w:r>
    </w:p>
    <w:p w14:paraId="28D5CCF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2" w:name="_Toc12329"/>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30"/>
      <w:bookmarkEnd w:id="31"/>
      <w:bookmarkEnd w:id="32"/>
    </w:p>
    <w:p w14:paraId="1D03B91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r>
        <w:rPr>
          <w:rFonts w:hint="eastAsia" w:ascii="仿宋" w:hAnsi="仿宋" w:eastAsia="仿宋" w:cs="仿宋"/>
          <w:i w:val="0"/>
          <w:iCs w:val="0"/>
          <w:color w:val="auto"/>
          <w:sz w:val="28"/>
          <w:szCs w:val="28"/>
          <w:highlight w:val="none"/>
          <w:shd w:val="clear" w:color="auto" w:fill="auto"/>
          <w:lang w:val="en-US" w:eastAsia="zh-CN"/>
        </w:rPr>
        <w:t>：</w:t>
      </w:r>
    </w:p>
    <w:tbl>
      <w:tblPr>
        <w:tblStyle w:val="15"/>
        <w:tblpPr w:leftFromText="180" w:rightFromText="180" w:vertAnchor="text" w:horzAnchor="page" w:tblpX="1177" w:tblpY="1"/>
        <w:tblOverlap w:val="never"/>
        <w:tblW w:w="94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2168"/>
        <w:gridCol w:w="1595"/>
        <w:gridCol w:w="2073"/>
        <w:gridCol w:w="1957"/>
        <w:gridCol w:w="1025"/>
      </w:tblGrid>
      <w:tr w14:paraId="20FF8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626" w:type="dxa"/>
            <w:tcBorders>
              <w:tl2br w:val="nil"/>
              <w:tr2bl w:val="nil"/>
            </w:tcBorders>
            <w:noWrap/>
            <w:tcMar>
              <w:top w:w="15" w:type="dxa"/>
              <w:left w:w="15" w:type="dxa"/>
              <w:right w:w="15" w:type="dxa"/>
            </w:tcMar>
            <w:vAlign w:val="center"/>
          </w:tcPr>
          <w:p w14:paraId="2D8B8B9D">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left"/>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序号</w:t>
            </w:r>
          </w:p>
        </w:tc>
        <w:tc>
          <w:tcPr>
            <w:tcW w:w="2168" w:type="dxa"/>
            <w:tcBorders>
              <w:tl2br w:val="nil"/>
              <w:tr2bl w:val="nil"/>
            </w:tcBorders>
            <w:noWrap/>
            <w:tcMar>
              <w:top w:w="15" w:type="dxa"/>
              <w:left w:w="15" w:type="dxa"/>
              <w:right w:w="15" w:type="dxa"/>
            </w:tcMar>
            <w:vAlign w:val="center"/>
          </w:tcPr>
          <w:p w14:paraId="60626208">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楼栋及组团</w:t>
            </w:r>
          </w:p>
        </w:tc>
        <w:tc>
          <w:tcPr>
            <w:tcW w:w="1595" w:type="dxa"/>
            <w:tcBorders>
              <w:tl2br w:val="nil"/>
              <w:tr2bl w:val="nil"/>
            </w:tcBorders>
            <w:noWrap/>
            <w:tcMar>
              <w:top w:w="15" w:type="dxa"/>
              <w:left w:w="15" w:type="dxa"/>
              <w:right w:w="15" w:type="dxa"/>
            </w:tcMar>
            <w:vAlign w:val="center"/>
          </w:tcPr>
          <w:p w14:paraId="6342D5BA">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合同工期</w:t>
            </w:r>
          </w:p>
          <w:p w14:paraId="7B3FE2E6">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（日历天）</w:t>
            </w:r>
          </w:p>
        </w:tc>
        <w:tc>
          <w:tcPr>
            <w:tcW w:w="2073" w:type="dxa"/>
            <w:tcBorders>
              <w:tl2br w:val="nil"/>
              <w:tr2bl w:val="nil"/>
            </w:tcBorders>
            <w:noWrap/>
            <w:tcMar>
              <w:top w:w="15" w:type="dxa"/>
              <w:left w:w="15" w:type="dxa"/>
              <w:right w:w="15" w:type="dxa"/>
            </w:tcMar>
            <w:vAlign w:val="center"/>
          </w:tcPr>
          <w:p w14:paraId="7C5B1787">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计划进场开工日期</w:t>
            </w:r>
          </w:p>
        </w:tc>
        <w:tc>
          <w:tcPr>
            <w:tcW w:w="1957" w:type="dxa"/>
            <w:tcBorders>
              <w:tl2br w:val="nil"/>
              <w:tr2bl w:val="nil"/>
            </w:tcBorders>
            <w:noWrap/>
            <w:tcMar>
              <w:top w:w="15" w:type="dxa"/>
              <w:left w:w="15" w:type="dxa"/>
              <w:right w:w="15" w:type="dxa"/>
            </w:tcMar>
            <w:vAlign w:val="center"/>
          </w:tcPr>
          <w:p w14:paraId="0ECD2755">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计划完工日期</w:t>
            </w:r>
          </w:p>
        </w:tc>
        <w:tc>
          <w:tcPr>
            <w:tcW w:w="1025" w:type="dxa"/>
            <w:tcBorders>
              <w:tl2br w:val="nil"/>
              <w:tr2bl w:val="nil"/>
            </w:tcBorders>
            <w:noWrap/>
            <w:tcMar>
              <w:top w:w="15" w:type="dxa"/>
              <w:left w:w="15" w:type="dxa"/>
              <w:right w:w="15" w:type="dxa"/>
            </w:tcMar>
            <w:vAlign w:val="center"/>
          </w:tcPr>
          <w:p w14:paraId="4A45461A">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220" w:firstLineChars="100"/>
              <w:jc w:val="left"/>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备 注</w:t>
            </w:r>
          </w:p>
        </w:tc>
      </w:tr>
      <w:tr w14:paraId="13D04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626" w:type="dxa"/>
            <w:tcBorders>
              <w:tl2br w:val="nil"/>
              <w:tr2bl w:val="nil"/>
            </w:tcBorders>
            <w:noWrap/>
            <w:tcMar>
              <w:top w:w="15" w:type="dxa"/>
              <w:left w:w="15" w:type="dxa"/>
              <w:right w:w="15" w:type="dxa"/>
            </w:tcMar>
            <w:vAlign w:val="center"/>
          </w:tcPr>
          <w:p w14:paraId="2F314A82">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firstLine="220" w:firstLineChars="100"/>
              <w:jc w:val="both"/>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1</w:t>
            </w:r>
          </w:p>
        </w:tc>
        <w:tc>
          <w:tcPr>
            <w:tcW w:w="2168" w:type="dxa"/>
            <w:tcBorders>
              <w:tl2br w:val="nil"/>
              <w:tr2bl w:val="nil"/>
            </w:tcBorders>
            <w:noWrap/>
            <w:tcMar>
              <w:top w:w="15" w:type="dxa"/>
              <w:left w:w="15" w:type="dxa"/>
              <w:right w:w="15" w:type="dxa"/>
            </w:tcMar>
            <w:vAlign w:val="center"/>
          </w:tcPr>
          <w:p w14:paraId="79273BB9">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0" w:leftChars="0" w:right="0" w:rightChars="0"/>
              <w:jc w:val="left"/>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本工程及其配套附属工程</w:t>
            </w:r>
          </w:p>
        </w:tc>
        <w:tc>
          <w:tcPr>
            <w:tcW w:w="1595" w:type="dxa"/>
            <w:tcBorders>
              <w:tl2br w:val="nil"/>
              <w:tr2bl w:val="nil"/>
            </w:tcBorders>
            <w:noWrap/>
            <w:tcMar>
              <w:top w:w="15" w:type="dxa"/>
              <w:left w:w="15" w:type="dxa"/>
              <w:right w:w="15" w:type="dxa"/>
            </w:tcMar>
            <w:vAlign w:val="center"/>
          </w:tcPr>
          <w:p w14:paraId="0A2817A2">
            <w:pPr>
              <w:pStyle w:val="3"/>
              <w:jc w:val="center"/>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324天</w:t>
            </w:r>
          </w:p>
        </w:tc>
        <w:tc>
          <w:tcPr>
            <w:tcW w:w="2073" w:type="dxa"/>
            <w:tcBorders>
              <w:tl2br w:val="nil"/>
              <w:tr2bl w:val="nil"/>
            </w:tcBorders>
            <w:noWrap/>
            <w:tcMar>
              <w:top w:w="15" w:type="dxa"/>
              <w:left w:w="15" w:type="dxa"/>
              <w:right w:w="15" w:type="dxa"/>
            </w:tcMar>
            <w:vAlign w:val="center"/>
          </w:tcPr>
          <w:p w14:paraId="5141B3E6">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2025年10月5日</w:t>
            </w:r>
          </w:p>
        </w:tc>
        <w:tc>
          <w:tcPr>
            <w:tcW w:w="1957" w:type="dxa"/>
            <w:tcBorders>
              <w:tl2br w:val="nil"/>
              <w:tr2bl w:val="nil"/>
            </w:tcBorders>
            <w:noWrap/>
            <w:tcMar>
              <w:top w:w="15" w:type="dxa"/>
              <w:left w:w="15" w:type="dxa"/>
              <w:right w:w="15" w:type="dxa"/>
            </w:tcMar>
            <w:vAlign w:val="center"/>
          </w:tcPr>
          <w:p w14:paraId="792A6592">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r>
              <w:rPr>
                <w:rFonts w:hint="eastAsia" w:ascii="宋体" w:hAnsi="宋体" w:eastAsia="宋体" w:cs="宋体"/>
                <w:b w:val="0"/>
                <w:bCs w:val="0"/>
                <w:i w:val="0"/>
                <w:iCs w:val="0"/>
                <w:color w:val="auto"/>
                <w:sz w:val="22"/>
                <w:szCs w:val="22"/>
                <w:highlight w:val="none"/>
                <w:lang w:val="en-US" w:eastAsia="zh-CN"/>
              </w:rPr>
              <w:t>2026年8月25日</w:t>
            </w:r>
          </w:p>
        </w:tc>
        <w:tc>
          <w:tcPr>
            <w:tcW w:w="1025" w:type="dxa"/>
            <w:tcBorders>
              <w:tl2br w:val="nil"/>
              <w:tr2bl w:val="nil"/>
            </w:tcBorders>
            <w:noWrap/>
            <w:tcMar>
              <w:top w:w="15" w:type="dxa"/>
              <w:left w:w="15" w:type="dxa"/>
              <w:right w:w="15" w:type="dxa"/>
            </w:tcMar>
            <w:vAlign w:val="center"/>
          </w:tcPr>
          <w:p w14:paraId="5C3E8114">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宋体" w:hAnsi="宋体" w:eastAsia="宋体" w:cs="宋体"/>
                <w:b w:val="0"/>
                <w:bCs w:val="0"/>
                <w:i w:val="0"/>
                <w:iCs w:val="0"/>
                <w:color w:val="auto"/>
                <w:sz w:val="22"/>
                <w:szCs w:val="22"/>
                <w:highlight w:val="none"/>
                <w:lang w:val="en-US" w:eastAsia="zh-CN"/>
              </w:rPr>
            </w:pPr>
          </w:p>
        </w:tc>
      </w:tr>
    </w:tbl>
    <w:p w14:paraId="6E991E55">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工期以全面满足甲方要求为准。甲方通知之日起24小时内，乙方项目现场负责人及主要工作人员须进场开始工作，具体按甲方要求为准，必须满足甲方项目工期要求。</w:t>
      </w:r>
      <w:bookmarkStart w:id="33" w:name="_Toc22079"/>
      <w:bookmarkStart w:id="34" w:name="_Toc541"/>
      <w:bookmarkStart w:id="35" w:name="_Toc3824"/>
    </w:p>
    <w:p w14:paraId="5F31C07B">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4.2本工程深化设计内容和提交时间：甲方提供给乙方待深化设计的图纸之日起 3 个日历天内，乙方交齐图纸疑问、错、漏、缺等问题给甲方；乙方在甲方完成答复之日起 7 个日历天内完成深化设计工作，并将深化设计成果（包括本工程主要材料样板一式</w:t>
      </w:r>
      <w:r>
        <w:rPr>
          <w:rFonts w:hint="eastAsia" w:ascii="仿宋" w:hAnsi="仿宋" w:eastAsia="仿宋" w:cs="仿宋"/>
          <w:i w:val="0"/>
          <w:iCs w:val="0"/>
          <w:color w:val="auto"/>
          <w:sz w:val="28"/>
          <w:szCs w:val="28"/>
          <w:highlight w:val="none"/>
          <w:u w:val="single"/>
          <w:lang w:val="en-US" w:eastAsia="zh-CN"/>
        </w:rPr>
        <w:t xml:space="preserve"> 一 </w:t>
      </w:r>
      <w:r>
        <w:rPr>
          <w:rFonts w:hint="eastAsia" w:ascii="仿宋" w:hAnsi="仿宋" w:eastAsia="仿宋" w:cs="仿宋"/>
          <w:i w:val="0"/>
          <w:iCs w:val="0"/>
          <w:color w:val="auto"/>
          <w:sz w:val="28"/>
          <w:szCs w:val="28"/>
          <w:highlight w:val="none"/>
          <w:lang w:val="en-US" w:eastAsia="zh-CN"/>
        </w:rPr>
        <w:t>份，</w:t>
      </w:r>
      <w:r>
        <w:rPr>
          <w:rFonts w:hint="eastAsia" w:ascii="仿宋" w:hAnsi="仿宋" w:eastAsia="仿宋" w:cs="仿宋"/>
          <w:color w:val="auto"/>
          <w:sz w:val="28"/>
          <w:szCs w:val="28"/>
          <w:highlight w:val="none"/>
        </w:rPr>
        <w:t>CAD电子版图纸及</w:t>
      </w:r>
      <w:r>
        <w:rPr>
          <w:rFonts w:hint="eastAsia" w:ascii="仿宋" w:hAnsi="仿宋" w:eastAsia="仿宋" w:cs="仿宋"/>
          <w:color w:val="auto"/>
          <w:sz w:val="28"/>
          <w:szCs w:val="28"/>
          <w:highlight w:val="none"/>
          <w:lang w:val="en-US" w:eastAsia="zh-CN"/>
        </w:rPr>
        <w:t>一式</w:t>
      </w:r>
      <w:r>
        <w:rPr>
          <w:rFonts w:hint="eastAsia" w:ascii="仿宋" w:hAnsi="仿宋" w:eastAsia="仿宋" w:cs="仿宋"/>
          <w:color w:val="auto"/>
          <w:sz w:val="28"/>
          <w:szCs w:val="28"/>
          <w:highlight w:val="none"/>
          <w:u w:val="single"/>
          <w:lang w:val="en-US" w:eastAsia="zh-CN"/>
        </w:rPr>
        <w:t xml:space="preserve"> 四 </w:t>
      </w:r>
      <w:r>
        <w:rPr>
          <w:rFonts w:hint="eastAsia" w:ascii="仿宋" w:hAnsi="仿宋" w:eastAsia="仿宋" w:cs="仿宋"/>
          <w:color w:val="auto"/>
          <w:sz w:val="28"/>
          <w:szCs w:val="28"/>
          <w:highlight w:val="none"/>
          <w:lang w:val="en-US" w:eastAsia="zh-CN"/>
        </w:rPr>
        <w:t>份</w:t>
      </w:r>
      <w:r>
        <w:rPr>
          <w:rFonts w:hint="eastAsia" w:ascii="仿宋" w:hAnsi="仿宋" w:eastAsia="仿宋" w:cs="仿宋"/>
          <w:color w:val="auto"/>
          <w:sz w:val="28"/>
          <w:szCs w:val="28"/>
          <w:highlight w:val="none"/>
        </w:rPr>
        <w:t>纸质版蓝图</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提交甲方审核。</w:t>
      </w:r>
    </w:p>
    <w:p w14:paraId="0A00BA8B">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4.3乙方应在本合同签订生效后</w:t>
      </w:r>
      <w:r>
        <w:rPr>
          <w:rFonts w:hint="eastAsia" w:ascii="仿宋" w:hAnsi="仿宋" w:eastAsia="仿宋" w:cs="仿宋"/>
          <w:i w:val="0"/>
          <w:iCs w:val="0"/>
          <w:color w:val="auto"/>
          <w:sz w:val="28"/>
          <w:szCs w:val="28"/>
          <w:highlight w:val="none"/>
          <w:lang w:val="en-US" w:eastAsia="zh-CN"/>
        </w:rPr>
        <w:tab/>
      </w:r>
      <w:r>
        <w:rPr>
          <w:rFonts w:hint="eastAsia" w:ascii="仿宋" w:hAnsi="仿宋" w:eastAsia="仿宋" w:cs="仿宋"/>
          <w:i w:val="0"/>
          <w:iCs w:val="0"/>
          <w:color w:val="auto"/>
          <w:sz w:val="28"/>
          <w:szCs w:val="28"/>
          <w:highlight w:val="none"/>
          <w:u w:val="single"/>
          <w:lang w:val="en-US" w:eastAsia="zh-CN"/>
        </w:rPr>
        <w:t xml:space="preserve"> 7 </w:t>
      </w:r>
      <w:r>
        <w:rPr>
          <w:rFonts w:hint="eastAsia" w:ascii="仿宋" w:hAnsi="仿宋" w:eastAsia="仿宋" w:cs="仿宋"/>
          <w:i w:val="0"/>
          <w:iCs w:val="0"/>
          <w:color w:val="auto"/>
          <w:sz w:val="28"/>
          <w:szCs w:val="28"/>
          <w:highlight w:val="none"/>
          <w:lang w:val="en-US" w:eastAsia="zh-CN"/>
        </w:rPr>
        <w:t>天内向甲方项目经理提交本工程总体进度计划、施工组织设计，以及年、季度、月度、周工程进度计划和相应的进度统计报表。乙方编制的进度计划必须符合建设单位及甲方的“总控计划”和本合同要求，并承诺关键线路工作不延误。</w:t>
      </w:r>
    </w:p>
    <w:p w14:paraId="3D076B00">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4.4所有材料的选样过程以及样板送审所需时间已包含在合同工期内，不另计工期。</w:t>
      </w:r>
    </w:p>
    <w:p w14:paraId="1D53A66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4.5</w:t>
      </w:r>
      <w:r>
        <w:rPr>
          <w:rFonts w:hint="eastAsia" w:ascii="仿宋" w:hAnsi="仿宋" w:eastAsia="仿宋" w:cs="仿宋"/>
          <w:i w:val="0"/>
          <w:iCs w:val="0"/>
          <w:color w:val="auto"/>
          <w:sz w:val="28"/>
          <w:szCs w:val="28"/>
          <w:highlight w:val="none"/>
          <w:shd w:val="clear" w:color="auto" w:fill="auto"/>
          <w:lang w:val="en-US" w:eastAsia="zh-CN"/>
        </w:rPr>
        <w:t>乙方必须满足甲方的工期要求，配备符合本工程需求的熟练技术工人不少于</w:t>
      </w:r>
      <w:r>
        <w:rPr>
          <w:rFonts w:hint="eastAsia" w:ascii="仿宋" w:hAnsi="仿宋" w:eastAsia="仿宋" w:cs="仿宋"/>
          <w:i w:val="0"/>
          <w:iCs w:val="0"/>
          <w:color w:val="auto"/>
          <w:sz w:val="28"/>
          <w:szCs w:val="28"/>
          <w:highlight w:val="none"/>
          <w:u w:val="single"/>
          <w:shd w:val="clear" w:color="auto" w:fill="auto"/>
          <w:lang w:val="en-US" w:eastAsia="zh-CN"/>
        </w:rPr>
        <w:t xml:space="preserve"> 8 </w:t>
      </w:r>
      <w:r>
        <w:rPr>
          <w:rFonts w:hint="eastAsia" w:ascii="仿宋" w:hAnsi="仿宋" w:eastAsia="仿宋" w:cs="仿宋"/>
          <w:i w:val="0"/>
          <w:iCs w:val="0"/>
          <w:color w:val="auto"/>
          <w:sz w:val="28"/>
          <w:szCs w:val="28"/>
          <w:highlight w:val="none"/>
          <w:shd w:val="clear" w:color="auto" w:fill="auto"/>
          <w:lang w:val="en-US" w:eastAsia="zh-CN"/>
        </w:rPr>
        <w:t>人（以满足甲方的进度要求为准），随时增加或减少乙方人员以满足本项目施工要求。</w:t>
      </w:r>
    </w:p>
    <w:p w14:paraId="645EED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4.6其他：</w:t>
      </w:r>
      <w:r>
        <w:rPr>
          <w:rFonts w:hint="eastAsia" w:ascii="仿宋" w:hAnsi="仿宋" w:eastAsia="仿宋" w:cs="仿宋"/>
          <w:i w:val="0"/>
          <w:iCs w:val="0"/>
          <w:color w:val="auto"/>
          <w:sz w:val="28"/>
          <w:szCs w:val="28"/>
          <w:highlight w:val="none"/>
          <w:u w:val="single"/>
          <w:shd w:val="clear" w:color="auto" w:fill="auto"/>
          <w:lang w:val="en-US" w:eastAsia="zh-CN"/>
        </w:rPr>
        <w:t>无</w:t>
      </w:r>
      <w:r>
        <w:rPr>
          <w:rFonts w:hint="eastAsia" w:ascii="仿宋" w:hAnsi="仿宋" w:eastAsia="仿宋" w:cs="仿宋"/>
          <w:i w:val="0"/>
          <w:iCs w:val="0"/>
          <w:color w:val="auto"/>
          <w:sz w:val="28"/>
          <w:szCs w:val="28"/>
          <w:highlight w:val="none"/>
          <w:u w:val="none"/>
          <w:shd w:val="clear" w:color="auto" w:fill="auto"/>
          <w:lang w:val="en-US" w:eastAsia="zh-CN"/>
        </w:rPr>
        <w:t>。</w:t>
      </w:r>
    </w:p>
    <w:p w14:paraId="169DBF95">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33"/>
      <w:bookmarkEnd w:id="34"/>
      <w:bookmarkEnd w:id="35"/>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37C240E1">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lang w:val="en-US" w:eastAsia="zh-CN"/>
        </w:rPr>
      </w:pPr>
      <w:bookmarkStart w:id="36" w:name="_Toc2060"/>
      <w:bookmarkStart w:id="37" w:name="_Toc19252"/>
      <w:bookmarkStart w:id="38" w:name="_Toc23895"/>
      <w:r>
        <w:rPr>
          <w:rFonts w:hint="eastAsia" w:ascii="仿宋" w:hAnsi="仿宋" w:eastAsia="仿宋" w:cs="仿宋"/>
          <w:i w:val="0"/>
          <w:iCs w:val="0"/>
          <w:color w:val="auto"/>
          <w:sz w:val="28"/>
          <w:szCs w:val="28"/>
          <w:highlight w:val="none"/>
          <w:lang w:val="en-US" w:eastAsia="zh-CN"/>
        </w:rPr>
        <w:t>5.1本项目质量标准：达到现行的国家、本项目所在地政府主管部门、行业相关施工质量验收规范的</w:t>
      </w:r>
      <w:r>
        <w:rPr>
          <w:rFonts w:hint="eastAsia" w:ascii="仿宋" w:hAnsi="仿宋" w:eastAsia="仿宋" w:cs="仿宋"/>
          <w:i w:val="0"/>
          <w:iCs w:val="0"/>
          <w:color w:val="auto"/>
          <w:sz w:val="28"/>
          <w:szCs w:val="28"/>
          <w:highlight w:val="none"/>
          <w:u w:val="single"/>
          <w:lang w:val="en-US" w:eastAsia="zh-CN"/>
        </w:rPr>
        <w:t xml:space="preserve"> 优良 </w:t>
      </w:r>
      <w:r>
        <w:rPr>
          <w:rFonts w:hint="eastAsia" w:ascii="仿宋" w:hAnsi="仿宋" w:eastAsia="仿宋" w:cs="仿宋"/>
          <w:i w:val="0"/>
          <w:iCs w:val="0"/>
          <w:color w:val="auto"/>
          <w:sz w:val="28"/>
          <w:szCs w:val="28"/>
          <w:highlight w:val="none"/>
          <w:lang w:val="en-US" w:eastAsia="zh-CN"/>
        </w:rPr>
        <w:t>标准，本合同另有约定的亦须同时符合该约定。</w:t>
      </w:r>
    </w:p>
    <w:p w14:paraId="1B5DC403">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铝合金门窗</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幕墙</w:t>
      </w:r>
      <w:r>
        <w:rPr>
          <w:rFonts w:hint="eastAsia" w:ascii="仿宋" w:hAnsi="仿宋" w:eastAsia="仿宋" w:cs="仿宋"/>
          <w:i w:val="0"/>
          <w:iCs w:val="0"/>
          <w:color w:val="auto"/>
          <w:sz w:val="28"/>
          <w:szCs w:val="28"/>
          <w:highlight w:val="none"/>
        </w:rPr>
        <w:t>材料</w:t>
      </w:r>
      <w:r>
        <w:rPr>
          <w:rFonts w:hint="eastAsia" w:ascii="仿宋" w:hAnsi="仿宋" w:eastAsia="仿宋" w:cs="仿宋"/>
          <w:i w:val="0"/>
          <w:iCs w:val="0"/>
          <w:color w:val="auto"/>
          <w:sz w:val="28"/>
          <w:szCs w:val="28"/>
          <w:highlight w:val="none"/>
          <w:lang w:val="en-US" w:eastAsia="zh-CN"/>
        </w:rPr>
        <w:t>及质量</w:t>
      </w:r>
      <w:r>
        <w:rPr>
          <w:rFonts w:hint="eastAsia" w:ascii="仿宋" w:hAnsi="仿宋" w:eastAsia="仿宋" w:cs="仿宋"/>
          <w:i w:val="0"/>
          <w:iCs w:val="0"/>
          <w:color w:val="auto"/>
          <w:sz w:val="28"/>
          <w:szCs w:val="28"/>
          <w:highlight w:val="none"/>
        </w:rPr>
        <w:t>要求：</w:t>
      </w:r>
    </w:p>
    <w:p w14:paraId="4473C26A">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left="0" w:leftChars="0" w:right="0" w:rightChars="0" w:firstLine="621" w:firstLineChars="222"/>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1所有材料均符合建筑安全及使用规范，并满足图纸、甲方及建设单位要求；</w:t>
      </w:r>
    </w:p>
    <w:p w14:paraId="655BF0BD">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所有门窗连接螺丝、螺栓均采用不锈钢材质；</w:t>
      </w:r>
    </w:p>
    <w:p w14:paraId="26ED2A7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5.2.3所有材料均按甲方签字确认的深化设计图及施工蓝图为准；</w:t>
      </w:r>
    </w:p>
    <w:p w14:paraId="32B5AAF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5.2.4所有用于本工程的主要材料由乙方提供样品经甲方审定后作为验收样板，所有材料、配件乙方须提供产品合格证及检验报告给甲方留存。</w:t>
      </w:r>
    </w:p>
    <w:p w14:paraId="4FE1F6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5.3不锈钢爬梯、栏杆、人孔盖板等五金材料及质量要求：</w:t>
      </w:r>
    </w:p>
    <w:p w14:paraId="609801A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5.3.1乙方原材料、成品等的检测单位以本项目所在地政府有关部门要求为准，送检材料必须为现场使用的材料。</w:t>
      </w:r>
    </w:p>
    <w:p w14:paraId="760A024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5.3.2乙方施工前须提供合同范围内所有五金材料及配件样板，同时在现场甲方指定位置制作一个样板，经甲方确认满足图纸、规范及现场要求后方可进行大面积施工，最后以合格样板作为验收标准。所有材料、配件乙方均须提供产品合格证及检验报告。乙方完成成品作好保护膜后方可安装。</w:t>
      </w:r>
    </w:p>
    <w:p w14:paraId="0E81E10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5.3.3其他五金项目质量均须满足图纸及相关规范要求（栏杆组装五金紧固件均采用满足图纸、甲方及建设单位要求的材质配件）。</w:t>
      </w:r>
    </w:p>
    <w:p w14:paraId="240FCF0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5.3.4现场质量检查须进行破坏性抽样检查，以验证产品与样板的一致性。检查所需产品及相关费用由乙方承担，至少抽检3组。乙方必须严格按照图纸施工，绝不能偷工减料、弄虚作假，甲方将随时现场抽检，如发现不良现象，乙方按照违约条款执行。</w:t>
      </w:r>
    </w:p>
    <w:p w14:paraId="0149C6D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乙方必须按甲方规定的品牌供应材料，否则，甲方有权要求乙方无条件返工、拆除。如甲方指定品牌的材料供货时间、周期、数量、质量等不能满足本项目要求，乙方必须提前30个工作日以书面形式报告甲方，得到甲方书面回复后，按甲方书面回复执行。本工程外露部分的同一种材料设备品牌、型号、外观必须统一为一个品牌、规格，各种指标完全一致。</w:t>
      </w:r>
    </w:p>
    <w:p w14:paraId="4196136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5.5成品、半成品保护与清理</w:t>
      </w:r>
    </w:p>
    <w:p w14:paraId="6E35B2F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5.5.1本工程开工前，乙方必须提供材料安装后的详细保护措施资料给甲方审核，并在施工过程中严格执行，直到工程验收通过（含当地政府有关部门的验收和建设单位组织的各参建单位的共同验收）并移交建设单位为止。乙方除做好承包范围内工程的成品（半成品）保护外，还应注意对其它相关单位（如室内装饰、涂料、门窗、百叶、栏杆、地面等）的成品（半成品）保护工作，如因乙方原因造成其他单位成品（半成品）损坏，由乙方承担责任及全部费用。</w:t>
      </w:r>
    </w:p>
    <w:p w14:paraId="0BDAAD9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5.5.2施工过程及时做好成品保护工作，门窗框除采用保护膜保护外，门窗下槛下框必须采用硬塑壳加强保护，防止门窗下槛下框变形损坏。没有保护的一切损坏全部由乙方承担返修责任及费用，有保护的如被破坏，则按甲方制定的总包管理规定执行。</w:t>
      </w:r>
    </w:p>
    <w:p w14:paraId="10E90B8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5.5.3本项目交付建设单位接收前，乙方负责本工程的成品保护、清理、清洗工作并承担相关费用。</w:t>
      </w:r>
    </w:p>
    <w:p w14:paraId="12474AA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6"/>
      <w:bookmarkEnd w:id="37"/>
      <w:bookmarkEnd w:id="38"/>
    </w:p>
    <w:p w14:paraId="0517367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工期要求、质量要求及承担合同义务、责任、风险的费用已包括在下列合同价中。</w:t>
      </w:r>
    </w:p>
    <w:p w14:paraId="670FF173">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auto"/>
          <w:sz w:val="28"/>
          <w:szCs w:val="28"/>
          <w:highlight w:val="none"/>
          <w:lang w:val="en-US" w:eastAsia="zh-CN"/>
        </w:rPr>
        <w:t>本合同为固定单价合同，</w:t>
      </w:r>
      <w:r>
        <w:rPr>
          <w:rFonts w:hint="eastAsia" w:ascii="仿宋" w:hAnsi="仿宋" w:eastAsia="仿宋" w:cs="仿宋"/>
          <w:b/>
          <w:bCs/>
          <w:i w:val="0"/>
          <w:iCs w:val="0"/>
          <w:color w:val="auto"/>
          <w:sz w:val="28"/>
          <w:szCs w:val="28"/>
          <w:highlight w:val="none"/>
          <w:shd w:val="clear" w:color="auto" w:fill="auto"/>
          <w:lang w:val="en-US" w:eastAsia="zh-CN"/>
        </w:rPr>
        <w:t>工程量按合同约定计量规则计算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合同单价（详见附件《报价清单》）为全费用固定综合单价（仅不含增值税），</w:t>
      </w:r>
      <w:r>
        <w:rPr>
          <w:rFonts w:hint="eastAsia" w:ascii="仿宋" w:hAnsi="仿宋" w:eastAsia="仿宋" w:cs="仿宋"/>
          <w:b/>
          <w:bCs/>
          <w:i w:val="0"/>
          <w:iCs w:val="0"/>
          <w:color w:val="auto"/>
          <w:sz w:val="28"/>
          <w:szCs w:val="28"/>
          <w:highlight w:val="none"/>
          <w:lang w:val="en-US" w:eastAsia="zh-CN"/>
        </w:rPr>
        <w:t>包含乙方完成合同文件所述内容的全部费用</w:t>
      </w:r>
      <w:r>
        <w:rPr>
          <w:rFonts w:hint="eastAsia" w:ascii="仿宋" w:hAnsi="仿宋" w:eastAsia="仿宋" w:cs="仿宋"/>
          <w:b/>
          <w:bCs/>
          <w:i w:val="0"/>
          <w:iCs w:val="0"/>
          <w:color w:val="auto"/>
          <w:sz w:val="28"/>
          <w:szCs w:val="28"/>
          <w:highlight w:val="none"/>
          <w:shd w:val="clear" w:color="auto" w:fill="auto"/>
          <w:lang w:val="en-US" w:eastAsia="zh-CN"/>
        </w:rPr>
        <w:t>，除合同另有约定外，不做任何调整</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%的增值税专用发票，税率按国家政策执行，如税率调整，税金随之调整。</w:t>
      </w:r>
      <w:r>
        <w:rPr>
          <w:rFonts w:hint="eastAsia" w:ascii="仿宋" w:hAnsi="仿宋" w:eastAsia="仿宋" w:cs="仿宋"/>
          <w:b/>
          <w:bCs/>
          <w:i w:val="0"/>
          <w:iCs w:val="0"/>
          <w:color w:val="auto"/>
          <w:sz w:val="28"/>
          <w:szCs w:val="28"/>
          <w:highlight w:val="none"/>
          <w:lang w:val="en-US" w:eastAsia="zh-CN"/>
        </w:rPr>
        <w:t>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，增值税税金为人民币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 xml:space="preserve">，此价仅供参考，不作结算用途。 </w:t>
      </w:r>
    </w:p>
    <w:p w14:paraId="37D783E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合同总价对应的报价清单和图纸及相关文件详见附件。合同总价包含乙方完成合同附件所述内容的费用，除合同另有约定外，不作调整。</w:t>
      </w:r>
    </w:p>
    <w:p w14:paraId="55EE6A5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9" w:name="_Toc32757"/>
      <w:bookmarkStart w:id="40" w:name="_Toc9761"/>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合同总价适用于本项目用地红线范围内的本工程全部工作内容，已有价格的子目双方无需另行确定单价，均按已确定价格执行。</w:t>
      </w:r>
    </w:p>
    <w:p w14:paraId="4055E14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投标过程中，乙方对报价清单、图纸、施工方案、技术要求等招采文件内容未经甲方同意而擅自更改、删除等，无论是否在本合同正文、附件中有所体现、表述，属乙方欺瞒甲方的不诚信行为，该条款属无效条款，乙方须按甲方的招采要求（以甲方解释为准）执行。甲方因此不承担任何损失和费用，因此产生的损失、后果由乙方承担，给甲方造成的损失由乙方全额赔偿，同时甲方有权单方解除合同且不付款。</w:t>
      </w:r>
    </w:p>
    <w:p w14:paraId="2F93A730">
      <w:pPr>
        <w:keepNext w:val="0"/>
        <w:keepLines w:val="0"/>
        <w:pageBreakBefore w:val="0"/>
        <w:widowControl w:val="0"/>
        <w:kinsoku/>
        <w:wordWrap/>
        <w:overflowPunct/>
        <w:topLinePunct w:val="0"/>
        <w:autoSpaceDE/>
        <w:autoSpaceDN/>
        <w:bidi w:val="0"/>
        <w:adjustRightInd w:val="0"/>
        <w:snapToGrid w:val="0"/>
        <w:spacing w:line="50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1" w:name="_Toc19006"/>
      <w:bookmarkStart w:id="42" w:name="_Toc15702"/>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41"/>
      <w:bookmarkEnd w:id="42"/>
    </w:p>
    <w:p w14:paraId="39916699">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3" w:name="_Toc13749"/>
      <w:bookmarkStart w:id="44" w:name="_Toc28489"/>
      <w:bookmarkStart w:id="45" w:name="_Toc24245"/>
      <w:r>
        <w:rPr>
          <w:rFonts w:hint="eastAsia" w:ascii="仿宋" w:hAnsi="仿宋" w:eastAsia="仿宋" w:cs="仿宋"/>
          <w:b w:val="0"/>
          <w:bCs w:val="0"/>
          <w:color w:val="auto"/>
          <w:sz w:val="28"/>
          <w:szCs w:val="28"/>
          <w:highlight w:val="none"/>
          <w:lang w:val="en-US" w:eastAsia="zh-CN"/>
        </w:rPr>
        <w:t>7.1</w:t>
      </w:r>
      <w:r>
        <w:rPr>
          <w:rFonts w:hint="eastAsia" w:ascii="仿宋" w:hAnsi="仿宋" w:eastAsia="仿宋" w:cs="仿宋"/>
          <w:b w:val="0"/>
          <w:bCs w:val="0"/>
          <w:i w:val="0"/>
          <w:iCs w:val="0"/>
          <w:color w:val="auto"/>
          <w:sz w:val="28"/>
          <w:szCs w:val="28"/>
          <w:highlight w:val="none"/>
          <w:shd w:val="clear" w:color="auto" w:fill="auto"/>
          <w:lang w:val="en-US" w:eastAsia="zh-CN"/>
        </w:rPr>
        <w:t>计量计价</w:t>
      </w:r>
      <w:r>
        <w:rPr>
          <w:rFonts w:hint="eastAsia" w:ascii="仿宋" w:hAnsi="仿宋" w:eastAsia="仿宋" w:cs="仿宋"/>
          <w:b w:val="0"/>
          <w:bCs w:val="0"/>
          <w:color w:val="auto"/>
          <w:sz w:val="28"/>
          <w:szCs w:val="28"/>
          <w:highlight w:val="none"/>
          <w:lang w:val="en-US" w:eastAsia="zh-CN"/>
        </w:rPr>
        <w:t>原则</w:t>
      </w:r>
      <w:bookmarkEnd w:id="43"/>
      <w:bookmarkEnd w:id="44"/>
      <w:bookmarkEnd w:id="45"/>
    </w:p>
    <w:bookmarkEnd w:id="39"/>
    <w:bookmarkEnd w:id="40"/>
    <w:p w14:paraId="77069599">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6" w:name="_Toc26012"/>
      <w:bookmarkStart w:id="47" w:name="_Toc16700"/>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固定总价合同；合同范围内的按合同约定的计算原则执行，合同无约定或合同范围外的签证、变更工程计量方式按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本合同相关条款</w:t>
      </w:r>
      <w:r>
        <w:rPr>
          <w:rFonts w:hint="eastAsia" w:ascii="仿宋" w:hAnsi="仿宋" w:eastAsia="仿宋" w:cs="仿宋"/>
          <w:b w:val="0"/>
          <w:bCs w:val="0"/>
          <w:i w:val="0"/>
          <w:iCs w:val="0"/>
          <w:color w:val="auto"/>
          <w:sz w:val="28"/>
          <w:szCs w:val="28"/>
          <w:highlight w:val="none"/>
          <w:shd w:val="clear" w:color="auto" w:fill="auto"/>
          <w:lang w:val="en-US" w:eastAsia="zh-CN"/>
        </w:rPr>
        <w:t>执行。</w:t>
      </w:r>
    </w:p>
    <w:p w14:paraId="2A440EB6">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固定单价合同：合同范围内的按合同约定的计算原则执行，合同无约定或合同范围外的签证、变更工程计量计价方式按下述7.2~7.3条款及本合同通用条款第六章约定的其他相关条款执行。</w:t>
      </w:r>
    </w:p>
    <w:p w14:paraId="74520DE5">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w:t>
      </w:r>
      <w:r>
        <w:rPr>
          <w:rFonts w:hint="eastAsia" w:ascii="仿宋" w:hAnsi="仿宋" w:eastAsia="仿宋" w:cs="仿宋"/>
          <w:b w:val="0"/>
          <w:bCs w:val="0"/>
          <w:i w:val="0"/>
          <w:iCs w:val="0"/>
          <w:color w:val="auto"/>
          <w:sz w:val="28"/>
          <w:szCs w:val="28"/>
          <w:highlight w:val="none"/>
          <w:lang w:val="en-US" w:eastAsia="zh-CN"/>
        </w:rPr>
        <w:t>工程量计量规则：</w:t>
      </w:r>
      <w:r>
        <w:rPr>
          <w:rFonts w:hint="eastAsia" w:ascii="仿宋" w:hAnsi="仿宋" w:eastAsia="仿宋" w:cs="仿宋"/>
          <w:b w:val="0"/>
          <w:bCs w:val="0"/>
          <w:color w:val="auto"/>
          <w:sz w:val="28"/>
          <w:szCs w:val="28"/>
          <w:highlight w:val="none"/>
          <w:lang w:val="en-US" w:eastAsia="zh-CN"/>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D2CE28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2DFC00B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66D5B534">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2795A12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43C18D10">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515FB4AE">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7.3.2.3合同中没有适用或类似于变更工程的价格，按以下7.3.3条计价规则执行。</w:t>
      </w:r>
    </w:p>
    <w:p w14:paraId="5FB8FD3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23C806A6">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本工程执行</w:t>
      </w:r>
      <w:r>
        <w:rPr>
          <w:rFonts w:ascii="仿宋_GB2312" w:hAnsi="宋体" w:eastAsia="仿宋_GB2312" w:cs="仿宋_GB2312"/>
          <w:i w:val="0"/>
          <w:iCs w:val="0"/>
          <w:caps w:val="0"/>
          <w:color w:val="auto"/>
          <w:spacing w:val="0"/>
          <w:sz w:val="28"/>
          <w:szCs w:val="28"/>
          <w:shd w:val="clear" w:fill="FFFFFF"/>
        </w:rPr>
        <w:t>《建设工程工程量清单计价标准》（GB/T 50500-2024）、《房屋建筑与装饰工程工程量计算标准》（GB/T 50854-2024）、《通用安装工程工程量计算标准》（GB/T 50856-2024）、《市政工程工程量计算标准》（GB/T 50857-2024）、《园林绿化工程工程量计算标准》（GB/T 50858-2024）、《构筑物工程工程量计算标准》（GB/T 50860-2024）</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同时执行《广东省建设工程计价依据（2018）》：</w:t>
      </w:r>
      <w:r>
        <w:rPr>
          <w:rFonts w:hint="eastAsia" w:ascii="仿宋" w:hAnsi="仿宋" w:eastAsia="仿宋" w:cs="仿宋"/>
          <w:b w:val="0"/>
          <w:bCs w:val="0"/>
          <w:color w:val="auto"/>
          <w:sz w:val="28"/>
          <w:szCs w:val="28"/>
          <w:highlight w:val="none"/>
          <w:lang w:val="en-US" w:eastAsia="zh-CN"/>
        </w:rPr>
        <w:t>《广东省房屋建筑与装饰工程综合定额(2018年)》、《广东省通用安装工程综合定额(2018年)》、《广东省市政工程综合定额(2018年)》、《广东省园林绿化工程综合定额(2018年)》、《广东省建设工程施工机具台班费用编制规则（2018）》、《</w:t>
      </w:r>
      <w:r>
        <w:rPr>
          <w:rFonts w:hint="eastAsia" w:ascii="仿宋" w:hAnsi="仿宋" w:eastAsia="仿宋" w:cs="仿宋"/>
          <w:b w:val="0"/>
          <w:bCs w:val="0"/>
          <w:i w:val="0"/>
          <w:iCs w:val="0"/>
          <w:color w:val="auto"/>
          <w:sz w:val="28"/>
          <w:szCs w:val="28"/>
          <w:highlight w:val="none"/>
          <w:u w:val="none"/>
          <w:shd w:val="clear" w:color="auto" w:fill="auto"/>
          <w:lang w:val="en-US" w:eastAsia="zh-CN"/>
        </w:rPr>
        <w:t>工程量清单项目计量标准(2024-广东)</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等以及国家行政主管部门颁布的相关规定文件，采用清单计价</w:t>
      </w:r>
      <w:r>
        <w:rPr>
          <w:rFonts w:hint="eastAsia" w:ascii="仿宋" w:hAnsi="仿宋" w:eastAsia="仿宋" w:cs="仿宋"/>
          <w:b w:val="0"/>
          <w:bCs w:val="0"/>
          <w:i w:val="0"/>
          <w:iCs w:val="0"/>
          <w:color w:val="auto"/>
          <w:sz w:val="28"/>
          <w:szCs w:val="28"/>
          <w:highlight w:val="none"/>
          <w:lang w:val="en-US" w:eastAsia="zh-CN"/>
        </w:rPr>
        <w:t>。</w:t>
      </w:r>
    </w:p>
    <w:p w14:paraId="1002AFD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w:t>
      </w:r>
      <w:r>
        <w:rPr>
          <w:rFonts w:hint="eastAsia" w:ascii="仿宋" w:hAnsi="仿宋" w:eastAsia="仿宋" w:cs="仿宋"/>
          <w:b w:val="0"/>
          <w:bCs w:val="0"/>
          <w:i w:val="0"/>
          <w:iCs w:val="0"/>
          <w:color w:val="auto"/>
          <w:sz w:val="28"/>
          <w:szCs w:val="28"/>
          <w:highlight w:val="none"/>
          <w:lang w:val="en-US" w:eastAsia="zh-CN"/>
        </w:rPr>
        <w:t>执行粤标定函[2025]22号文，关于调整《广东省建设工程计价依据2018》计价规则的通知。</w:t>
      </w:r>
    </w:p>
    <w:p w14:paraId="4972E24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w:t>
      </w:r>
      <w:r>
        <w:rPr>
          <w:rFonts w:hint="eastAsia" w:ascii="仿宋" w:hAnsi="仿宋" w:eastAsia="仿宋" w:cs="仿宋"/>
          <w:b w:val="0"/>
          <w:bCs w:val="0"/>
          <w:i w:val="0"/>
          <w:iCs w:val="0"/>
          <w:color w:val="auto"/>
          <w:sz w:val="28"/>
          <w:szCs w:val="28"/>
          <w:highlight w:val="none"/>
          <w:lang w:val="en-US" w:eastAsia="zh-CN"/>
        </w:rPr>
        <w:t>执行粤标定函[2025]22号文，采用定额编制概算、预算、最高投标限价的计价程序表。</w:t>
      </w:r>
    </w:p>
    <w:p w14:paraId="141413A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57C145E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7.3.3.5计价中除仅计取人工费、材料费、机具费作为直接工程费外，其余按系数计取的各类取费均不计取，其他所有措施费均不单独计取费用。</w:t>
      </w:r>
    </w:p>
    <w:p w14:paraId="66ADB1C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7.3.3.6税率：按国家建设行政主管部门及国家税务部门的最新规定执行。</w:t>
      </w:r>
    </w:p>
    <w:p w14:paraId="25D6DC9E">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7.3.3.7按上述计费方式得出的价款下浮后（下浮率按下表执行）作为最终价款（甲方直接确认的综合单价不参与上下浮的除外）：</w:t>
      </w:r>
    </w:p>
    <w:tbl>
      <w:tblPr>
        <w:tblStyle w:val="16"/>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0" w:type="dxa"/>
          <w:left w:w="128" w:type="dxa"/>
          <w:bottom w:w="80" w:type="dxa"/>
          <w:right w:w="128" w:type="dxa"/>
        </w:tblCellMar>
      </w:tblPr>
      <w:tblGrid>
        <w:gridCol w:w="1011"/>
        <w:gridCol w:w="5510"/>
        <w:gridCol w:w="1357"/>
        <w:gridCol w:w="1522"/>
      </w:tblGrid>
      <w:tr w14:paraId="6E9A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136" w:hRule="atLeast"/>
          <w:tblHeader/>
          <w:jc w:val="center"/>
        </w:trPr>
        <w:tc>
          <w:tcPr>
            <w:tcW w:w="1011" w:type="dxa"/>
            <w:tcBorders>
              <w:top w:val="single" w:color="auto" w:sz="12" w:space="0"/>
              <w:left w:val="single" w:color="auto" w:sz="12" w:space="0"/>
              <w:bottom w:val="single" w:color="auto" w:sz="4" w:space="0"/>
              <w:right w:val="single" w:color="auto" w:sz="4" w:space="0"/>
            </w:tcBorders>
            <w:vAlign w:val="center"/>
          </w:tcPr>
          <w:p w14:paraId="40347206">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bCs w:val="0"/>
                <w:i w:val="0"/>
                <w:iCs w:val="0"/>
                <w:color w:val="auto"/>
                <w:sz w:val="28"/>
                <w:szCs w:val="28"/>
                <w:highlight w:val="none"/>
                <w:lang w:val="en-US" w:eastAsia="zh-CN"/>
              </w:rPr>
            </w:pPr>
            <w:r>
              <w:rPr>
                <w:rFonts w:hint="eastAsia" w:ascii="仿宋" w:hAnsi="仿宋" w:eastAsia="仿宋" w:cs="仿宋"/>
                <w:b/>
                <w:bCs w:val="0"/>
                <w:i w:val="0"/>
                <w:iCs w:val="0"/>
                <w:color w:val="auto"/>
                <w:sz w:val="28"/>
                <w:szCs w:val="28"/>
                <w:highlight w:val="none"/>
                <w:lang w:val="en-US" w:eastAsia="zh-CN"/>
              </w:rPr>
              <w:t>序号</w:t>
            </w:r>
          </w:p>
        </w:tc>
        <w:tc>
          <w:tcPr>
            <w:tcW w:w="5510" w:type="dxa"/>
            <w:tcBorders>
              <w:top w:val="single" w:color="auto" w:sz="12" w:space="0"/>
              <w:left w:val="single" w:color="auto" w:sz="4" w:space="0"/>
              <w:bottom w:val="single" w:color="auto" w:sz="4" w:space="0"/>
              <w:right w:val="single" w:color="auto" w:sz="4" w:space="0"/>
            </w:tcBorders>
            <w:vAlign w:val="center"/>
          </w:tcPr>
          <w:p w14:paraId="32640B64">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2" w:firstLineChars="200"/>
              <w:jc w:val="center"/>
              <w:outlineLvl w:val="1"/>
              <w:rPr>
                <w:rFonts w:hint="eastAsia" w:ascii="仿宋" w:hAnsi="仿宋" w:eastAsia="仿宋" w:cs="仿宋"/>
                <w:b/>
                <w:bCs w:val="0"/>
                <w:i w:val="0"/>
                <w:iCs w:val="0"/>
                <w:color w:val="auto"/>
                <w:sz w:val="28"/>
                <w:szCs w:val="28"/>
                <w:highlight w:val="none"/>
                <w:lang w:val="en-US" w:eastAsia="zh-CN"/>
              </w:rPr>
            </w:pPr>
            <w:r>
              <w:rPr>
                <w:rFonts w:hint="eastAsia" w:ascii="仿宋" w:hAnsi="仿宋" w:eastAsia="仿宋" w:cs="仿宋"/>
                <w:b/>
                <w:bCs w:val="0"/>
                <w:i w:val="0"/>
                <w:iCs w:val="0"/>
                <w:color w:val="auto"/>
                <w:sz w:val="28"/>
                <w:szCs w:val="28"/>
                <w:highlight w:val="none"/>
                <w:lang w:val="en-US" w:eastAsia="zh-CN"/>
              </w:rPr>
              <w:t>承包方式</w:t>
            </w:r>
          </w:p>
        </w:tc>
        <w:tc>
          <w:tcPr>
            <w:tcW w:w="1357" w:type="dxa"/>
            <w:tcBorders>
              <w:top w:val="single" w:color="auto" w:sz="12" w:space="0"/>
              <w:left w:val="single" w:color="auto" w:sz="4" w:space="0"/>
              <w:bottom w:val="single" w:color="auto" w:sz="4" w:space="0"/>
              <w:right w:val="single" w:color="auto" w:sz="4" w:space="0"/>
            </w:tcBorders>
            <w:vAlign w:val="center"/>
          </w:tcPr>
          <w:p w14:paraId="0E048A72">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bCs w:val="0"/>
                <w:i w:val="0"/>
                <w:iCs w:val="0"/>
                <w:color w:val="auto"/>
                <w:sz w:val="28"/>
                <w:szCs w:val="28"/>
                <w:highlight w:val="none"/>
                <w:lang w:val="en-US" w:eastAsia="zh-CN"/>
              </w:rPr>
            </w:pPr>
            <w:r>
              <w:rPr>
                <w:rFonts w:hint="eastAsia" w:ascii="仿宋" w:hAnsi="仿宋" w:eastAsia="仿宋" w:cs="仿宋"/>
                <w:b/>
                <w:bCs w:val="0"/>
                <w:i w:val="0"/>
                <w:iCs w:val="0"/>
                <w:color w:val="auto"/>
                <w:sz w:val="28"/>
                <w:szCs w:val="28"/>
                <w:highlight w:val="none"/>
                <w:lang w:val="en-US" w:eastAsia="zh-CN"/>
              </w:rPr>
              <w:t>下浮率</w:t>
            </w:r>
          </w:p>
        </w:tc>
        <w:tc>
          <w:tcPr>
            <w:tcW w:w="1522" w:type="dxa"/>
            <w:tcBorders>
              <w:top w:val="single" w:color="auto" w:sz="12" w:space="0"/>
              <w:left w:val="single" w:color="auto" w:sz="4" w:space="0"/>
              <w:bottom w:val="single" w:color="auto" w:sz="4" w:space="0"/>
              <w:right w:val="single" w:color="auto" w:sz="12" w:space="0"/>
            </w:tcBorders>
            <w:vAlign w:val="center"/>
          </w:tcPr>
          <w:p w14:paraId="0D53563D">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bCs w:val="0"/>
                <w:i w:val="0"/>
                <w:iCs w:val="0"/>
                <w:color w:val="auto"/>
                <w:sz w:val="28"/>
                <w:szCs w:val="28"/>
                <w:highlight w:val="none"/>
                <w:lang w:val="en-US" w:eastAsia="zh-CN"/>
              </w:rPr>
            </w:pPr>
            <w:r>
              <w:rPr>
                <w:rFonts w:hint="eastAsia" w:ascii="仿宋" w:hAnsi="仿宋" w:eastAsia="仿宋" w:cs="仿宋"/>
                <w:b/>
                <w:bCs w:val="0"/>
                <w:i w:val="0"/>
                <w:iCs w:val="0"/>
                <w:color w:val="auto"/>
                <w:sz w:val="28"/>
                <w:szCs w:val="28"/>
                <w:highlight w:val="none"/>
                <w:lang w:val="en-US" w:eastAsia="zh-CN"/>
              </w:rPr>
              <w:t>备注</w:t>
            </w:r>
          </w:p>
        </w:tc>
      </w:tr>
      <w:tr w14:paraId="1B75C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479" w:hRule="atLeast"/>
          <w:jc w:val="center"/>
        </w:trPr>
        <w:tc>
          <w:tcPr>
            <w:tcW w:w="1011" w:type="dxa"/>
            <w:tcBorders>
              <w:top w:val="single" w:color="auto" w:sz="4" w:space="0"/>
              <w:left w:val="single" w:color="auto" w:sz="12" w:space="0"/>
              <w:bottom w:val="single" w:color="auto" w:sz="4" w:space="0"/>
              <w:right w:val="single" w:color="auto" w:sz="4" w:space="0"/>
            </w:tcBorders>
            <w:shd w:val="clear" w:color="auto" w:fill="auto"/>
            <w:vAlign w:val="center"/>
          </w:tcPr>
          <w:p w14:paraId="34EFA5F5">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280" w:firstLineChars="1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w:t>
            </w:r>
          </w:p>
        </w:tc>
        <w:tc>
          <w:tcPr>
            <w:tcW w:w="5510" w:type="dxa"/>
            <w:tcBorders>
              <w:top w:val="single" w:color="auto" w:sz="4" w:space="0"/>
              <w:left w:val="single" w:color="auto" w:sz="4" w:space="0"/>
              <w:bottom w:val="single" w:color="auto" w:sz="4" w:space="0"/>
              <w:right w:val="single" w:color="auto" w:sz="4" w:space="0"/>
            </w:tcBorders>
            <w:shd w:val="clear" w:color="auto" w:fill="auto"/>
            <w:vAlign w:val="center"/>
          </w:tcPr>
          <w:p w14:paraId="0AAB1D45">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包工包料</w:t>
            </w:r>
          </w:p>
        </w:tc>
        <w:tc>
          <w:tcPr>
            <w:tcW w:w="1357" w:type="dxa"/>
            <w:tcBorders>
              <w:top w:val="single" w:color="auto" w:sz="4" w:space="0"/>
              <w:left w:val="single" w:color="auto" w:sz="4" w:space="0"/>
              <w:bottom w:val="single" w:color="auto" w:sz="4" w:space="0"/>
              <w:right w:val="single" w:color="auto" w:sz="4" w:space="0"/>
            </w:tcBorders>
            <w:shd w:val="clear" w:color="auto" w:fill="auto"/>
            <w:vAlign w:val="center"/>
          </w:tcPr>
          <w:p w14:paraId="3D0E1FB9">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28%</w:t>
            </w:r>
          </w:p>
        </w:tc>
        <w:tc>
          <w:tcPr>
            <w:tcW w:w="1522" w:type="dxa"/>
            <w:tcBorders>
              <w:top w:val="single" w:color="auto" w:sz="4" w:space="0"/>
              <w:left w:val="single" w:color="auto" w:sz="4" w:space="0"/>
              <w:bottom w:val="single" w:color="auto" w:sz="4" w:space="0"/>
              <w:right w:val="single" w:color="auto" w:sz="12" w:space="0"/>
            </w:tcBorders>
            <w:shd w:val="clear" w:color="auto" w:fill="auto"/>
            <w:vAlign w:val="center"/>
          </w:tcPr>
          <w:p w14:paraId="4F1C62F2">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42AD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1011" w:type="dxa"/>
            <w:tcBorders>
              <w:top w:val="single" w:color="auto" w:sz="4" w:space="0"/>
              <w:left w:val="single" w:color="auto" w:sz="12" w:space="0"/>
              <w:bottom w:val="single" w:color="auto" w:sz="4" w:space="0"/>
              <w:right w:val="single" w:color="auto" w:sz="4" w:space="0"/>
            </w:tcBorders>
            <w:shd w:val="clear" w:color="auto" w:fill="auto"/>
            <w:vAlign w:val="center"/>
          </w:tcPr>
          <w:p w14:paraId="41EB9B65">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280" w:firstLineChars="1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w:t>
            </w:r>
          </w:p>
        </w:tc>
        <w:tc>
          <w:tcPr>
            <w:tcW w:w="5510" w:type="dxa"/>
            <w:tcBorders>
              <w:top w:val="single" w:color="auto" w:sz="4" w:space="0"/>
              <w:left w:val="single" w:color="auto" w:sz="4" w:space="0"/>
              <w:bottom w:val="single" w:color="auto" w:sz="4" w:space="0"/>
              <w:right w:val="single" w:color="auto" w:sz="4" w:space="0"/>
            </w:tcBorders>
            <w:shd w:val="clear" w:color="auto" w:fill="auto"/>
            <w:vAlign w:val="center"/>
          </w:tcPr>
          <w:p w14:paraId="30A259AF">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包工包部分材料（仅不含甲供材）</w:t>
            </w:r>
          </w:p>
        </w:tc>
        <w:tc>
          <w:tcPr>
            <w:tcW w:w="1357" w:type="dxa"/>
            <w:tcBorders>
              <w:top w:val="single" w:color="auto" w:sz="4" w:space="0"/>
              <w:left w:val="single" w:color="auto" w:sz="4" w:space="0"/>
              <w:bottom w:val="single" w:color="auto" w:sz="4" w:space="0"/>
              <w:right w:val="single" w:color="auto" w:sz="4" w:space="0"/>
            </w:tcBorders>
            <w:shd w:val="clear" w:color="auto" w:fill="auto"/>
            <w:vAlign w:val="center"/>
          </w:tcPr>
          <w:p w14:paraId="51706007">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w:t>
            </w:r>
          </w:p>
        </w:tc>
        <w:tc>
          <w:tcPr>
            <w:tcW w:w="1522" w:type="dxa"/>
            <w:tcBorders>
              <w:top w:val="single" w:color="auto" w:sz="4" w:space="0"/>
              <w:left w:val="single" w:color="auto" w:sz="4" w:space="0"/>
              <w:bottom w:val="single" w:color="auto" w:sz="4" w:space="0"/>
              <w:right w:val="single" w:color="auto" w:sz="12" w:space="0"/>
            </w:tcBorders>
            <w:shd w:val="clear" w:color="auto" w:fill="auto"/>
            <w:vAlign w:val="center"/>
          </w:tcPr>
          <w:p w14:paraId="18ADA586">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5A54A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1011" w:type="dxa"/>
            <w:tcBorders>
              <w:top w:val="single" w:color="auto" w:sz="4" w:space="0"/>
              <w:left w:val="single" w:color="auto" w:sz="12" w:space="0"/>
              <w:bottom w:val="single" w:color="auto" w:sz="4" w:space="0"/>
              <w:right w:val="single" w:color="auto" w:sz="4" w:space="0"/>
            </w:tcBorders>
            <w:shd w:val="clear" w:color="auto" w:fill="auto"/>
            <w:vAlign w:val="center"/>
          </w:tcPr>
          <w:p w14:paraId="567B7081">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280" w:firstLineChars="1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3</w:t>
            </w:r>
          </w:p>
        </w:tc>
        <w:tc>
          <w:tcPr>
            <w:tcW w:w="5510" w:type="dxa"/>
            <w:tcBorders>
              <w:top w:val="single" w:color="auto" w:sz="4" w:space="0"/>
              <w:left w:val="single" w:color="auto" w:sz="4" w:space="0"/>
              <w:bottom w:val="single" w:color="auto" w:sz="4" w:space="0"/>
              <w:right w:val="single" w:color="auto" w:sz="4" w:space="0"/>
            </w:tcBorders>
            <w:shd w:val="clear" w:color="auto" w:fill="auto"/>
            <w:vAlign w:val="center"/>
          </w:tcPr>
          <w:p w14:paraId="2A008F0E">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w:t>
            </w:r>
          </w:p>
        </w:tc>
        <w:tc>
          <w:tcPr>
            <w:tcW w:w="1357" w:type="dxa"/>
            <w:tcBorders>
              <w:top w:val="single" w:color="auto" w:sz="4" w:space="0"/>
              <w:left w:val="single" w:color="auto" w:sz="4" w:space="0"/>
              <w:bottom w:val="single" w:color="auto" w:sz="4" w:space="0"/>
              <w:right w:val="single" w:color="auto" w:sz="4" w:space="0"/>
            </w:tcBorders>
            <w:shd w:val="clear" w:color="auto" w:fill="auto"/>
            <w:vAlign w:val="center"/>
          </w:tcPr>
          <w:p w14:paraId="2AF6D5D9">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ascii="仿宋" w:eastAsia="仿宋"/>
                <w:color w:val="auto"/>
                <w:sz w:val="28"/>
              </w:rPr>
            </w:pPr>
            <w:r>
              <w:rPr>
                <w:rFonts w:hint="eastAsia" w:ascii="仿宋" w:hAnsi="仿宋" w:eastAsia="仿宋" w:cs="仿宋"/>
                <w:b w:val="0"/>
                <w:bCs w:val="0"/>
                <w:i w:val="0"/>
                <w:iCs w:val="0"/>
                <w:color w:val="auto"/>
                <w:sz w:val="28"/>
                <w:szCs w:val="28"/>
                <w:highlight w:val="none"/>
                <w:lang w:val="en-US" w:eastAsia="zh-CN"/>
              </w:rPr>
              <w:t>/</w:t>
            </w:r>
          </w:p>
        </w:tc>
        <w:tc>
          <w:tcPr>
            <w:tcW w:w="1522" w:type="dxa"/>
            <w:tcBorders>
              <w:top w:val="single" w:color="auto" w:sz="4" w:space="0"/>
              <w:left w:val="single" w:color="auto" w:sz="4" w:space="0"/>
              <w:bottom w:val="single" w:color="auto" w:sz="4" w:space="0"/>
              <w:right w:val="single" w:color="auto" w:sz="12" w:space="0"/>
            </w:tcBorders>
            <w:shd w:val="clear" w:color="auto" w:fill="auto"/>
            <w:vAlign w:val="center"/>
          </w:tcPr>
          <w:p w14:paraId="593477AC">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0AD77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90" w:hRule="atLeast"/>
          <w:jc w:val="center"/>
        </w:trPr>
        <w:tc>
          <w:tcPr>
            <w:tcW w:w="1011" w:type="dxa"/>
            <w:tcBorders>
              <w:top w:val="single" w:color="auto" w:sz="4" w:space="0"/>
              <w:left w:val="single" w:color="auto" w:sz="12" w:space="0"/>
              <w:bottom w:val="single" w:color="auto" w:sz="12" w:space="0"/>
              <w:right w:val="single" w:color="auto" w:sz="4" w:space="0"/>
            </w:tcBorders>
            <w:shd w:val="clear" w:color="auto" w:fill="auto"/>
            <w:vAlign w:val="center"/>
          </w:tcPr>
          <w:p w14:paraId="1DC690C1">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280" w:firstLineChars="100"/>
              <w:jc w:val="center"/>
              <w:outlineLvl w:val="1"/>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4</w:t>
            </w:r>
          </w:p>
        </w:tc>
        <w:tc>
          <w:tcPr>
            <w:tcW w:w="5510" w:type="dxa"/>
            <w:tcBorders>
              <w:top w:val="single" w:color="auto" w:sz="4" w:space="0"/>
              <w:left w:val="single" w:color="auto" w:sz="4" w:space="0"/>
              <w:bottom w:val="single" w:color="auto" w:sz="12" w:space="0"/>
              <w:right w:val="single" w:color="auto" w:sz="4" w:space="0"/>
            </w:tcBorders>
            <w:shd w:val="clear" w:color="auto" w:fill="auto"/>
            <w:vAlign w:val="center"/>
          </w:tcPr>
          <w:p w14:paraId="426E1CC2">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包工包机械</w:t>
            </w:r>
          </w:p>
        </w:tc>
        <w:tc>
          <w:tcPr>
            <w:tcW w:w="1357" w:type="dxa"/>
            <w:tcBorders>
              <w:top w:val="single" w:color="auto" w:sz="4" w:space="0"/>
              <w:left w:val="single" w:color="auto" w:sz="4" w:space="0"/>
              <w:bottom w:val="single" w:color="auto" w:sz="12" w:space="0"/>
              <w:right w:val="single" w:color="auto" w:sz="4" w:space="0"/>
            </w:tcBorders>
            <w:shd w:val="clear" w:color="auto" w:fill="auto"/>
            <w:vAlign w:val="center"/>
          </w:tcPr>
          <w:p w14:paraId="664D3382">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ascii="仿宋" w:eastAsia="仿宋"/>
                <w:color w:val="auto"/>
                <w:sz w:val="28"/>
              </w:rPr>
            </w:pPr>
            <w:r>
              <w:rPr>
                <w:rFonts w:hint="eastAsia" w:ascii="仿宋" w:hAnsi="仿宋" w:eastAsia="仿宋" w:cs="仿宋"/>
                <w:b w:val="0"/>
                <w:bCs w:val="0"/>
                <w:i w:val="0"/>
                <w:iCs w:val="0"/>
                <w:color w:val="auto"/>
                <w:sz w:val="28"/>
                <w:szCs w:val="28"/>
                <w:highlight w:val="none"/>
                <w:lang w:val="en-US" w:eastAsia="zh-CN"/>
              </w:rPr>
              <w:t>/</w:t>
            </w:r>
          </w:p>
        </w:tc>
        <w:tc>
          <w:tcPr>
            <w:tcW w:w="1522" w:type="dxa"/>
            <w:tcBorders>
              <w:top w:val="single" w:color="auto" w:sz="4" w:space="0"/>
              <w:left w:val="single" w:color="auto" w:sz="4" w:space="0"/>
              <w:bottom w:val="single" w:color="auto" w:sz="12" w:space="0"/>
              <w:right w:val="single" w:color="auto" w:sz="12" w:space="0"/>
            </w:tcBorders>
            <w:shd w:val="clear" w:color="auto" w:fill="auto"/>
            <w:vAlign w:val="center"/>
          </w:tcPr>
          <w:p w14:paraId="05481B6B">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ascii="仿宋" w:eastAsia="仿宋"/>
                <w:color w:val="auto"/>
                <w:sz w:val="28"/>
              </w:rPr>
            </w:pPr>
          </w:p>
        </w:tc>
      </w:tr>
    </w:tbl>
    <w:p w14:paraId="5EB23CD4">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7.3.3.8结算时，如乙方已请款部分开具的发票税率与合同约定不同时，须提供已请款金额及相应税率，且须甲方财务部签字确认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556AFC31">
      <w:pPr>
        <w:keepNext w:val="0"/>
        <w:keepLines w:val="0"/>
        <w:pageBreakBefore w:val="0"/>
        <w:widowControl w:val="0"/>
        <w:kinsoku/>
        <w:wordWrap/>
        <w:overflowPunct/>
        <w:topLinePunct w:val="0"/>
        <w:autoSpaceDE/>
        <w:autoSpaceDN/>
        <w:bidi w:val="0"/>
        <w:adjustRightInd w:val="0"/>
        <w:snapToGrid w:val="0"/>
        <w:spacing w:line="50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8" w:name="_Toc21112"/>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46"/>
      <w:bookmarkEnd w:id="47"/>
      <w:bookmarkEnd w:id="48"/>
    </w:p>
    <w:p w14:paraId="45972B87">
      <w:pPr>
        <w:keepNext w:val="0"/>
        <w:keepLines w:val="0"/>
        <w:pageBreakBefore w:val="0"/>
        <w:widowControl w:val="0"/>
        <w:kinsoku/>
        <w:wordWrap/>
        <w:overflowPunct/>
        <w:topLinePunct w:val="0"/>
        <w:autoSpaceDE/>
        <w:autoSpaceDN/>
        <w:bidi w:val="0"/>
        <w:adjustRightInd w:val="0"/>
        <w:snapToGrid w:val="0"/>
        <w:spacing w:after="147" w:afterLines="50" w:line="500" w:lineRule="atLeas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w:t>
      </w:r>
      <w:r>
        <w:rPr>
          <w:rFonts w:hint="eastAsia" w:ascii="仿宋" w:hAnsi="仿宋" w:eastAsia="仿宋" w:cs="仿宋"/>
          <w:b/>
          <w:bCs/>
          <w:i w:val="0"/>
          <w:iCs w:val="0"/>
          <w:color w:val="auto"/>
          <w:sz w:val="28"/>
          <w:szCs w:val="28"/>
          <w:highlight w:val="none"/>
        </w:rPr>
        <w:t>铝合金门窗工程</w:t>
      </w:r>
      <w:r>
        <w:rPr>
          <w:rFonts w:hint="eastAsia" w:ascii="仿宋" w:hAnsi="仿宋" w:eastAsia="仿宋" w:cs="仿宋"/>
          <w:b/>
          <w:bCs/>
          <w:i w:val="0"/>
          <w:iCs w:val="0"/>
          <w:color w:val="auto"/>
          <w:sz w:val="28"/>
          <w:szCs w:val="28"/>
          <w:highlight w:val="none"/>
          <w:shd w:val="clear" w:color="auto" w:fill="auto"/>
          <w:lang w:val="en-US" w:eastAsia="zh-CN"/>
        </w:rPr>
        <w:t>付款方式一</w:t>
      </w:r>
    </w:p>
    <w:p w14:paraId="705E12D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1乙方完成</w:t>
      </w:r>
      <w:r>
        <w:rPr>
          <w:rFonts w:hint="eastAsia" w:ascii="仿宋" w:hAnsi="仿宋" w:eastAsia="仿宋" w:cs="仿宋"/>
          <w:i w:val="0"/>
          <w:iCs w:val="0"/>
          <w:color w:val="auto"/>
          <w:sz w:val="28"/>
          <w:szCs w:val="28"/>
          <w:highlight w:val="none"/>
          <w:lang w:val="en-US" w:eastAsia="zh-CN"/>
        </w:rPr>
        <w:t>本工程铝合金</w:t>
      </w:r>
      <w:r>
        <w:rPr>
          <w:rFonts w:hint="eastAsia" w:ascii="仿宋" w:hAnsi="仿宋" w:eastAsia="仿宋" w:cs="仿宋"/>
          <w:b w:val="0"/>
          <w:bCs w:val="0"/>
          <w:i w:val="0"/>
          <w:iCs w:val="0"/>
          <w:color w:val="auto"/>
          <w:sz w:val="28"/>
          <w:szCs w:val="28"/>
          <w:highlight w:val="none"/>
        </w:rPr>
        <w:t>门窗框（施工电梯影响的</w:t>
      </w:r>
      <w:r>
        <w:rPr>
          <w:rFonts w:hint="eastAsia" w:ascii="仿宋" w:hAnsi="仿宋" w:eastAsia="仿宋" w:cs="仿宋"/>
          <w:b w:val="0"/>
          <w:bCs w:val="0"/>
          <w:i w:val="0"/>
          <w:iCs w:val="0"/>
          <w:color w:val="auto"/>
          <w:sz w:val="28"/>
          <w:szCs w:val="28"/>
          <w:highlight w:val="none"/>
          <w:lang w:val="en-US" w:eastAsia="zh-CN"/>
        </w:rPr>
        <w:t>除</w:t>
      </w:r>
      <w:r>
        <w:rPr>
          <w:rFonts w:hint="eastAsia" w:ascii="仿宋" w:hAnsi="仿宋" w:eastAsia="仿宋" w:cs="仿宋"/>
          <w:b w:val="0"/>
          <w:bCs w:val="0"/>
          <w:i w:val="0"/>
          <w:iCs w:val="0"/>
          <w:color w:val="auto"/>
          <w:sz w:val="28"/>
          <w:szCs w:val="28"/>
          <w:highlight w:val="none"/>
        </w:rPr>
        <w:t>外）安装且经甲方确认后，乙方提供</w:t>
      </w:r>
      <w:r>
        <w:rPr>
          <w:rFonts w:hint="eastAsia" w:ascii="仿宋" w:hAnsi="仿宋" w:eastAsia="仿宋" w:cs="仿宋"/>
          <w:b w:val="0"/>
          <w:bCs w:val="0"/>
          <w:i w:val="0"/>
          <w:iCs w:val="0"/>
          <w:color w:val="auto"/>
          <w:sz w:val="28"/>
          <w:szCs w:val="28"/>
          <w:highlight w:val="none"/>
          <w:lang w:val="en-US" w:eastAsia="zh-CN"/>
        </w:rPr>
        <w:t>实名制报备登记和打卡的</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建筑工人</w:t>
      </w:r>
      <w:r>
        <w:rPr>
          <w:rFonts w:hint="eastAsia" w:ascii="仿宋" w:hAnsi="仿宋" w:eastAsia="仿宋" w:cs="仿宋"/>
          <w:b w:val="0"/>
          <w:bCs w:val="0"/>
          <w:i w:val="0"/>
          <w:iCs w:val="0"/>
          <w:color w:val="auto"/>
          <w:sz w:val="28"/>
          <w:szCs w:val="28"/>
          <w:highlight w:val="none"/>
        </w:rPr>
        <w:t>工资表》等相关进度款审批文件给甲方，</w:t>
      </w:r>
      <w:r>
        <w:rPr>
          <w:rFonts w:hint="eastAsia" w:ascii="仿宋" w:hAnsi="仿宋" w:eastAsia="仿宋" w:cs="仿宋"/>
          <w:b w:val="0"/>
          <w:bCs w:val="0"/>
          <w:i w:val="0"/>
          <w:iCs w:val="0"/>
          <w:color w:val="auto"/>
          <w:sz w:val="28"/>
          <w:szCs w:val="28"/>
          <w:highlight w:val="none"/>
          <w:lang w:val="en-US" w:eastAsia="zh-CN"/>
        </w:rPr>
        <w:t>甲方审核无误后</w:t>
      </w:r>
      <w:r>
        <w:rPr>
          <w:rFonts w:hint="eastAsia" w:ascii="仿宋" w:hAnsi="仿宋" w:eastAsia="仿宋" w:cs="仿宋"/>
          <w:b w:val="0"/>
          <w:bCs w:val="0"/>
          <w:i w:val="0"/>
          <w:iCs w:val="0"/>
          <w:color w:val="auto"/>
          <w:sz w:val="28"/>
          <w:szCs w:val="28"/>
          <w:highlight w:val="none"/>
        </w:rPr>
        <w:t>支付至</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铝合金门窗</w:t>
      </w:r>
      <w:r>
        <w:rPr>
          <w:rFonts w:hint="eastAsia" w:ascii="仿宋" w:hAnsi="仿宋" w:eastAsia="仿宋" w:cs="仿宋"/>
          <w:b w:val="0"/>
          <w:bCs w:val="0"/>
          <w:i w:val="0"/>
          <w:iCs w:val="0"/>
          <w:color w:val="auto"/>
          <w:sz w:val="28"/>
          <w:szCs w:val="28"/>
          <w:highlight w:val="none"/>
          <w:lang w:val="en-US" w:eastAsia="zh-CN"/>
        </w:rPr>
        <w:t>工程</w:t>
      </w:r>
      <w:r>
        <w:rPr>
          <w:rFonts w:hint="eastAsia" w:ascii="仿宋" w:hAnsi="仿宋" w:eastAsia="仿宋" w:cs="仿宋"/>
          <w:b w:val="0"/>
          <w:bCs w:val="0"/>
          <w:i w:val="0"/>
          <w:iCs w:val="0"/>
          <w:color w:val="auto"/>
          <w:sz w:val="28"/>
          <w:szCs w:val="28"/>
          <w:highlight w:val="none"/>
          <w:u w:val="none"/>
          <w:shd w:val="clear" w:color="auto" w:fill="auto"/>
          <w:lang w:val="en-US" w:eastAsia="zh-CN"/>
        </w:rPr>
        <w:t>完成合格工程量对应造价的</w:t>
      </w:r>
      <w:r>
        <w:rPr>
          <w:rFonts w:hint="eastAsia" w:ascii="仿宋" w:hAnsi="仿宋" w:eastAsia="仿宋" w:cs="仿宋"/>
          <w:b w:val="0"/>
          <w:bCs w:val="0"/>
          <w:i w:val="0"/>
          <w:iCs w:val="0"/>
          <w:caps w:val="0"/>
          <w:color w:val="auto"/>
          <w:spacing w:val="0"/>
          <w:sz w:val="28"/>
          <w:szCs w:val="28"/>
          <w:highlight w:val="none"/>
          <w:u w:val="single"/>
          <w:lang w:val="en-US" w:eastAsia="zh-CN"/>
        </w:rPr>
        <w:t xml:space="preserve"> 30 </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color w:val="auto"/>
          <w:sz w:val="28"/>
          <w:szCs w:val="28"/>
          <w:highlight w:val="none"/>
          <w:lang w:val="en-US" w:eastAsia="zh-CN"/>
        </w:rPr>
        <w:t>含甲方工人工资专用账户支付给乙方工人工资款额</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w:t>
      </w:r>
    </w:p>
    <w:p w14:paraId="7CB5AE80">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.1.2</w:t>
      </w:r>
      <w:r>
        <w:rPr>
          <w:rFonts w:hint="eastAsia" w:ascii="仿宋" w:hAnsi="仿宋" w:eastAsia="仿宋" w:cs="仿宋"/>
          <w:i w:val="0"/>
          <w:iCs w:val="0"/>
          <w:color w:val="auto"/>
          <w:sz w:val="28"/>
          <w:szCs w:val="28"/>
          <w:highlight w:val="none"/>
          <w:lang w:val="en-US" w:eastAsia="zh-CN"/>
        </w:rPr>
        <w:t>本工程涉及的</w:t>
      </w:r>
      <w:r>
        <w:rPr>
          <w:rFonts w:hint="eastAsia" w:ascii="仿宋" w:hAnsi="仿宋" w:eastAsia="仿宋" w:cs="仿宋"/>
          <w:b w:val="0"/>
          <w:bCs w:val="0"/>
          <w:i w:val="0"/>
          <w:iCs w:val="0"/>
          <w:color w:val="auto"/>
          <w:sz w:val="28"/>
          <w:szCs w:val="28"/>
          <w:highlight w:val="none"/>
        </w:rPr>
        <w:t>固定玻璃、窗扇安装完毕，</w:t>
      </w:r>
      <w:r>
        <w:rPr>
          <w:rFonts w:hint="eastAsia" w:ascii="仿宋" w:hAnsi="仿宋" w:eastAsia="仿宋" w:cs="仿宋"/>
          <w:b w:val="0"/>
          <w:bCs w:val="0"/>
          <w:i w:val="0"/>
          <w:iCs w:val="0"/>
          <w:color w:val="auto"/>
          <w:sz w:val="28"/>
          <w:szCs w:val="28"/>
          <w:highlight w:val="none"/>
          <w:lang w:val="en-US" w:eastAsia="zh-CN"/>
        </w:rPr>
        <w:t>并经甲方确认且乙方提供</w:t>
      </w:r>
      <w:r>
        <w:rPr>
          <w:rFonts w:hint="eastAsia" w:ascii="仿宋" w:hAnsi="仿宋" w:eastAsia="仿宋" w:cs="仿宋"/>
          <w:b w:val="0"/>
          <w:bCs w:val="0"/>
          <w:i w:val="0"/>
          <w:iCs w:val="0"/>
          <w:color w:val="auto"/>
          <w:sz w:val="28"/>
          <w:szCs w:val="28"/>
          <w:highlight w:val="none"/>
        </w:rPr>
        <w:t>所有检测检验报告</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color w:val="auto"/>
          <w:sz w:val="28"/>
          <w:szCs w:val="28"/>
          <w:highlight w:val="none"/>
          <w:u w:val="none"/>
          <w:lang w:val="en-US" w:eastAsia="zh-CN"/>
        </w:rPr>
        <w:t>所有资料原件、复印件（须详列清单目录）及</w:t>
      </w:r>
      <w:r>
        <w:rPr>
          <w:rFonts w:hint="eastAsia" w:ascii="仿宋" w:hAnsi="仿宋" w:eastAsia="仿宋" w:cs="仿宋"/>
          <w:b w:val="0"/>
          <w:bCs w:val="0"/>
          <w:i w:val="0"/>
          <w:iCs w:val="0"/>
          <w:color w:val="auto"/>
          <w:sz w:val="28"/>
          <w:szCs w:val="28"/>
          <w:highlight w:val="none"/>
        </w:rPr>
        <w:t>全部</w:t>
      </w:r>
      <w:r>
        <w:rPr>
          <w:rFonts w:hint="eastAsia" w:ascii="仿宋" w:hAnsi="仿宋" w:eastAsia="仿宋" w:cs="仿宋"/>
          <w:b w:val="0"/>
          <w:bCs w:val="0"/>
          <w:i w:val="0"/>
          <w:iCs w:val="0"/>
          <w:color w:val="auto"/>
          <w:sz w:val="28"/>
          <w:szCs w:val="28"/>
          <w:highlight w:val="none"/>
          <w:lang w:val="en-US" w:eastAsia="zh-CN"/>
        </w:rPr>
        <w:t>款项审批资料（包括</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lang w:val="en-US" w:eastAsia="zh-CN"/>
        </w:rPr>
        <w:t>实名制报备登记和打卡的</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建筑工人</w:t>
      </w:r>
      <w:r>
        <w:rPr>
          <w:rFonts w:hint="eastAsia" w:ascii="仿宋" w:hAnsi="仿宋" w:eastAsia="仿宋" w:cs="仿宋"/>
          <w:b w:val="0"/>
          <w:bCs w:val="0"/>
          <w:i w:val="0"/>
          <w:iCs w:val="0"/>
          <w:color w:val="auto"/>
          <w:sz w:val="28"/>
          <w:szCs w:val="28"/>
          <w:highlight w:val="none"/>
        </w:rPr>
        <w:t>工资表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等</w:t>
      </w:r>
      <w:r>
        <w:rPr>
          <w:rFonts w:hint="eastAsia" w:ascii="仿宋" w:hAnsi="仿宋" w:eastAsia="仿宋" w:cs="仿宋"/>
          <w:b w:val="0"/>
          <w:bCs w:val="0"/>
          <w:i w:val="0"/>
          <w:iCs w:val="0"/>
          <w:color w:val="auto"/>
          <w:sz w:val="28"/>
          <w:szCs w:val="28"/>
          <w:highlight w:val="none"/>
          <w:lang w:val="en-US" w:eastAsia="zh-CN"/>
        </w:rPr>
        <w:t>）给甲方后</w:t>
      </w:r>
      <w:r>
        <w:rPr>
          <w:rFonts w:hint="eastAsia" w:ascii="仿宋" w:hAnsi="仿宋" w:eastAsia="仿宋" w:cs="仿宋"/>
          <w:b w:val="0"/>
          <w:bCs w:val="0"/>
          <w:i w:val="0"/>
          <w:iCs w:val="0"/>
          <w:color w:val="auto"/>
          <w:sz w:val="28"/>
          <w:szCs w:val="28"/>
          <w:highlight w:val="none"/>
        </w:rPr>
        <w:t>，甲方</w:t>
      </w:r>
      <w:r>
        <w:rPr>
          <w:rFonts w:hint="eastAsia" w:ascii="仿宋" w:hAnsi="仿宋" w:eastAsia="仿宋" w:cs="仿宋"/>
          <w:b w:val="0"/>
          <w:bCs w:val="0"/>
          <w:i w:val="0"/>
          <w:iCs w:val="0"/>
          <w:color w:val="auto"/>
          <w:sz w:val="28"/>
          <w:szCs w:val="28"/>
          <w:highlight w:val="none"/>
          <w:lang w:val="en-US" w:eastAsia="zh-CN"/>
        </w:rPr>
        <w:t>累计</w:t>
      </w:r>
      <w:r>
        <w:rPr>
          <w:rFonts w:hint="eastAsia" w:ascii="仿宋" w:hAnsi="仿宋" w:eastAsia="仿宋" w:cs="仿宋"/>
          <w:b w:val="0"/>
          <w:bCs w:val="0"/>
          <w:i w:val="0"/>
          <w:iCs w:val="0"/>
          <w:color w:val="auto"/>
          <w:sz w:val="28"/>
          <w:szCs w:val="28"/>
          <w:highlight w:val="none"/>
        </w:rPr>
        <w:t>支付至</w:t>
      </w:r>
      <w:r>
        <w:rPr>
          <w:rFonts w:hint="eastAsia" w:ascii="仿宋" w:hAnsi="仿宋" w:eastAsia="仿宋" w:cs="仿宋"/>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铝合金门窗</w:t>
      </w:r>
      <w:r>
        <w:rPr>
          <w:rFonts w:hint="eastAsia" w:ascii="仿宋" w:hAnsi="仿宋" w:eastAsia="仿宋" w:cs="仿宋"/>
          <w:b w:val="0"/>
          <w:bCs w:val="0"/>
          <w:i w:val="0"/>
          <w:iCs w:val="0"/>
          <w:color w:val="auto"/>
          <w:sz w:val="28"/>
          <w:szCs w:val="28"/>
          <w:highlight w:val="none"/>
          <w:lang w:val="en-US" w:eastAsia="zh-CN"/>
        </w:rPr>
        <w:t>工程</w:t>
      </w:r>
      <w:r>
        <w:rPr>
          <w:rFonts w:hint="eastAsia" w:ascii="仿宋" w:hAnsi="仿宋" w:eastAsia="仿宋" w:cs="仿宋"/>
          <w:b w:val="0"/>
          <w:bCs w:val="0"/>
          <w:i w:val="0"/>
          <w:iCs w:val="0"/>
          <w:color w:val="auto"/>
          <w:sz w:val="28"/>
          <w:szCs w:val="28"/>
          <w:highlight w:val="none"/>
          <w:u w:val="none"/>
          <w:shd w:val="clear" w:color="auto" w:fill="auto"/>
          <w:lang w:val="en-US" w:eastAsia="zh-CN"/>
        </w:rPr>
        <w:t>完成合格工程量对应造价的</w:t>
      </w:r>
      <w:r>
        <w:rPr>
          <w:rFonts w:hint="eastAsia" w:ascii="仿宋" w:hAnsi="仿宋" w:eastAsia="仿宋" w:cs="仿宋"/>
          <w:b w:val="0"/>
          <w:bCs w:val="0"/>
          <w:i w:val="0"/>
          <w:iCs w:val="0"/>
          <w:caps w:val="0"/>
          <w:color w:val="auto"/>
          <w:spacing w:val="0"/>
          <w:sz w:val="28"/>
          <w:szCs w:val="28"/>
          <w:highlight w:val="none"/>
          <w:u w:val="single"/>
          <w:lang w:val="en-US" w:eastAsia="zh-CN"/>
        </w:rPr>
        <w:t xml:space="preserve"> 70 </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color w:val="auto"/>
          <w:sz w:val="28"/>
          <w:szCs w:val="28"/>
          <w:highlight w:val="none"/>
          <w:lang w:val="en-US" w:eastAsia="zh-CN"/>
        </w:rPr>
        <w:t>含甲方工人工资专用账户支付给乙方工人工资款额</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w:t>
      </w:r>
    </w:p>
    <w:p w14:paraId="7669749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8.1.3</w:t>
      </w:r>
      <w:r>
        <w:rPr>
          <w:rFonts w:hint="eastAsia" w:ascii="仿宋" w:hAnsi="仿宋" w:eastAsia="仿宋" w:cs="仿宋"/>
          <w:i w:val="0"/>
          <w:iCs w:val="0"/>
          <w:caps w:val="0"/>
          <w:color w:val="auto"/>
          <w:spacing w:val="0"/>
          <w:sz w:val="28"/>
          <w:szCs w:val="28"/>
          <w:highlight w:val="none"/>
          <w:lang w:val="en-US" w:eastAsia="zh-CN"/>
        </w:rPr>
        <w:t>本项目乙方承包范围内全部工作内容施工完成，经政府主管部门竣工综合验收通过（如需），</w:t>
      </w:r>
      <w:r>
        <w:rPr>
          <w:rFonts w:hint="eastAsia" w:ascii="仿宋" w:hAnsi="仿宋" w:eastAsia="仿宋" w:cs="仿宋"/>
          <w:color w:val="auto"/>
          <w:sz w:val="28"/>
          <w:szCs w:val="28"/>
          <w:highlight w:val="none"/>
          <w:lang w:val="en-US" w:eastAsia="zh-CN"/>
        </w:rPr>
        <w:t>乙方将验收通过的政府主管部门文件、报告原件、所有工程资料、报告等（须详列完整资料清单目录）移交甲方签收，本项目经</w:t>
      </w:r>
      <w:r>
        <w:rPr>
          <w:rFonts w:hint="eastAsia" w:ascii="仿宋" w:hAnsi="仿宋" w:eastAsia="仿宋" w:cs="仿宋"/>
          <w:b w:val="0"/>
          <w:bCs w:val="0"/>
          <w:i w:val="0"/>
          <w:iCs w:val="0"/>
          <w:color w:val="auto"/>
          <w:sz w:val="28"/>
          <w:szCs w:val="28"/>
          <w:highlight w:val="none"/>
          <w:u w:val="none"/>
          <w:shd w:val="clear" w:color="auto" w:fill="auto"/>
          <w:lang w:val="en-US" w:eastAsia="zh-CN"/>
        </w:rPr>
        <w:t>建设单位、监理、甲方、物业管理单位（如有）等验收通过且移交建设单位后，甲方支付至</w:t>
      </w:r>
      <w:r>
        <w:rPr>
          <w:rFonts w:hint="eastAsia" w:ascii="仿宋" w:hAnsi="仿宋" w:eastAsia="仿宋" w:cs="仿宋"/>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铝合金门窗</w:t>
      </w:r>
      <w:r>
        <w:rPr>
          <w:rFonts w:hint="eastAsia" w:ascii="仿宋" w:hAnsi="仿宋" w:eastAsia="仿宋" w:cs="仿宋"/>
          <w:b w:val="0"/>
          <w:bCs w:val="0"/>
          <w:i w:val="0"/>
          <w:iCs w:val="0"/>
          <w:color w:val="auto"/>
          <w:sz w:val="28"/>
          <w:szCs w:val="28"/>
          <w:highlight w:val="none"/>
          <w:lang w:val="en-US" w:eastAsia="zh-CN"/>
        </w:rPr>
        <w:t>工程</w:t>
      </w:r>
      <w:r>
        <w:rPr>
          <w:rFonts w:hint="eastAsia" w:ascii="仿宋" w:hAnsi="仿宋" w:eastAsia="仿宋" w:cs="仿宋"/>
          <w:b w:val="0"/>
          <w:bCs w:val="0"/>
          <w:i w:val="0"/>
          <w:iCs w:val="0"/>
          <w:color w:val="auto"/>
          <w:sz w:val="28"/>
          <w:szCs w:val="28"/>
          <w:highlight w:val="none"/>
          <w:u w:val="none"/>
          <w:shd w:val="clear" w:color="auto" w:fill="auto"/>
          <w:lang w:val="en-US" w:eastAsia="zh-CN"/>
        </w:rPr>
        <w:t>完成合格工程量对应造价的</w:t>
      </w:r>
      <w:r>
        <w:rPr>
          <w:rFonts w:hint="eastAsia" w:ascii="仿宋" w:hAnsi="仿宋" w:eastAsia="仿宋" w:cs="仿宋"/>
          <w:i w:val="0"/>
          <w:iCs w:val="0"/>
          <w:caps w:val="0"/>
          <w:color w:val="auto"/>
          <w:spacing w:val="0"/>
          <w:sz w:val="28"/>
          <w:szCs w:val="28"/>
          <w:highlight w:val="none"/>
          <w:u w:val="single"/>
          <w:lang w:val="en-US" w:eastAsia="zh-CN"/>
        </w:rPr>
        <w:t xml:space="preserve"> 80 </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含甲方工人工资专用账户支付给乙方工人工资款额</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DBFEB23">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8.1.4本项目乙方承包范围内全部工作内容（含合同8.1.3条款所述内容，仅不含保修内容）完成后，乙方向甲方申请办理本工程结算，甲乙双方就结算金额达成书面一致意见且乙方开具金额等于结算总价100%的发票给甲方后，甲方付至结算总价的97%（</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含甲方工人工资专用账户支付给乙方工人工资款额</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56BC7547">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cyan"/>
          <w:lang w:val="en-US" w:eastAsia="zh-CN"/>
        </w:rPr>
      </w:pPr>
      <w:r>
        <w:rPr>
          <w:rFonts w:hint="eastAsia" w:ascii="仿宋" w:hAnsi="仿宋" w:eastAsia="仿宋" w:cs="仿宋"/>
          <w:b w:val="0"/>
          <w:bCs w:val="0"/>
          <w:i w:val="0"/>
          <w:iCs w:val="0"/>
          <w:color w:val="auto"/>
          <w:sz w:val="28"/>
          <w:szCs w:val="28"/>
          <w:highlight w:val="none"/>
          <w:lang w:val="en-US" w:eastAsia="zh-CN"/>
        </w:rPr>
        <w:t>8.1.5本工程结算总价的3%作为保修金，保修期满且乙方如实履行保修义务、责任后无息结清。本合同项下存在两个或两个以上保修期限的，以最长保修期限为准。甲方付清保修金后，乙方仍须如实履行合同约定的保修义务及责任。</w:t>
      </w:r>
    </w:p>
    <w:p w14:paraId="47D982A5">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8</w:t>
      </w:r>
      <w:r>
        <w:rPr>
          <w:rFonts w:hint="eastAsia" w:ascii="仿宋" w:hAnsi="仿宋" w:eastAsia="仿宋" w:cs="仿宋"/>
          <w:b/>
          <w:bCs/>
          <w:i w:val="0"/>
          <w:iCs w:val="0"/>
          <w:color w:val="auto"/>
          <w:sz w:val="28"/>
          <w:szCs w:val="28"/>
          <w:highlight w:val="none"/>
        </w:rPr>
        <w:t>.1铝合金门窗工程付款方式</w:t>
      </w:r>
      <w:r>
        <w:rPr>
          <w:rFonts w:hint="eastAsia" w:ascii="仿宋" w:hAnsi="仿宋" w:eastAsia="仿宋" w:cs="仿宋"/>
          <w:b/>
          <w:bCs/>
          <w:i w:val="0"/>
          <w:iCs w:val="0"/>
          <w:color w:val="auto"/>
          <w:sz w:val="28"/>
          <w:szCs w:val="28"/>
          <w:highlight w:val="none"/>
          <w:lang w:val="en-US" w:eastAsia="zh-CN"/>
        </w:rPr>
        <w:t>二</w:t>
      </w:r>
    </w:p>
    <w:p w14:paraId="21C0484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lang w:val="en-US" w:eastAsia="zh-CN"/>
        </w:rPr>
        <w:t xml:space="preserve">（如定标结果的付款方式与上述“8.1条付款方式一”不一致，则将定标结果的付款方式填写在此处作为合同付款方式。 ） </w:t>
      </w:r>
    </w:p>
    <w:p w14:paraId="17225BB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FE"/>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8</w:t>
      </w:r>
      <w:r>
        <w:rPr>
          <w:rFonts w:hint="eastAsia" w:ascii="仿宋" w:hAnsi="仿宋" w:eastAsia="仿宋" w:cs="仿宋"/>
          <w:b/>
          <w:bCs/>
          <w:i w:val="0"/>
          <w:iCs w:val="0"/>
          <w:color w:val="auto"/>
          <w:sz w:val="28"/>
          <w:szCs w:val="28"/>
          <w:highlight w:val="none"/>
        </w:rPr>
        <w:t>.2</w:t>
      </w:r>
      <w:r>
        <w:rPr>
          <w:rFonts w:hint="eastAsia" w:ascii="仿宋" w:hAnsi="仿宋" w:eastAsia="仿宋" w:cs="仿宋"/>
          <w:b/>
          <w:bCs/>
          <w:i w:val="0"/>
          <w:iCs w:val="0"/>
          <w:color w:val="auto"/>
          <w:sz w:val="28"/>
          <w:szCs w:val="28"/>
          <w:highlight w:val="none"/>
          <w:lang w:val="en-US" w:eastAsia="zh-CN"/>
        </w:rPr>
        <w:t>除铝合金门窗工程外的乙方承包范围内其他</w:t>
      </w:r>
      <w:r>
        <w:rPr>
          <w:rFonts w:hint="eastAsia" w:ascii="仿宋" w:hAnsi="仿宋" w:eastAsia="仿宋" w:cs="仿宋"/>
          <w:b/>
          <w:bCs/>
          <w:i w:val="0"/>
          <w:iCs w:val="0"/>
          <w:color w:val="auto"/>
          <w:sz w:val="28"/>
          <w:szCs w:val="28"/>
          <w:highlight w:val="none"/>
        </w:rPr>
        <w:t>工程</w:t>
      </w:r>
      <w:r>
        <w:rPr>
          <w:rFonts w:hint="eastAsia" w:ascii="仿宋" w:hAnsi="仿宋" w:eastAsia="仿宋" w:cs="仿宋"/>
          <w:b/>
          <w:bCs/>
          <w:i w:val="0"/>
          <w:iCs w:val="0"/>
          <w:color w:val="auto"/>
          <w:sz w:val="28"/>
          <w:szCs w:val="28"/>
          <w:highlight w:val="none"/>
          <w:lang w:eastAsia="zh-CN"/>
        </w:rPr>
        <w:t>（</w:t>
      </w:r>
      <w:r>
        <w:rPr>
          <w:rFonts w:hint="eastAsia" w:ascii="仿宋" w:hAnsi="仿宋" w:eastAsia="仿宋" w:cs="仿宋"/>
          <w:b/>
          <w:bCs/>
          <w:i w:val="0"/>
          <w:iCs w:val="0"/>
          <w:color w:val="auto"/>
          <w:sz w:val="28"/>
          <w:szCs w:val="28"/>
          <w:highlight w:val="none"/>
          <w:lang w:val="en-US" w:eastAsia="zh-CN"/>
        </w:rPr>
        <w:t>本条款内简称“其他工程”</w:t>
      </w:r>
      <w:r>
        <w:rPr>
          <w:rFonts w:hint="eastAsia" w:ascii="仿宋" w:hAnsi="仿宋" w:eastAsia="仿宋" w:cs="仿宋"/>
          <w:b/>
          <w:bCs/>
          <w:i w:val="0"/>
          <w:iCs w:val="0"/>
          <w:color w:val="auto"/>
          <w:sz w:val="28"/>
          <w:szCs w:val="28"/>
          <w:highlight w:val="none"/>
          <w:lang w:eastAsia="zh-CN"/>
        </w:rPr>
        <w:t>）</w:t>
      </w:r>
      <w:r>
        <w:rPr>
          <w:rFonts w:hint="eastAsia" w:ascii="仿宋" w:hAnsi="仿宋" w:eastAsia="仿宋" w:cs="仿宋"/>
          <w:b/>
          <w:bCs/>
          <w:i w:val="0"/>
          <w:iCs w:val="0"/>
          <w:color w:val="auto"/>
          <w:sz w:val="28"/>
          <w:szCs w:val="28"/>
          <w:highlight w:val="none"/>
        </w:rPr>
        <w:t>付款方式</w:t>
      </w:r>
      <w:r>
        <w:rPr>
          <w:rFonts w:hint="eastAsia" w:ascii="仿宋" w:hAnsi="仿宋" w:eastAsia="仿宋" w:cs="仿宋"/>
          <w:b/>
          <w:bCs/>
          <w:i w:val="0"/>
          <w:iCs w:val="0"/>
          <w:color w:val="auto"/>
          <w:sz w:val="28"/>
          <w:szCs w:val="28"/>
          <w:highlight w:val="none"/>
          <w:lang w:val="en-US" w:eastAsia="zh-CN"/>
        </w:rPr>
        <w:t>一</w:t>
      </w:r>
    </w:p>
    <w:p w14:paraId="2E501AE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完成</w:t>
      </w:r>
      <w:r>
        <w:rPr>
          <w:rFonts w:hint="eastAsia" w:ascii="仿宋" w:hAnsi="仿宋" w:eastAsia="仿宋" w:cs="仿宋"/>
          <w:b w:val="0"/>
          <w:bCs w:val="0"/>
          <w:i w:val="0"/>
          <w:iCs w:val="0"/>
          <w:color w:val="auto"/>
          <w:sz w:val="28"/>
          <w:szCs w:val="28"/>
          <w:highlight w:val="none"/>
          <w:lang w:val="en-US" w:eastAsia="zh-CN"/>
        </w:rPr>
        <w:t>其他工程</w:t>
      </w:r>
      <w:r>
        <w:rPr>
          <w:rFonts w:hint="eastAsia" w:ascii="仿宋" w:hAnsi="仿宋" w:eastAsia="仿宋" w:cs="仿宋"/>
          <w:b w:val="0"/>
          <w:bCs w:val="0"/>
          <w:i w:val="0"/>
          <w:iCs w:val="0"/>
          <w:color w:val="auto"/>
          <w:sz w:val="28"/>
          <w:szCs w:val="28"/>
          <w:highlight w:val="none"/>
        </w:rPr>
        <w:t>总量的</w:t>
      </w:r>
      <w:r>
        <w:rPr>
          <w:rFonts w:hint="eastAsia" w:ascii="仿宋" w:hAnsi="仿宋" w:eastAsia="仿宋" w:cs="仿宋"/>
          <w:b w:val="0"/>
          <w:bCs w:val="0"/>
          <w:i w:val="0"/>
          <w:iCs w:val="0"/>
          <w:color w:val="auto"/>
          <w:sz w:val="28"/>
          <w:szCs w:val="28"/>
          <w:highlight w:val="none"/>
          <w:u w:val="single"/>
        </w:rPr>
        <w:t>30%</w:t>
      </w:r>
      <w:r>
        <w:rPr>
          <w:rFonts w:hint="eastAsia" w:ascii="仿宋" w:hAnsi="仿宋" w:eastAsia="仿宋" w:cs="仿宋"/>
          <w:b w:val="0"/>
          <w:bCs w:val="0"/>
          <w:i w:val="0"/>
          <w:iCs w:val="0"/>
          <w:color w:val="auto"/>
          <w:sz w:val="28"/>
          <w:szCs w:val="28"/>
          <w:highlight w:val="none"/>
        </w:rPr>
        <w:t>以上并经甲方确认，乙方提供</w:t>
      </w:r>
      <w:r>
        <w:rPr>
          <w:rFonts w:hint="eastAsia" w:ascii="仿宋" w:hAnsi="仿宋" w:eastAsia="仿宋" w:cs="仿宋"/>
          <w:b w:val="0"/>
          <w:bCs w:val="0"/>
          <w:i w:val="0"/>
          <w:iCs w:val="0"/>
          <w:color w:val="auto"/>
          <w:sz w:val="28"/>
          <w:szCs w:val="28"/>
          <w:highlight w:val="none"/>
          <w:lang w:val="en-US" w:eastAsia="zh-CN"/>
        </w:rPr>
        <w:t>实名制报备登记和打卡的</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建筑工人</w:t>
      </w:r>
      <w:r>
        <w:rPr>
          <w:rFonts w:hint="eastAsia" w:ascii="仿宋" w:hAnsi="仿宋" w:eastAsia="仿宋" w:cs="仿宋"/>
          <w:b w:val="0"/>
          <w:bCs w:val="0"/>
          <w:i w:val="0"/>
          <w:iCs w:val="0"/>
          <w:color w:val="auto"/>
          <w:sz w:val="28"/>
          <w:szCs w:val="28"/>
          <w:highlight w:val="none"/>
        </w:rPr>
        <w:t>工资表》等相关进度款审批文件给甲方，</w:t>
      </w:r>
      <w:r>
        <w:rPr>
          <w:rFonts w:hint="eastAsia" w:ascii="仿宋" w:hAnsi="仿宋" w:eastAsia="仿宋" w:cs="仿宋"/>
          <w:b w:val="0"/>
          <w:bCs w:val="0"/>
          <w:i w:val="0"/>
          <w:iCs w:val="0"/>
          <w:color w:val="auto"/>
          <w:sz w:val="28"/>
          <w:szCs w:val="28"/>
          <w:highlight w:val="none"/>
          <w:lang w:val="en-US" w:eastAsia="zh-CN"/>
        </w:rPr>
        <w:t>甲方审核无误后支付至其他</w:t>
      </w:r>
      <w:r>
        <w:rPr>
          <w:rFonts w:hint="eastAsia" w:ascii="仿宋" w:hAnsi="仿宋" w:eastAsia="仿宋" w:cs="仿宋"/>
          <w:b w:val="0"/>
          <w:bCs w:val="0"/>
          <w:i w:val="0"/>
          <w:iCs w:val="0"/>
          <w:color w:val="auto"/>
          <w:sz w:val="28"/>
          <w:szCs w:val="28"/>
          <w:highlight w:val="none"/>
        </w:rPr>
        <w:t>工程</w:t>
      </w:r>
      <w:r>
        <w:rPr>
          <w:rFonts w:hint="eastAsia" w:ascii="仿宋" w:hAnsi="仿宋" w:eastAsia="仿宋" w:cs="仿宋"/>
          <w:b w:val="0"/>
          <w:bCs w:val="0"/>
          <w:i w:val="0"/>
          <w:iCs w:val="0"/>
          <w:color w:val="auto"/>
          <w:sz w:val="28"/>
          <w:szCs w:val="28"/>
          <w:highlight w:val="none"/>
          <w:u w:val="none"/>
          <w:shd w:val="clear" w:color="auto" w:fill="auto"/>
          <w:lang w:val="en-US" w:eastAsia="zh-CN"/>
        </w:rPr>
        <w:t>完成合格工程量对应造价</w:t>
      </w:r>
      <w:r>
        <w:rPr>
          <w:rFonts w:hint="eastAsia" w:ascii="仿宋" w:hAnsi="仿宋" w:eastAsia="仿宋" w:cs="仿宋"/>
          <w:b w:val="0"/>
          <w:bCs w:val="0"/>
          <w:i w:val="0"/>
          <w:iCs w:val="0"/>
          <w:color w:val="auto"/>
          <w:sz w:val="28"/>
          <w:szCs w:val="28"/>
          <w:highlight w:val="none"/>
          <w:lang w:val="en-US" w:eastAsia="zh-CN"/>
        </w:rPr>
        <w:t>的</w:t>
      </w:r>
      <w:r>
        <w:rPr>
          <w:rFonts w:hint="eastAsia" w:ascii="仿宋" w:hAnsi="仿宋" w:eastAsia="仿宋" w:cs="仿宋"/>
          <w:b w:val="0"/>
          <w:bCs w:val="0"/>
          <w:i w:val="0"/>
          <w:iCs w:val="0"/>
          <w:color w:val="auto"/>
          <w:sz w:val="28"/>
          <w:szCs w:val="28"/>
          <w:highlight w:val="none"/>
          <w:u w:val="single"/>
          <w:lang w:val="en-US" w:eastAsia="zh-CN"/>
        </w:rPr>
        <w:t xml:space="preserve"> 70 </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含甲方工人工资专用账户支付给乙方工人工资款额</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w:t>
      </w:r>
    </w:p>
    <w:p w14:paraId="5A89C66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.2.2</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完成其</w:t>
      </w:r>
      <w:r>
        <w:rPr>
          <w:rFonts w:hint="eastAsia" w:ascii="仿宋" w:hAnsi="仿宋" w:eastAsia="仿宋" w:cs="仿宋"/>
          <w:b w:val="0"/>
          <w:bCs w:val="0"/>
          <w:i w:val="0"/>
          <w:iCs w:val="0"/>
          <w:color w:val="auto"/>
          <w:sz w:val="28"/>
          <w:szCs w:val="28"/>
          <w:highlight w:val="none"/>
          <w:lang w:val="en-US" w:eastAsia="zh-CN"/>
        </w:rPr>
        <w:t>他工程</w:t>
      </w:r>
      <w:r>
        <w:rPr>
          <w:rFonts w:hint="eastAsia" w:ascii="仿宋" w:hAnsi="仿宋" w:eastAsia="仿宋" w:cs="仿宋"/>
          <w:b w:val="0"/>
          <w:bCs w:val="0"/>
          <w:i w:val="0"/>
          <w:iCs w:val="0"/>
          <w:color w:val="auto"/>
          <w:sz w:val="28"/>
          <w:szCs w:val="28"/>
          <w:highlight w:val="none"/>
        </w:rPr>
        <w:t>总量的</w:t>
      </w:r>
      <w:r>
        <w:rPr>
          <w:rFonts w:hint="eastAsia" w:ascii="仿宋" w:hAnsi="仿宋" w:eastAsia="仿宋" w:cs="仿宋"/>
          <w:b w:val="0"/>
          <w:bCs w:val="0"/>
          <w:i w:val="0"/>
          <w:iCs w:val="0"/>
          <w:color w:val="auto"/>
          <w:sz w:val="28"/>
          <w:szCs w:val="28"/>
          <w:highlight w:val="none"/>
          <w:u w:val="single"/>
        </w:rPr>
        <w:t>50%</w:t>
      </w:r>
      <w:r>
        <w:rPr>
          <w:rFonts w:hint="eastAsia" w:ascii="仿宋" w:hAnsi="仿宋" w:eastAsia="仿宋" w:cs="仿宋"/>
          <w:b w:val="0"/>
          <w:bCs w:val="0"/>
          <w:i w:val="0"/>
          <w:iCs w:val="0"/>
          <w:color w:val="auto"/>
          <w:sz w:val="28"/>
          <w:szCs w:val="28"/>
          <w:highlight w:val="none"/>
        </w:rPr>
        <w:t>以上并经甲方确认，乙方提供</w:t>
      </w:r>
      <w:r>
        <w:rPr>
          <w:rFonts w:hint="eastAsia" w:ascii="仿宋" w:hAnsi="仿宋" w:eastAsia="仿宋" w:cs="仿宋"/>
          <w:b w:val="0"/>
          <w:bCs w:val="0"/>
          <w:i w:val="0"/>
          <w:iCs w:val="0"/>
          <w:color w:val="auto"/>
          <w:sz w:val="28"/>
          <w:szCs w:val="28"/>
          <w:highlight w:val="none"/>
          <w:lang w:val="en-US" w:eastAsia="zh-CN"/>
        </w:rPr>
        <w:t>实名制报备登记和打卡的</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建筑工人</w:t>
      </w:r>
      <w:r>
        <w:rPr>
          <w:rFonts w:hint="eastAsia" w:ascii="仿宋" w:hAnsi="仿宋" w:eastAsia="仿宋" w:cs="仿宋"/>
          <w:b w:val="0"/>
          <w:bCs w:val="0"/>
          <w:i w:val="0"/>
          <w:iCs w:val="0"/>
          <w:color w:val="auto"/>
          <w:sz w:val="28"/>
          <w:szCs w:val="28"/>
          <w:highlight w:val="none"/>
        </w:rPr>
        <w:t>工资表》等相关进度款审批文件给甲方，甲方</w:t>
      </w:r>
      <w:r>
        <w:rPr>
          <w:rFonts w:hint="eastAsia" w:ascii="仿宋" w:hAnsi="仿宋" w:eastAsia="仿宋" w:cs="仿宋"/>
          <w:b w:val="0"/>
          <w:bCs w:val="0"/>
          <w:i w:val="0"/>
          <w:iCs w:val="0"/>
          <w:color w:val="auto"/>
          <w:sz w:val="28"/>
          <w:szCs w:val="28"/>
          <w:highlight w:val="none"/>
          <w:lang w:val="en-US" w:eastAsia="zh-CN"/>
        </w:rPr>
        <w:t>审核无误后</w:t>
      </w:r>
      <w:r>
        <w:rPr>
          <w:rFonts w:hint="eastAsia" w:ascii="仿宋" w:hAnsi="仿宋" w:eastAsia="仿宋" w:cs="仿宋"/>
          <w:b w:val="0"/>
          <w:bCs w:val="0"/>
          <w:i w:val="0"/>
          <w:iCs w:val="0"/>
          <w:color w:val="auto"/>
          <w:sz w:val="28"/>
          <w:szCs w:val="28"/>
          <w:highlight w:val="none"/>
        </w:rPr>
        <w:t>支付</w:t>
      </w:r>
      <w:r>
        <w:rPr>
          <w:rFonts w:hint="eastAsia" w:ascii="仿宋" w:hAnsi="仿宋" w:eastAsia="仿宋" w:cs="仿宋"/>
          <w:b w:val="0"/>
          <w:bCs w:val="0"/>
          <w:i w:val="0"/>
          <w:iCs w:val="0"/>
          <w:color w:val="auto"/>
          <w:sz w:val="28"/>
          <w:szCs w:val="28"/>
          <w:highlight w:val="none"/>
          <w:lang w:val="en-US" w:eastAsia="zh-CN"/>
        </w:rPr>
        <w:t>至其他</w:t>
      </w:r>
      <w:r>
        <w:rPr>
          <w:rFonts w:hint="eastAsia" w:ascii="仿宋" w:hAnsi="仿宋" w:eastAsia="仿宋" w:cs="仿宋"/>
          <w:b w:val="0"/>
          <w:bCs w:val="0"/>
          <w:i w:val="0"/>
          <w:iCs w:val="0"/>
          <w:color w:val="auto"/>
          <w:sz w:val="28"/>
          <w:szCs w:val="28"/>
          <w:highlight w:val="none"/>
        </w:rPr>
        <w:t>工程</w:t>
      </w:r>
      <w:r>
        <w:rPr>
          <w:rFonts w:hint="eastAsia" w:ascii="仿宋" w:hAnsi="仿宋" w:eastAsia="仿宋" w:cs="仿宋"/>
          <w:b w:val="0"/>
          <w:bCs w:val="0"/>
          <w:i w:val="0"/>
          <w:iCs w:val="0"/>
          <w:color w:val="auto"/>
          <w:sz w:val="28"/>
          <w:szCs w:val="28"/>
          <w:highlight w:val="none"/>
          <w:u w:val="none"/>
          <w:shd w:val="clear" w:color="auto" w:fill="auto"/>
          <w:lang w:val="en-US" w:eastAsia="zh-CN"/>
        </w:rPr>
        <w:t>完成合格工程量对应造价</w:t>
      </w:r>
      <w:r>
        <w:rPr>
          <w:rFonts w:hint="eastAsia" w:ascii="仿宋" w:hAnsi="仿宋" w:eastAsia="仿宋" w:cs="仿宋"/>
          <w:b w:val="0"/>
          <w:bCs w:val="0"/>
          <w:i w:val="0"/>
          <w:iCs w:val="0"/>
          <w:color w:val="auto"/>
          <w:sz w:val="28"/>
          <w:szCs w:val="28"/>
          <w:highlight w:val="none"/>
        </w:rPr>
        <w:t>的</w:t>
      </w:r>
      <w:r>
        <w:rPr>
          <w:rFonts w:hint="eastAsia" w:ascii="仿宋" w:hAnsi="仿宋" w:eastAsia="仿宋" w:cs="仿宋"/>
          <w:b w:val="0"/>
          <w:bCs w:val="0"/>
          <w:i w:val="0"/>
          <w:iCs w:val="0"/>
          <w:color w:val="auto"/>
          <w:sz w:val="28"/>
          <w:szCs w:val="28"/>
          <w:highlight w:val="none"/>
          <w:u w:val="single"/>
        </w:rPr>
        <w:t xml:space="preserve"> </w:t>
      </w:r>
      <w:r>
        <w:rPr>
          <w:rFonts w:hint="eastAsia" w:ascii="仿宋" w:hAnsi="仿宋" w:eastAsia="仿宋" w:cs="仿宋"/>
          <w:b w:val="0"/>
          <w:bCs w:val="0"/>
          <w:i w:val="0"/>
          <w:iCs w:val="0"/>
          <w:color w:val="auto"/>
          <w:sz w:val="28"/>
          <w:szCs w:val="28"/>
          <w:highlight w:val="none"/>
          <w:u w:val="single"/>
          <w:lang w:val="en-US" w:eastAsia="zh-CN"/>
        </w:rPr>
        <w:t>70</w:t>
      </w:r>
      <w:r>
        <w:rPr>
          <w:rFonts w:hint="eastAsia" w:ascii="仿宋" w:hAnsi="仿宋" w:eastAsia="仿宋" w:cs="仿宋"/>
          <w:b w:val="0"/>
          <w:bCs w:val="0"/>
          <w:i w:val="0"/>
          <w:iCs w:val="0"/>
          <w:color w:val="auto"/>
          <w:sz w:val="28"/>
          <w:szCs w:val="28"/>
          <w:highlight w:val="none"/>
          <w:u w:val="single"/>
        </w:rPr>
        <w:t xml:space="preserve"> </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含甲方工人工资专用账户支付给乙方工人工资款额</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w:t>
      </w:r>
    </w:p>
    <w:p w14:paraId="050288A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u w:val="none"/>
          <w:shd w:val="clear" w:color="auto" w:fill="auto"/>
          <w:lang w:val="en-US" w:eastAsia="zh-CN"/>
        </w:rPr>
        <w:t>8.2.3</w:t>
      </w:r>
      <w:r>
        <w:rPr>
          <w:rFonts w:hint="eastAsia" w:ascii="仿宋" w:hAnsi="仿宋" w:eastAsia="仿宋" w:cs="仿宋"/>
          <w:i w:val="0"/>
          <w:iCs w:val="0"/>
          <w:caps w:val="0"/>
          <w:color w:val="auto"/>
          <w:spacing w:val="0"/>
          <w:sz w:val="28"/>
          <w:szCs w:val="28"/>
          <w:highlight w:val="none"/>
          <w:lang w:val="en-US" w:eastAsia="zh-CN"/>
        </w:rPr>
        <w:t>本项目乙方承包范围内全部工作内容施工完成，经政府主管部门竣工综合验收通过（如需），乙方将验收通过的政府主管部门文件、报告原件、所有工程资料、报告等（须详列完整资料清单目录）移交甲方签收，本项目经建设单位、监理、甲方、物业管理单位（如有）等验收通过且移交建设单位后</w:t>
      </w:r>
      <w:r>
        <w:rPr>
          <w:rFonts w:hint="eastAsia" w:ascii="仿宋" w:hAnsi="仿宋" w:eastAsia="仿宋" w:cs="仿宋"/>
          <w:b w:val="0"/>
          <w:bCs w:val="0"/>
          <w:i w:val="0"/>
          <w:iCs w:val="0"/>
          <w:color w:val="auto"/>
          <w:sz w:val="28"/>
          <w:szCs w:val="28"/>
          <w:highlight w:val="none"/>
          <w:u w:val="none"/>
          <w:shd w:val="clear" w:color="auto" w:fill="auto"/>
          <w:lang w:val="en-US" w:eastAsia="zh-CN"/>
        </w:rPr>
        <w:t>，甲方支付至</w:t>
      </w:r>
      <w:r>
        <w:rPr>
          <w:rFonts w:hint="eastAsia" w:ascii="仿宋" w:hAnsi="仿宋" w:eastAsia="仿宋" w:cs="仿宋"/>
          <w:b w:val="0"/>
          <w:bCs w:val="0"/>
          <w:i w:val="0"/>
          <w:iCs w:val="0"/>
          <w:color w:val="auto"/>
          <w:sz w:val="28"/>
          <w:szCs w:val="28"/>
          <w:highlight w:val="none"/>
          <w:lang w:val="en-US" w:eastAsia="zh-CN"/>
        </w:rPr>
        <w:t>其他</w:t>
      </w:r>
      <w:r>
        <w:rPr>
          <w:rFonts w:hint="eastAsia" w:ascii="仿宋" w:hAnsi="仿宋" w:eastAsia="仿宋" w:cs="仿宋"/>
          <w:b w:val="0"/>
          <w:bCs w:val="0"/>
          <w:i w:val="0"/>
          <w:iCs w:val="0"/>
          <w:color w:val="auto"/>
          <w:sz w:val="28"/>
          <w:szCs w:val="28"/>
          <w:highlight w:val="none"/>
        </w:rPr>
        <w:t>工程</w:t>
      </w:r>
      <w:r>
        <w:rPr>
          <w:rFonts w:hint="eastAsia" w:ascii="仿宋" w:hAnsi="仿宋" w:eastAsia="仿宋" w:cs="仿宋"/>
          <w:b w:val="0"/>
          <w:bCs w:val="0"/>
          <w:i w:val="0"/>
          <w:iCs w:val="0"/>
          <w:color w:val="auto"/>
          <w:sz w:val="28"/>
          <w:szCs w:val="28"/>
          <w:highlight w:val="none"/>
          <w:u w:val="none"/>
          <w:shd w:val="clear" w:color="auto" w:fill="auto"/>
          <w:lang w:val="en-US" w:eastAsia="zh-CN"/>
        </w:rPr>
        <w:t>完成合格工程量对应造价的</w:t>
      </w:r>
      <w:r>
        <w:rPr>
          <w:rFonts w:hint="eastAsia" w:ascii="仿宋" w:hAnsi="仿宋" w:eastAsia="仿宋" w:cs="仿宋"/>
          <w:i w:val="0"/>
          <w:iCs w:val="0"/>
          <w:caps w:val="0"/>
          <w:color w:val="auto"/>
          <w:spacing w:val="0"/>
          <w:sz w:val="28"/>
          <w:szCs w:val="28"/>
          <w:highlight w:val="none"/>
          <w:u w:val="single"/>
          <w:lang w:val="en-US" w:eastAsia="zh-CN"/>
        </w:rPr>
        <w:t xml:space="preserve"> 80 </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含甲方工人工资专用账户支付给乙方工人工资款额</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7951653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color w:val="auto"/>
          <w:highlight w:val="none"/>
        </w:rPr>
      </w:pPr>
      <w:r>
        <w:rPr>
          <w:rFonts w:hint="eastAsia" w:ascii="仿宋" w:hAnsi="仿宋" w:eastAsia="仿宋" w:cs="仿宋"/>
          <w:b w:val="0"/>
          <w:bCs w:val="0"/>
          <w:i w:val="0"/>
          <w:iCs w:val="0"/>
          <w:color w:val="auto"/>
          <w:sz w:val="28"/>
          <w:szCs w:val="28"/>
          <w:highlight w:val="none"/>
          <w:u w:val="none"/>
          <w:shd w:val="clear" w:color="auto" w:fill="auto"/>
          <w:lang w:val="en-US" w:eastAsia="zh-CN"/>
        </w:rPr>
        <w:t>8.2.4本项目乙方承包范围内全部工作内容（含合同8.2.3条款所述内容，仅不含保修内容）完成后，乙方向甲方申请办理本工程结算，甲乙双方就结算金额达成书面一致意见且乙方开具金额等于结算总价100%的发票给甲方后，甲方付至结算总价的97%（</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含甲方工人工资专用账户支付给乙方工人工资款额</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4B4A136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8.2.5本工程结算总价的3%作为保修金，保修期满且乙方如实履行保修义务、责任后无息结清。本合同项下存在两个或两个以上保修期限的，以最长保修期限为准。甲方付清保修金后，乙方仍须如实履行合同约定的保修义务及责任。</w:t>
      </w:r>
    </w:p>
    <w:p w14:paraId="29D0062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8</w:t>
      </w:r>
      <w:r>
        <w:rPr>
          <w:rFonts w:hint="eastAsia" w:ascii="仿宋" w:hAnsi="仿宋" w:eastAsia="仿宋" w:cs="仿宋"/>
          <w:b/>
          <w:bCs/>
          <w:i w:val="0"/>
          <w:iCs w:val="0"/>
          <w:color w:val="auto"/>
          <w:sz w:val="28"/>
          <w:szCs w:val="28"/>
          <w:highlight w:val="none"/>
        </w:rPr>
        <w:t>.2除铝合金门窗工程外的乙方承包范围内其他工程（本条款内简称“其他工程”）付款方式</w:t>
      </w:r>
      <w:r>
        <w:rPr>
          <w:rFonts w:hint="eastAsia" w:ascii="仿宋" w:hAnsi="仿宋" w:eastAsia="仿宋" w:cs="仿宋"/>
          <w:b/>
          <w:bCs/>
          <w:i w:val="0"/>
          <w:iCs w:val="0"/>
          <w:color w:val="auto"/>
          <w:sz w:val="28"/>
          <w:szCs w:val="28"/>
          <w:highlight w:val="none"/>
          <w:lang w:val="en-US" w:eastAsia="zh-CN"/>
        </w:rPr>
        <w:t>二</w:t>
      </w:r>
    </w:p>
    <w:p w14:paraId="3D3D0016">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4" w:firstLineChars="222"/>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lang w:val="en-US" w:eastAsia="zh-CN"/>
        </w:rPr>
        <w:t xml:space="preserve">（如定标结果的付款方式与上述“8.2条付款方式一”不一致，则将定标结果的付款方式填写在此处作为合同付款方式。 ）  </w:t>
      </w:r>
    </w:p>
    <w:p w14:paraId="34A0434B">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8.3对报价清单（详见合同附件）之说明清单之“编制依据”不是“审图通过版图纸”的建筑物/构筑物：在建设单位提供“审图通过版图纸”后，如按该图纸计算出来的工程量与报价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报价清单所列工程量偏差≤±3%，则合同暂定总价、付款方式、各建筑物/构筑物的合同暂定价不作调整。</w:t>
      </w:r>
      <w:bookmarkStart w:id="49" w:name="_Toc19197"/>
      <w:bookmarkStart w:id="50" w:name="_Toc5830"/>
      <w:bookmarkStart w:id="51" w:name="_Toc24215"/>
    </w:p>
    <w:p w14:paraId="73B6A25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21" w:firstLineChars="22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8.4</w:t>
      </w:r>
      <w:r>
        <w:rPr>
          <w:rFonts w:hint="default" w:ascii="仿宋" w:hAnsi="仿宋" w:eastAsia="仿宋" w:cs="仿宋"/>
          <w:color w:val="auto"/>
          <w:sz w:val="28"/>
          <w:highlight w:val="none"/>
          <w:u w:val="none"/>
          <w:lang w:val="en-US" w:eastAsia="zh-CN"/>
        </w:rPr>
        <w:t>合同履约保证金为人民币</w:t>
      </w:r>
      <w:r>
        <w:rPr>
          <w:rFonts w:hint="eastAsia" w:ascii="仿宋" w:hAnsi="仿宋" w:eastAsia="仿宋" w:cs="仿宋"/>
          <w:b/>
          <w:bCs/>
          <w:color w:val="auto"/>
          <w:sz w:val="28"/>
          <w:highlight w:val="none"/>
          <w:u w:val="single"/>
          <w:lang w:val="en-US" w:eastAsia="zh-CN"/>
        </w:rPr>
        <w:t xml:space="preserve"> / </w:t>
      </w:r>
      <w:r>
        <w:rPr>
          <w:rFonts w:hint="default" w:ascii="仿宋" w:hAnsi="仿宋" w:eastAsia="仿宋" w:cs="仿宋"/>
          <w:color w:val="auto"/>
          <w:sz w:val="28"/>
          <w:highlight w:val="none"/>
          <w:u w:val="none"/>
          <w:lang w:val="en-US" w:eastAsia="zh-CN"/>
        </w:rPr>
        <w:t>元整</w:t>
      </w:r>
      <w:r>
        <w:rPr>
          <w:rFonts w:hint="eastAsia" w:ascii="仿宋" w:hAnsi="仿宋" w:eastAsia="仿宋" w:cs="仿宋"/>
          <w:b w:val="0"/>
          <w:bCs w:val="0"/>
          <w:i w:val="0"/>
          <w:iCs w:val="0"/>
          <w:color w:val="auto"/>
          <w:sz w:val="28"/>
          <w:szCs w:val="28"/>
          <w:highlight w:val="none"/>
          <w:shd w:val="clear" w:color="auto" w:fill="auto"/>
          <w:lang w:val="en-US" w:eastAsia="zh-CN"/>
        </w:rPr>
        <w:t>（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bookmarkEnd w:id="49"/>
    </w:p>
    <w:p w14:paraId="3E9261F2">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2" w:name="_Toc5039"/>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50"/>
      <w:bookmarkEnd w:id="51"/>
      <w:bookmarkEnd w:id="52"/>
    </w:p>
    <w:p w14:paraId="17A3403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53" w:name="_Toc26064"/>
      <w:bookmarkStart w:id="54" w:name="_Toc15487"/>
      <w:bookmarkStart w:id="55" w:name="_Toc29715"/>
      <w:bookmarkStart w:id="56" w:name="_Toc11799"/>
      <w:bookmarkStart w:id="57" w:name="_Toc5199"/>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53"/>
      <w:bookmarkEnd w:id="54"/>
      <w:bookmarkEnd w:id="55"/>
      <w:bookmarkEnd w:id="56"/>
      <w:bookmarkEnd w:id="57"/>
    </w:p>
    <w:p w14:paraId="4AD6CC8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9.1.1向乙方提供签章电子版的施工图纸（含图纸变更通知、图纸会审记录等）。</w:t>
      </w:r>
    </w:p>
    <w:p w14:paraId="74301803">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7FCAF1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9.2.1乙方须严格遵守国家及地方关于安全生产与文明施工的法律法规、规章及强制性标准，并严格执行住建主管部门的相关规定。乙方须在施工现场配备至少1名专职安全员。乙方负责承包范围内的全部安全文明施工管理工作，因乙方原因（包括但不限于其自身过错、违规作业、安全管理不善或措施不力等）导致的任何生产安全事故，由此产生的全部责任及所有经济损失（包括对第三方的人身伤害和财产损失赔偿、政府罚款、事故处理费用等）均由乙方全额承担。此外，若发生此类事故并造成损失，除承担上述全部赔偿和损失外，乙方还须向甲方支付违约金，其金额为事故造成的所有赔偿总额及所有直接、间接经济损失总金额的30%。此违约金是甲方因乙方违约行为所遭受的管理成本增加、声誉损失等的补偿，并不免除乙方继续承担事故本身责任和妥善处理善后事宜的义务，给甲方造成的所有损失和乙方违约金，甲方可以在乙方的任一款项中一次性扣回，不足的由乙方按照甲方要求时间内支付给甲方</w:t>
      </w:r>
      <w:bookmarkStart w:id="414" w:name="_GoBack"/>
      <w:bookmarkEnd w:id="414"/>
      <w:r>
        <w:rPr>
          <w:rFonts w:hint="eastAsia" w:ascii="仿宋" w:hAnsi="仿宋" w:eastAsia="仿宋" w:cs="仿宋"/>
          <w:b w:val="0"/>
          <w:bCs w:val="0"/>
          <w:i w:val="0"/>
          <w:iCs w:val="0"/>
          <w:color w:val="auto"/>
          <w:sz w:val="28"/>
          <w:szCs w:val="28"/>
          <w:highlight w:val="none"/>
          <w:shd w:val="clear" w:color="auto" w:fill="auto"/>
          <w:lang w:val="en-US" w:eastAsia="zh-CN"/>
        </w:rPr>
        <w:t>。</w:t>
      </w:r>
    </w:p>
    <w:p w14:paraId="302E1BD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i w:val="0"/>
          <w:iCs w:val="0"/>
          <w:color w:val="auto"/>
          <w:sz w:val="28"/>
          <w:szCs w:val="28"/>
          <w:highlight w:val="none"/>
          <w:shd w:val="clear" w:color="auto" w:fill="auto"/>
          <w:lang w:val="en-US" w:eastAsia="zh-CN"/>
        </w:rPr>
      </w:pPr>
      <w:bookmarkStart w:id="58" w:name="_Toc26423"/>
      <w:bookmarkStart w:id="59" w:name="_Toc31665"/>
      <w:bookmarkStart w:id="60" w:name="_Toc22984"/>
      <w:bookmarkStart w:id="61" w:name="_Toc31919"/>
      <w:bookmarkStart w:id="62" w:name="_Toc24173"/>
      <w:r>
        <w:rPr>
          <w:rFonts w:hint="eastAsia" w:ascii="仿宋" w:hAnsi="仿宋" w:eastAsia="仿宋" w:cs="仿宋"/>
          <w:b/>
          <w:bCs/>
          <w:i w:val="0"/>
          <w:iCs w:val="0"/>
          <w:color w:val="auto"/>
          <w:sz w:val="28"/>
          <w:szCs w:val="28"/>
          <w:highlight w:val="none"/>
          <w:shd w:val="clear" w:color="auto" w:fill="auto"/>
          <w:lang w:val="en-US" w:eastAsia="zh-CN"/>
        </w:rPr>
        <w:t>第十章、</w:t>
      </w:r>
      <w:bookmarkEnd w:id="58"/>
      <w:bookmarkEnd w:id="59"/>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60"/>
    </w:p>
    <w:p w14:paraId="4340F11A">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bookmarkStart w:id="63" w:name="_Toc16932"/>
      <w:r>
        <w:rPr>
          <w:rFonts w:hint="eastAsia" w:ascii="仿宋" w:hAnsi="仿宋" w:eastAsia="仿宋" w:cs="仿宋"/>
          <w:i w:val="0"/>
          <w:iCs w:val="0"/>
          <w:color w:val="auto"/>
          <w:sz w:val="28"/>
          <w:szCs w:val="28"/>
          <w:highlight w:val="none"/>
          <w:shd w:val="clear" w:color="auto" w:fill="auto"/>
          <w:lang w:val="en-US" w:eastAsia="zh-CN"/>
        </w:rPr>
        <w:t>10.1</w:t>
      </w:r>
      <w:r>
        <w:rPr>
          <w:rFonts w:hint="eastAsia" w:ascii="仿宋" w:hAnsi="仿宋" w:eastAsia="仿宋" w:cs="仿宋"/>
          <w:i w:val="0"/>
          <w:iCs w:val="0"/>
          <w:color w:val="auto"/>
          <w:sz w:val="28"/>
          <w:szCs w:val="28"/>
          <w:highlight w:val="none"/>
          <w:lang w:val="en-US" w:eastAsia="zh-CN"/>
        </w:rPr>
        <w:t>乙方使用的甲供材料以甲方出入库单所列数据为准，乙方参加甲供材的验收、签收与出库。</w:t>
      </w:r>
      <w:r>
        <w:rPr>
          <w:rFonts w:hint="eastAsia" w:ascii="仿宋" w:hAnsi="仿宋" w:eastAsia="仿宋" w:cs="仿宋"/>
          <w:b w:val="0"/>
          <w:bCs w:val="0"/>
          <w:i w:val="0"/>
          <w:iCs w:val="0"/>
          <w:color w:val="auto"/>
          <w:sz w:val="28"/>
          <w:szCs w:val="28"/>
          <w:highlight w:val="none"/>
          <w:u w:val="none"/>
          <w:lang w:val="en-US" w:eastAsia="zh-CN"/>
        </w:rPr>
        <w:t>甲供材损耗率为</w:t>
      </w:r>
      <w:r>
        <w:rPr>
          <w:rFonts w:hint="eastAsia" w:ascii="仿宋" w:hAnsi="仿宋" w:eastAsia="仿宋" w:cs="仿宋"/>
          <w:b w:val="0"/>
          <w:bCs w:val="0"/>
          <w:i w:val="0"/>
          <w:iCs w:val="0"/>
          <w:color w:val="auto"/>
          <w:sz w:val="28"/>
          <w:szCs w:val="28"/>
          <w:highlight w:val="none"/>
          <w:u w:val="single"/>
          <w:lang w:val="en-US" w:eastAsia="zh-CN"/>
        </w:rPr>
        <w:t xml:space="preserve"> /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材料甲方采购</w:t>
      </w:r>
      <w:r>
        <w:rPr>
          <w:rFonts w:hint="eastAsia" w:ascii="仿宋" w:hAnsi="仿宋" w:eastAsia="仿宋" w:cs="仿宋"/>
          <w:b w:val="0"/>
          <w:bCs w:val="0"/>
          <w:i w:val="0"/>
          <w:iCs w:val="0"/>
          <w:color w:val="auto"/>
          <w:sz w:val="28"/>
          <w:szCs w:val="28"/>
          <w:highlight w:val="none"/>
        </w:rPr>
        <w:t>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i w:val="0"/>
          <w:iCs w:val="0"/>
          <w:color w:val="auto"/>
          <w:sz w:val="28"/>
          <w:szCs w:val="28"/>
          <w:highlight w:val="none"/>
          <w:shd w:val="clear" w:color="auto" w:fill="auto"/>
          <w:lang w:val="en-US" w:eastAsia="zh-CN"/>
        </w:rPr>
        <w:t>。</w:t>
      </w:r>
    </w:p>
    <w:p w14:paraId="69C9F3B0">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auto"/>
          <w:sz w:val="28"/>
          <w:szCs w:val="28"/>
          <w:highlight w:val="none"/>
          <w:u w:val="single"/>
          <w:lang w:val="en-US" w:eastAsia="zh-CN"/>
        </w:rPr>
        <w:t>（甲乙双方共同签收的数量A-甲乙双方共同签名的退还数量B）/甲乙方共同签收的数量A×100%。</w:t>
      </w:r>
    </w:p>
    <w:p w14:paraId="1AD6DF07">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10.3乙方须自行单独向甲方申请、独立保管、独立管理甲供材。在签收和退还甲供材时明确规格、数量，甲方乙方的本合同执行联系人共同签名确认，作为损耗率结算依据。</w:t>
      </w:r>
    </w:p>
    <w:p w14:paraId="387DBDD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61"/>
      <w:bookmarkEnd w:id="62"/>
      <w:bookmarkEnd w:id="63"/>
    </w:p>
    <w:p w14:paraId="1256D0C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bookmarkStart w:id="64"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96B16B5">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验收合格后，以移交建设单位的书面记录日期为本工程完工日期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w:t>
      </w:r>
      <w:r>
        <w:rPr>
          <w:rFonts w:hint="eastAsia" w:ascii="仿宋" w:hAnsi="仿宋" w:eastAsia="仿宋" w:cs="仿宋"/>
          <w:i w:val="0"/>
          <w:iCs w:val="0"/>
          <w:color w:val="auto"/>
          <w:sz w:val="28"/>
          <w:szCs w:val="28"/>
          <w:highlight w:val="none"/>
          <w:shd w:val="clear" w:color="auto" w:fill="auto"/>
          <w:lang w:val="en-US" w:eastAsia="zh-CN"/>
        </w:rPr>
        <w:t>本工程如</w:t>
      </w:r>
      <w:r>
        <w:rPr>
          <w:rFonts w:hint="eastAsia" w:ascii="仿宋" w:hAnsi="仿宋" w:eastAsia="仿宋" w:cs="仿宋"/>
          <w:i w:val="0"/>
          <w:iCs w:val="0"/>
          <w:color w:val="auto"/>
          <w:sz w:val="28"/>
          <w:szCs w:val="28"/>
          <w:highlight w:val="none"/>
          <w:shd w:val="clear" w:color="auto" w:fill="auto"/>
        </w:rPr>
        <w:t>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w:t>
      </w:r>
      <w:r>
        <w:rPr>
          <w:rFonts w:hint="eastAsia" w:ascii="仿宋" w:hAnsi="仿宋" w:eastAsia="仿宋" w:cs="仿宋"/>
          <w:i w:val="0"/>
          <w:iCs w:val="0"/>
          <w:color w:val="auto"/>
          <w:sz w:val="28"/>
          <w:szCs w:val="28"/>
          <w:highlight w:val="none"/>
          <w:shd w:val="clear" w:color="auto" w:fill="auto"/>
          <w:lang w:val="en-US" w:eastAsia="zh-CN"/>
        </w:rPr>
        <w:t>该次保修工作验收合格之日起</w:t>
      </w:r>
      <w:r>
        <w:rPr>
          <w:rFonts w:hint="eastAsia" w:ascii="仿宋" w:hAnsi="仿宋" w:eastAsia="仿宋" w:cs="仿宋"/>
          <w:i w:val="0"/>
          <w:iCs w:val="0"/>
          <w:color w:val="auto"/>
          <w:sz w:val="28"/>
          <w:szCs w:val="28"/>
          <w:highlight w:val="none"/>
          <w:shd w:val="clear" w:color="auto" w:fill="auto"/>
        </w:rPr>
        <w:t>顺延</w:t>
      </w:r>
      <w:r>
        <w:rPr>
          <w:rFonts w:hint="eastAsia" w:ascii="仿宋" w:hAnsi="仿宋" w:eastAsia="仿宋" w:cs="仿宋"/>
          <w:i w:val="0"/>
          <w:iCs w:val="0"/>
          <w:color w:val="auto"/>
          <w:sz w:val="28"/>
          <w:szCs w:val="28"/>
          <w:highlight w:val="none"/>
          <w:shd w:val="clear" w:color="auto" w:fill="auto"/>
          <w:lang w:eastAsia="zh-CN"/>
        </w:rPr>
        <w:t>。</w:t>
      </w:r>
    </w:p>
    <w:p w14:paraId="501C799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w:t>
      </w:r>
      <w:r>
        <w:rPr>
          <w:rFonts w:hint="eastAsia" w:ascii="仿宋" w:hAnsi="仿宋" w:eastAsia="仿宋" w:cs="仿宋"/>
          <w:b/>
          <w:bCs/>
          <w:color w:val="auto"/>
          <w:sz w:val="28"/>
          <w:szCs w:val="28"/>
          <w:highlight w:val="none"/>
          <w:u w:val="single"/>
          <w:lang w:val="en-US" w:eastAsia="zh-CN"/>
        </w:rPr>
        <w:t>门窗外框周边</w:t>
      </w:r>
      <w:r>
        <w:rPr>
          <w:rFonts w:hint="eastAsia" w:ascii="仿宋" w:hAnsi="仿宋" w:eastAsia="仿宋" w:cs="仿宋"/>
          <w:b/>
          <w:bCs/>
          <w:color w:val="auto"/>
          <w:sz w:val="28"/>
          <w:szCs w:val="28"/>
          <w:highlight w:val="none"/>
          <w:u w:val="single"/>
        </w:rPr>
        <w:t>保修</w:t>
      </w:r>
      <w:r>
        <w:rPr>
          <w:rFonts w:hint="eastAsia" w:ascii="仿宋" w:hAnsi="仿宋" w:eastAsia="仿宋" w:cs="仿宋"/>
          <w:b/>
          <w:bCs/>
          <w:color w:val="auto"/>
          <w:sz w:val="28"/>
          <w:szCs w:val="28"/>
          <w:highlight w:val="none"/>
          <w:u w:val="single"/>
          <w:lang w:val="en-US" w:eastAsia="zh-CN"/>
        </w:rPr>
        <w:t>5年，其他</w:t>
      </w:r>
      <w:r>
        <w:rPr>
          <w:rFonts w:hint="eastAsia" w:ascii="仿宋" w:hAnsi="仿宋" w:eastAsia="仿宋" w:cs="仿宋"/>
          <w:b/>
          <w:bCs/>
          <w:color w:val="auto"/>
          <w:sz w:val="28"/>
          <w:szCs w:val="28"/>
          <w:highlight w:val="none"/>
          <w:u w:val="single"/>
        </w:rPr>
        <w:t>部位</w:t>
      </w:r>
      <w:r>
        <w:rPr>
          <w:rFonts w:hint="eastAsia" w:ascii="仿宋" w:hAnsi="仿宋" w:eastAsia="仿宋" w:cs="仿宋"/>
          <w:b/>
          <w:bCs/>
          <w:color w:val="auto"/>
          <w:sz w:val="28"/>
          <w:szCs w:val="28"/>
          <w:highlight w:val="none"/>
          <w:u w:val="single"/>
          <w:lang w:val="en-US" w:eastAsia="zh-CN"/>
        </w:rPr>
        <w:t>保修2</w:t>
      </w:r>
      <w:r>
        <w:rPr>
          <w:rFonts w:hint="eastAsia" w:ascii="仿宋" w:hAnsi="仿宋" w:eastAsia="仿宋" w:cs="仿宋"/>
          <w:b/>
          <w:bCs/>
          <w:color w:val="auto"/>
          <w:sz w:val="28"/>
          <w:szCs w:val="28"/>
          <w:highlight w:val="none"/>
          <w:u w:val="single"/>
        </w:rPr>
        <w:t>年</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bCs/>
          <w:color w:val="auto"/>
          <w:sz w:val="28"/>
          <w:szCs w:val="28"/>
          <w:highlight w:val="none"/>
          <w:u w:val="single"/>
          <w:lang w:val="en-US" w:eastAsia="zh-CN"/>
        </w:rPr>
        <w:t>国家或甲方与本项目建设单位另有更长保修期限规定的，从其规定</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val="0"/>
          <w:bCs w:val="0"/>
          <w:i w:val="0"/>
          <w:iCs w:val="0"/>
          <w:color w:val="auto"/>
          <w:sz w:val="28"/>
          <w:szCs w:val="28"/>
          <w:highlight w:val="none"/>
          <w:u w:val="single"/>
          <w:shd w:val="clear" w:color="auto" w:fill="auto"/>
          <w:lang w:val="en-US" w:eastAsia="zh-CN"/>
        </w:rPr>
        <w:t>竣工验收合格并交付建设单位使用</w:t>
      </w:r>
      <w:r>
        <w:rPr>
          <w:rFonts w:hint="eastAsia" w:ascii="仿宋" w:hAnsi="仿宋" w:eastAsia="仿宋" w:cs="仿宋"/>
          <w:b w:val="0"/>
          <w:bCs w:val="0"/>
          <w:i w:val="0"/>
          <w:iCs w:val="0"/>
          <w:color w:val="auto"/>
          <w:sz w:val="28"/>
          <w:szCs w:val="28"/>
          <w:highlight w:val="none"/>
          <w:shd w:val="clear" w:color="auto" w:fill="auto"/>
          <w:lang w:val="en-US" w:eastAsia="zh-CN"/>
        </w:rPr>
        <w:t>之日起计</w:t>
      </w:r>
      <w:r>
        <w:rPr>
          <w:rFonts w:hint="eastAsia" w:ascii="仿宋" w:hAnsi="仿宋" w:eastAsia="仿宋" w:cs="仿宋"/>
          <w:b w:val="0"/>
          <w:bCs w:val="0"/>
          <w:i w:val="0"/>
          <w:iCs w:val="0"/>
          <w:color w:val="auto"/>
          <w:sz w:val="28"/>
          <w:szCs w:val="28"/>
          <w:highlight w:val="none"/>
          <w:shd w:val="clear" w:color="auto" w:fill="auto"/>
        </w:rPr>
        <w:t>。</w:t>
      </w:r>
    </w:p>
    <w:bookmarkEnd w:id="64"/>
    <w:p w14:paraId="133C2A4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5" w:name="_Toc7932"/>
      <w:bookmarkStart w:id="66" w:name="_Toc15001"/>
      <w:bookmarkStart w:id="67" w:name="_Toc10092"/>
      <w:bookmarkStart w:id="68" w:name="_Toc14868"/>
      <w:bookmarkStart w:id="69" w:name="_Toc3557"/>
      <w:bookmarkStart w:id="70" w:name="_Toc24202"/>
      <w:bookmarkStart w:id="71" w:name="_Toc18309"/>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65"/>
      <w:bookmarkEnd w:id="66"/>
      <w:bookmarkEnd w:id="67"/>
      <w:bookmarkEnd w:id="68"/>
      <w:bookmarkEnd w:id="69"/>
      <w:bookmarkEnd w:id="70"/>
      <w:bookmarkEnd w:id="71"/>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21C40BE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5BF4B6AE">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12.1.1甲方指定</w:t>
      </w:r>
      <w:r>
        <w:rPr>
          <w:rFonts w:hint="eastAsia" w:ascii="仿宋" w:hAnsi="仿宋" w:eastAsia="仿宋" w:cs="仿宋"/>
          <w:i w:val="0"/>
          <w:iCs w:val="0"/>
          <w:color w:val="auto"/>
          <w:sz w:val="28"/>
          <w:szCs w:val="28"/>
          <w:highlight w:val="none"/>
          <w:u w:val="single"/>
          <w:shd w:val="clear" w:color="auto" w:fill="auto"/>
          <w:lang w:val="en-US" w:eastAsia="zh-CN"/>
        </w:rPr>
        <w:t xml:space="preserve"> 林易国 </w:t>
      </w:r>
      <w:r>
        <w:rPr>
          <w:rFonts w:hint="eastAsia" w:ascii="仿宋" w:hAnsi="仿宋" w:eastAsia="仿宋" w:cs="仿宋"/>
          <w:i w:val="0"/>
          <w:iCs w:val="0"/>
          <w:color w:val="auto"/>
          <w:sz w:val="28"/>
          <w:szCs w:val="28"/>
          <w:highlight w:val="none"/>
          <w:u w:val="none"/>
          <w:shd w:val="clear" w:color="auto" w:fill="auto"/>
          <w:lang w:val="en-US" w:eastAsia="zh-CN"/>
        </w:rPr>
        <w:t>为本项目的负责人及甲方合同执行联系人，联系电话：</w:t>
      </w:r>
      <w:r>
        <w:rPr>
          <w:rFonts w:hint="eastAsia" w:ascii="仿宋" w:hAnsi="仿宋" w:eastAsia="仿宋" w:cs="仿宋"/>
          <w:i w:val="0"/>
          <w:iCs w:val="0"/>
          <w:color w:val="auto"/>
          <w:sz w:val="28"/>
          <w:szCs w:val="28"/>
          <w:highlight w:val="none"/>
          <w:u w:val="single"/>
          <w:shd w:val="clear" w:color="auto" w:fill="auto"/>
          <w:lang w:val="en-US" w:eastAsia="zh-CN"/>
        </w:rPr>
        <w:t>13929204778</w:t>
      </w:r>
      <w:r>
        <w:rPr>
          <w:rFonts w:hint="eastAsia" w:ascii="仿宋" w:hAnsi="仿宋" w:eastAsia="仿宋" w:cs="仿宋"/>
          <w:i w:val="0"/>
          <w:iCs w:val="0"/>
          <w:color w:val="auto"/>
          <w:sz w:val="28"/>
          <w:szCs w:val="28"/>
          <w:highlight w:val="none"/>
          <w:u w:val="none"/>
          <w:shd w:val="clear" w:color="auto" w:fill="auto"/>
          <w:lang w:val="en-US"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合同附件）方为有效，否则为无效文件，仅盖章或者仅签名的文件亦无效。甲方变更项目负责人、合同执行联系人的，将以书面形式通知乙方。</w:t>
      </w:r>
    </w:p>
    <w:p w14:paraId="010DEB8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12.1.2乙方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授权代表，本合同有效期内其为乙方授权处理与本合同相关事项的执行人，负责与甲方公司总部办理相关事务（如负责双方来往函件签收、签字、验收、确定增减合同款、确定结算金额、收款、签收并签认甲方对乙方违约行为作出的处理通知等行为）。</w:t>
      </w:r>
    </w:p>
    <w:p w14:paraId="480DC760">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12.1.3乙方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为本合同的乙方现场负责人，本合同有效期内其为乙方授权处理本项目施工现场相关事项执行人，负责与甲方项目现场的工作签认、安排等全部事务。现场负责人必须常驻本项目施工现场。</w:t>
      </w:r>
    </w:p>
    <w:p w14:paraId="31887A3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i w:val="0"/>
          <w:iCs w:val="0"/>
          <w:color w:val="auto"/>
          <w:sz w:val="28"/>
          <w:szCs w:val="28"/>
          <w:highlight w:val="none"/>
          <w:u w:val="none"/>
          <w:shd w:val="clear" w:color="auto" w:fill="auto"/>
          <w:lang w:val="en-US" w:eastAsia="zh-CN"/>
        </w:rPr>
        <w:t>乙方对乙方授权代表及乙方现场负责人的行为均予认可并承担一切责任。乙方如需更换授权或现场负责人，应提前三个工作日书面报经甲方同意，否则不得更换。</w:t>
      </w:r>
    </w:p>
    <w:p w14:paraId="77F06DAA">
      <w:pPr>
        <w:pStyle w:val="14"/>
        <w:rPr>
          <w:rFonts w:hint="eastAsia" w:ascii="仿宋" w:hAnsi="仿宋" w:eastAsia="仿宋" w:cs="仿宋"/>
          <w:color w:val="auto"/>
          <w:sz w:val="28"/>
          <w:szCs w:val="28"/>
          <w:highlight w:val="none"/>
        </w:rPr>
      </w:pPr>
    </w:p>
    <w:p w14:paraId="054B5D72">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0BC0A5B1">
      <w:pPr>
        <w:keepNext w:val="0"/>
        <w:keepLines w:val="0"/>
        <w:pageBreakBefore w:val="0"/>
        <w:widowControl w:val="0"/>
        <w:kinsoku/>
        <w:wordWrap/>
        <w:overflowPunct/>
        <w:topLinePunct w:val="0"/>
        <w:autoSpaceDE/>
        <w:autoSpaceDN/>
        <w:bidi w:val="0"/>
        <w:adjustRightInd w:val="0"/>
        <w:snapToGrid w:val="0"/>
        <w:spacing w:before="0" w:beforeLines="150" w:after="294" w:afterLines="100"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6D1CB2FD">
      <w:pPr>
        <w:keepNext w:val="0"/>
        <w:keepLines w:val="0"/>
        <w:pageBreakBefore w:val="0"/>
        <w:widowControl w:val="0"/>
        <w:kinsoku/>
        <w:wordWrap/>
        <w:overflowPunct/>
        <w:topLinePunct w:val="0"/>
        <w:autoSpaceDE/>
        <w:autoSpaceDN/>
        <w:bidi w:val="0"/>
        <w:adjustRightInd w:val="0"/>
        <w:snapToGrid w:val="0"/>
        <w:spacing w:line="4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F9DC114">
      <w:pPr>
        <w:keepNext w:val="0"/>
        <w:keepLines w:val="0"/>
        <w:pageBreakBefore w:val="0"/>
        <w:widowControl w:val="0"/>
        <w:kinsoku/>
        <w:wordWrap/>
        <w:overflowPunct/>
        <w:topLinePunct w:val="0"/>
        <w:autoSpaceDE/>
        <w:autoSpaceDN/>
        <w:bidi w:val="0"/>
        <w:adjustRightInd w:val="0"/>
        <w:snapToGrid w:val="0"/>
        <w:spacing w:line="4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0590523C">
      <w:pPr>
        <w:keepNext w:val="0"/>
        <w:keepLines w:val="0"/>
        <w:pageBreakBefore w:val="0"/>
        <w:widowControl w:val="0"/>
        <w:kinsoku/>
        <w:wordWrap/>
        <w:overflowPunct/>
        <w:topLinePunct w:val="0"/>
        <w:autoSpaceDE/>
        <w:autoSpaceDN/>
        <w:bidi w:val="0"/>
        <w:adjustRightInd w:val="0"/>
        <w:snapToGrid w:val="0"/>
        <w:spacing w:line="4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57D37A30">
      <w:pPr>
        <w:keepNext w:val="0"/>
        <w:keepLines w:val="0"/>
        <w:pageBreakBefore w:val="0"/>
        <w:widowControl w:val="0"/>
        <w:kinsoku/>
        <w:wordWrap/>
        <w:overflowPunct/>
        <w:topLinePunct w:val="0"/>
        <w:autoSpaceDE/>
        <w:autoSpaceDN/>
        <w:bidi w:val="0"/>
        <w:adjustRightInd w:val="0"/>
        <w:snapToGrid w:val="0"/>
        <w:spacing w:line="4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CD59E86">
      <w:pPr>
        <w:keepNext w:val="0"/>
        <w:keepLines w:val="0"/>
        <w:pageBreakBefore w:val="0"/>
        <w:widowControl w:val="0"/>
        <w:kinsoku/>
        <w:wordWrap/>
        <w:overflowPunct/>
        <w:topLinePunct w:val="0"/>
        <w:autoSpaceDE/>
        <w:autoSpaceDN/>
        <w:bidi w:val="0"/>
        <w:adjustRightInd w:val="0"/>
        <w:snapToGrid w:val="0"/>
        <w:spacing w:line="4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26D9DC6A">
      <w:pPr>
        <w:keepNext w:val="0"/>
        <w:keepLines w:val="0"/>
        <w:pageBreakBefore w:val="0"/>
        <w:widowControl w:val="0"/>
        <w:kinsoku/>
        <w:wordWrap/>
        <w:overflowPunct/>
        <w:topLinePunct w:val="0"/>
        <w:autoSpaceDE/>
        <w:autoSpaceDN/>
        <w:bidi w:val="0"/>
        <w:adjustRightInd w:val="0"/>
        <w:snapToGrid w:val="0"/>
        <w:spacing w:line="4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744BF73B">
      <w:pPr>
        <w:pStyle w:val="3"/>
        <w:keepNext w:val="0"/>
        <w:keepLines w:val="0"/>
        <w:pageBreakBefore w:val="0"/>
        <w:widowControl w:val="0"/>
        <w:kinsoku/>
        <w:wordWrap/>
        <w:overflowPunct/>
        <w:topLinePunct w:val="0"/>
        <w:autoSpaceDE/>
        <w:autoSpaceDN/>
        <w:bidi w:val="0"/>
        <w:adjustRightInd w:val="0"/>
        <w:snapToGrid w:val="0"/>
        <w:spacing w:line="420" w:lineRule="exact"/>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32A492D4">
      <w:pPr>
        <w:pStyle w:val="3"/>
        <w:keepNext w:val="0"/>
        <w:keepLines w:val="0"/>
        <w:pageBreakBefore w:val="0"/>
        <w:widowControl w:val="0"/>
        <w:kinsoku/>
        <w:wordWrap/>
        <w:overflowPunct/>
        <w:topLinePunct w:val="0"/>
        <w:autoSpaceDE/>
        <w:autoSpaceDN/>
        <w:bidi w:val="0"/>
        <w:adjustRightInd w:val="0"/>
        <w:snapToGrid w:val="0"/>
        <w:spacing w:line="420" w:lineRule="exact"/>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48FA84D">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72" w:name="_Toc24286"/>
      <w:bookmarkStart w:id="73" w:name="_Toc28852"/>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72"/>
      <w:bookmarkEnd w:id="73"/>
    </w:p>
    <w:p w14:paraId="3B76CC84">
      <w:pPr>
        <w:keepNext w:val="0"/>
        <w:keepLines w:val="0"/>
        <w:pageBreakBefore w:val="0"/>
        <w:widowControl w:val="0"/>
        <w:kinsoku/>
        <w:wordWrap/>
        <w:overflowPunct/>
        <w:topLinePunct w:val="0"/>
        <w:autoSpaceDE/>
        <w:autoSpaceDN/>
        <w:bidi w:val="0"/>
        <w:adjustRightInd w:val="0"/>
        <w:snapToGrid w:val="0"/>
        <w:spacing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4" w:name="_Toc29752"/>
      <w:bookmarkStart w:id="75" w:name="_Toc11047"/>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74"/>
      <w:bookmarkEnd w:id="75"/>
    </w:p>
    <w:p w14:paraId="6CB36E09">
      <w:pPr>
        <w:keepNext w:val="0"/>
        <w:keepLines w:val="0"/>
        <w:pageBreakBefore w:val="0"/>
        <w:widowControl w:val="0"/>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1.1包第三方检测合格且承担所有费用，包所有机械设备（含进退场），包安全文明施工，包各类材料和成品的样板提供及产品检验检测费用，包本项目检测合格，包工期，包一切措施，包质量，</w:t>
      </w:r>
      <w:r>
        <w:rPr>
          <w:rFonts w:hint="eastAsia" w:ascii="仿宋" w:hAnsi="仿宋" w:eastAsia="仿宋" w:cs="仿宋"/>
          <w:color w:val="auto"/>
          <w:sz w:val="28"/>
          <w:szCs w:val="28"/>
          <w:highlight w:val="none"/>
          <w:lang w:val="en-US" w:eastAsia="zh-CN"/>
        </w:rPr>
        <w:t>包甲方、建设单位、监理单位及政府相关部门的各种验收，竣工验收通过并取得相关意见书，以及承担为此工作产生的所有费用，</w:t>
      </w:r>
      <w:r>
        <w:rPr>
          <w:rFonts w:hint="eastAsia" w:ascii="仿宋" w:hAnsi="仿宋" w:eastAsia="仿宋" w:cs="仿宋"/>
          <w:i w:val="0"/>
          <w:iCs w:val="0"/>
          <w:color w:val="auto"/>
          <w:sz w:val="28"/>
          <w:szCs w:val="28"/>
          <w:highlight w:val="none"/>
          <w:lang w:val="en-US" w:eastAsia="zh-CN"/>
        </w:rPr>
        <w:t>包各种风险，包保险，包编制竣工图，包配合竣工资料编制，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电，包管理，包利润，包税金，包物价上涨，包其他工种配合可能产生的降效及费用，包施工过程中涉及的一切风险因素、内容及费用。</w:t>
      </w:r>
    </w:p>
    <w:p w14:paraId="36FB853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6" w:name="_Toc29690"/>
      <w:bookmarkStart w:id="77" w:name="_Toc21711"/>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76"/>
      <w:bookmarkEnd w:id="77"/>
    </w:p>
    <w:p w14:paraId="5A1B8CE4">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36E43320">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2.2乙方已充分了解甲方提供工作面的基层情况，结算时不会因本工程基层清理而要求甲方增补费用。</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4F1D094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约定的合同价格中，甲方无需另行支付费用给乙方。</w:t>
      </w:r>
    </w:p>
    <w:p w14:paraId="5A3DF538">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593D42F1">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53DA1299">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09988E30">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p>
    <w:p w14:paraId="2B63F2A9">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中，不另行单列计费</w:t>
      </w:r>
      <w:r>
        <w:rPr>
          <w:rFonts w:hint="eastAsia" w:ascii="仿宋" w:hAnsi="仿宋" w:eastAsia="仿宋" w:cs="仿宋"/>
          <w:i w:val="0"/>
          <w:iCs w:val="0"/>
          <w:color w:val="auto"/>
          <w:sz w:val="28"/>
          <w:szCs w:val="28"/>
          <w:highlight w:val="none"/>
          <w:shd w:val="clear" w:color="auto" w:fill="auto"/>
        </w:rPr>
        <w:t>。</w:t>
      </w:r>
    </w:p>
    <w:p w14:paraId="3D5FE03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default" w:ascii="仿宋" w:hAnsi="仿宋" w:eastAsia="仿宋" w:cs="仿宋"/>
          <w:b w:val="0"/>
          <w:bCs w:val="0"/>
          <w:color w:val="auto"/>
          <w:sz w:val="28"/>
          <w:szCs w:val="28"/>
          <w:highlight w:val="none"/>
          <w:lang w:val="en-US" w:eastAsia="zh-CN"/>
        </w:rPr>
        <w:t>内，不另行计取</w:t>
      </w:r>
      <w:r>
        <w:rPr>
          <w:rFonts w:hint="eastAsia" w:ascii="仿宋" w:hAnsi="仿宋" w:eastAsia="仿宋" w:cs="仿宋"/>
          <w:b w:val="0"/>
          <w:bCs w:val="0"/>
          <w:color w:val="auto"/>
          <w:sz w:val="28"/>
          <w:szCs w:val="28"/>
          <w:highlight w:val="none"/>
          <w:lang w:val="en-US" w:eastAsia="zh-CN"/>
        </w:rPr>
        <w:t>。</w:t>
      </w:r>
    </w:p>
    <w:p w14:paraId="64CA0D2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8" w:name="_Toc8809"/>
      <w:bookmarkStart w:id="79" w:name="_Toc10183"/>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8"/>
      <w:bookmarkEnd w:id="79"/>
    </w:p>
    <w:p w14:paraId="5C96316A">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3.1本合同工期为计划工期，实际应开工、竣工时间以甲方书面通知为准，甲方书面通知形式包括不限于微信、短信、传真、电子邮件、纸质文件等，</w:t>
      </w:r>
      <w:r>
        <w:rPr>
          <w:rFonts w:hint="eastAsia" w:ascii="仿宋" w:hAnsi="仿宋" w:eastAsia="仿宋" w:cs="仿宋"/>
          <w:b w:val="0"/>
          <w:bCs w:val="0"/>
          <w:i w:val="0"/>
          <w:iCs w:val="0"/>
          <w:color w:val="auto"/>
          <w:sz w:val="28"/>
          <w:szCs w:val="28"/>
          <w:highlight w:val="none"/>
          <w:u w:val="none"/>
          <w:shd w:val="clear" w:color="auto" w:fill="auto"/>
          <w:lang w:val="en-US" w:eastAsia="zh-CN"/>
        </w:rPr>
        <w:t>乙方收到甲方书面发出的《分包单位开工令》后方可进场，开工时间以开工令通知要求时间为准。</w:t>
      </w:r>
      <w:r>
        <w:rPr>
          <w:rFonts w:hint="eastAsia" w:ascii="仿宋" w:hAnsi="仿宋" w:eastAsia="仿宋" w:cs="仿宋"/>
          <w:i w:val="0"/>
          <w:iCs w:val="0"/>
          <w:color w:val="auto"/>
          <w:sz w:val="28"/>
          <w:szCs w:val="28"/>
          <w:highlight w:val="none"/>
          <w:u w:val="none"/>
          <w:shd w:val="clear" w:color="auto" w:fill="auto"/>
          <w:lang w:val="en-US" w:eastAsia="zh-CN"/>
        </w:rPr>
        <w:t>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5A58297C">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02B5419F">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17079281">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乙方按合同向甲方承担违约金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48959789">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0159DBE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3.6本工程施工过程出现赶工、交叉作业、停工（包括建设单位原因造成的停工）及工人工资、材料费、机具费上涨等导致乙方成本、费用发生增加，乙方不因此要求甲方对合同单价进行调整和另行增补费用。</w:t>
      </w:r>
    </w:p>
    <w:p w14:paraId="4EA46B3A">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3.7春节、元旦、五一、十一、周末等法定节假日、休息日及技术要求或进度计划要求进行赶工、加班等费用已包含在本合同约定的☑合同单价/□合同总价内，甲方无需另行付费给乙方。</w:t>
      </w:r>
    </w:p>
    <w:p w14:paraId="252E6C55">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2DDFB8A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40C717B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w:t>
      </w:r>
      <w:r>
        <w:rPr>
          <w:rFonts w:hint="eastAsia" w:ascii="仿宋" w:hAnsi="仿宋" w:eastAsia="仿宋" w:cs="仿宋"/>
          <w:color w:val="auto"/>
          <w:sz w:val="28"/>
          <w:szCs w:val="28"/>
          <w:highlight w:val="none"/>
          <w:u w:val="none"/>
          <w:shd w:val="clear" w:color="auto" w:fill="auto"/>
        </w:rPr>
        <w:t>向甲方</w:t>
      </w:r>
      <w:r>
        <w:rPr>
          <w:rFonts w:hint="eastAsia" w:ascii="仿宋" w:hAnsi="仿宋" w:eastAsia="仿宋" w:cs="仿宋"/>
          <w:color w:val="auto"/>
          <w:sz w:val="28"/>
          <w:szCs w:val="28"/>
          <w:highlight w:val="none"/>
          <w:u w:val="none"/>
          <w:shd w:val="clear" w:color="auto" w:fill="auto"/>
          <w:lang w:val="en-US" w:eastAsia="zh-CN"/>
        </w:rPr>
        <w:t>支付</w:t>
      </w:r>
      <w:r>
        <w:rPr>
          <w:rFonts w:hint="eastAsia" w:ascii="仿宋" w:hAnsi="仿宋" w:eastAsia="仿宋" w:cs="仿宋"/>
          <w:color w:val="auto"/>
          <w:sz w:val="28"/>
          <w:szCs w:val="28"/>
          <w:highlight w:val="none"/>
          <w:u w:val="none"/>
          <w:shd w:val="clear" w:color="auto" w:fill="auto"/>
        </w:rPr>
        <w:t>违约金伍仟元/次</w:t>
      </w:r>
      <w:r>
        <w:rPr>
          <w:rFonts w:hint="eastAsia" w:ascii="仿宋" w:hAnsi="仿宋" w:eastAsia="仿宋" w:cs="仿宋"/>
          <w:i w:val="0"/>
          <w:iCs w:val="0"/>
          <w:color w:val="auto"/>
          <w:sz w:val="28"/>
          <w:szCs w:val="28"/>
          <w:highlight w:val="none"/>
          <w:u w:val="none"/>
          <w:shd w:val="clear" w:color="auto" w:fill="auto"/>
          <w:lang w:val="en-US" w:eastAsia="zh-CN"/>
        </w:rPr>
        <w:t>。</w:t>
      </w:r>
    </w:p>
    <w:p w14:paraId="197FFF4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545CB48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0" w:name="_Toc3219"/>
      <w:bookmarkStart w:id="81" w:name="_Toc26647"/>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80"/>
      <w:bookmarkEnd w:id="81"/>
    </w:p>
    <w:p w14:paraId="0F86F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乙方须安排管理人员配合检查、验收，否则每次向甲方支付违约金人民币壹仟元。乙方施工过程中必须进行质量自检，并按甲方要求做好标记及书面资料，严格执行三级检查制度。乙方须坚决落实甲方、政府部门提出的整改要求，凡未按要求落实整改的，乙方向甲方</w:t>
      </w:r>
      <w:r>
        <w:rPr>
          <w:rFonts w:hint="eastAsia" w:ascii="仿宋" w:hAnsi="仿宋" w:eastAsia="仿宋" w:cs="仿宋"/>
          <w:color w:val="auto"/>
          <w:sz w:val="28"/>
          <w:szCs w:val="28"/>
          <w:highlight w:val="none"/>
          <w:lang w:val="en-US" w:eastAsia="zh-CN"/>
        </w:rPr>
        <w:t>支付</w:t>
      </w:r>
      <w:r>
        <w:rPr>
          <w:rFonts w:hint="eastAsia" w:ascii="仿宋" w:hAnsi="仿宋" w:eastAsia="仿宋" w:cs="仿宋"/>
          <w:color w:val="auto"/>
          <w:sz w:val="28"/>
          <w:szCs w:val="28"/>
          <w:highlight w:val="none"/>
        </w:rPr>
        <w:t>违约金贰仟至壹万元/次，整改二次以上的甲方有权对本工程按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合同单价/□合同总价下浮2%予以结算。</w:t>
      </w:r>
      <w:r>
        <w:rPr>
          <w:rFonts w:hint="eastAsia" w:ascii="仿宋" w:hAnsi="仿宋" w:eastAsia="仿宋" w:cs="仿宋"/>
          <w:i w:val="0"/>
          <w:iCs w:val="0"/>
          <w:color w:val="auto"/>
          <w:sz w:val="28"/>
          <w:szCs w:val="28"/>
          <w:highlight w:val="none"/>
          <w:u w:val="none"/>
          <w:shd w:val="clear" w:color="auto" w:fill="auto"/>
        </w:rPr>
        <w:t xml:space="preserve"> </w:t>
      </w:r>
    </w:p>
    <w:p w14:paraId="5E2DFBC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乙方无条件完成整改，所发生的一切费用由乙方承担。凡是发生第二次相同问题再整改的，乙方每次向甲方支付违约金1000元以上。</w:t>
      </w:r>
      <w:r>
        <w:rPr>
          <w:rFonts w:hint="eastAsia" w:ascii="仿宋" w:hAnsi="仿宋" w:eastAsia="仿宋" w:cs="仿宋"/>
          <w:i w:val="0"/>
          <w:iCs w:val="0"/>
          <w:color w:val="auto"/>
          <w:sz w:val="28"/>
          <w:szCs w:val="28"/>
          <w:highlight w:val="none"/>
          <w:u w:val="none"/>
          <w:shd w:val="clear" w:color="auto" w:fill="auto"/>
        </w:rPr>
        <w:t xml:space="preserve">                    </w:t>
      </w:r>
    </w:p>
    <w:p w14:paraId="4108619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82" w:name="_Toc20800"/>
      <w:bookmarkStart w:id="83" w:name="_Toc14414"/>
      <w:r>
        <w:rPr>
          <w:rFonts w:hint="eastAsia" w:ascii="仿宋" w:hAnsi="仿宋" w:eastAsia="仿宋" w:cs="仿宋"/>
          <w:color w:val="auto"/>
          <w:sz w:val="28"/>
          <w:szCs w:val="28"/>
          <w:highlight w:val="none"/>
          <w:lang w:val="en-US" w:eastAsia="zh-CN"/>
        </w:rPr>
        <w:t>4.3乙供材料收货验收流程及标准</w:t>
      </w:r>
      <w:bookmarkEnd w:id="82"/>
      <w:bookmarkEnd w:id="83"/>
    </w:p>
    <w:p w14:paraId="1A670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中标后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643DE9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7E1A577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施工周转材料和小型机具进场前应报甲方项目部进行检查，做好特殊标记，由备案人员清点后方可使用，无特殊标记的周转材料不得进场，私自进场的不得外运。</w:t>
      </w:r>
    </w:p>
    <w:p w14:paraId="5F23C38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w:t>
      </w:r>
    </w:p>
    <w:p w14:paraId="38ED6D1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0F4A047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支付违约金（违约金金额等于不符合合同约定的材料金额的三倍但最少不低于伍仟元/次），甲方有权在任意应付给乙方的合同款中自行扣取违约金。</w:t>
      </w:r>
    </w:p>
    <w:p w14:paraId="6BC19E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6E2BB58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04EAB9F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4" w:name="_Toc8460"/>
      <w:bookmarkStart w:id="85" w:name="_Toc17786"/>
      <w:bookmarkStart w:id="86" w:name="_Toc13366"/>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84"/>
      <w:bookmarkEnd w:id="85"/>
      <w:bookmarkEnd w:id="86"/>
    </w:p>
    <w:p w14:paraId="64DC7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7" w:name="_Toc12707"/>
      <w:bookmarkStart w:id="88" w:name="_Toc4027"/>
      <w:bookmarkStart w:id="89" w:name="_Toc1479"/>
      <w:r>
        <w:rPr>
          <w:rFonts w:hint="eastAsia" w:ascii="仿宋" w:hAnsi="仿宋" w:eastAsia="仿宋" w:cs="仿宋"/>
          <w:color w:val="auto"/>
          <w:sz w:val="28"/>
          <w:szCs w:val="28"/>
          <w:highlight w:val="none"/>
          <w:lang w:val="en-US" w:eastAsia="zh-CN"/>
        </w:rPr>
        <w:t>5.1</w:t>
      </w:r>
      <w:bookmarkEnd w:id="87"/>
      <w:bookmarkEnd w:id="88"/>
      <w:bookmarkEnd w:id="89"/>
      <w:r>
        <w:rPr>
          <w:rFonts w:hint="eastAsia" w:ascii="仿宋" w:hAnsi="仿宋" w:eastAsia="仿宋" w:cs="仿宋"/>
          <w:color w:val="auto"/>
          <w:sz w:val="28"/>
          <w:szCs w:val="28"/>
          <w:highlight w:val="none"/>
          <w:lang w:val="en-US" w:eastAsia="zh-CN"/>
        </w:rPr>
        <w:t>☑合同单价/□合同总价包括乙方完成下述工作及应对下述情况的费用、风险的费用，甲方无需另行付费给乙方：</w:t>
      </w:r>
    </w:p>
    <w:p w14:paraId="6FF3A8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FD987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）配备本工程所需电工、焊工，且须持证上岗。甲方电工仅对乙方电工进行监督、检查、管理、指导。</w:t>
      </w:r>
    </w:p>
    <w:p w14:paraId="7DA8A25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w:t>
      </w:r>
      <w:r>
        <w:rPr>
          <w:rFonts w:hint="eastAsia" w:ascii="仿宋" w:hAnsi="仿宋" w:eastAsia="仿宋" w:cs="仿宋"/>
          <w:b w:val="0"/>
          <w:bCs w:val="0"/>
          <w:i w:val="0"/>
          <w:iCs w:val="0"/>
          <w:color w:val="auto"/>
          <w:sz w:val="28"/>
          <w:szCs w:val="28"/>
          <w:highlight w:val="none"/>
          <w:u w:val="none"/>
          <w:shd w:val="clear" w:color="auto" w:fill="auto"/>
          <w:lang w:val="en-US" w:eastAsia="zh-CN"/>
        </w:rPr>
        <w:t>休息日</w:t>
      </w:r>
      <w:r>
        <w:rPr>
          <w:rFonts w:hint="eastAsia" w:ascii="仿宋" w:hAnsi="仿宋" w:eastAsia="仿宋" w:cs="仿宋"/>
          <w:b w:val="0"/>
          <w:bCs w:val="0"/>
          <w:i w:val="0"/>
          <w:iCs w:val="0"/>
          <w:color w:val="auto"/>
          <w:sz w:val="28"/>
          <w:szCs w:val="28"/>
          <w:highlight w:val="none"/>
          <w:u w:val="none"/>
          <w:shd w:val="clear" w:color="auto" w:fill="auto"/>
          <w:lang w:eastAsia="zh-CN"/>
        </w:rPr>
        <w:t>及技术要求或进度计划要求进行赶工、加班。</w:t>
      </w:r>
    </w:p>
    <w:p w14:paraId="6295480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1D68C7B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49099E2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5.2</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b w:val="0"/>
          <w:bCs w:val="0"/>
          <w:i w:val="0"/>
          <w:iCs w:val="0"/>
          <w:color w:val="auto"/>
          <w:sz w:val="28"/>
          <w:szCs w:val="28"/>
          <w:highlight w:val="none"/>
          <w:u w:val="none"/>
          <w:shd w:val="clear" w:color="auto" w:fill="auto"/>
          <w:lang w:val="en-US" w:eastAsia="zh-CN"/>
        </w:rPr>
        <w:t>已考虑突发疫情等流行疾病影响因素，乙方不以疫情防控为由要求甲方对合同价、合同结算办法及工期等合同条款进行调整，防疫措施的一切费用已包含在合同价内，不另计费。</w:t>
      </w:r>
    </w:p>
    <w:p w14:paraId="36F06EA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23B84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对于增加或变更工程，乙方凭甲方项目经理签认的签证单及相关资料办理结算。甲方项目经理委托/授权他人代签均为无效签证，甲方不付款及不结算。任何人的口头指示、通知、电话通知、微信通知不作为结算依据。未盖甲方项目章的书面签证确认或乙方超出图纸、合同清单范围施工的工程量，不属于增加工程，不纳入结算。</w:t>
      </w:r>
    </w:p>
    <w:p w14:paraId="1E479F0E">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0" w:name="_Toc8540"/>
      <w:bookmarkStart w:id="91" w:name="_Toc17936"/>
      <w:bookmarkStart w:id="92" w:name="_Toc13078"/>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90"/>
      <w:bookmarkEnd w:id="91"/>
      <w:bookmarkEnd w:id="92"/>
    </w:p>
    <w:p w14:paraId="38EB353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5DCCF70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固定单价合同结算方式：结算总价=完成并达到合同标准的工程量×合同单价-合同约定扣除的费用。</w:t>
      </w:r>
    </w:p>
    <w:p w14:paraId="6D71D09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A8"/>
      </w:r>
      <w:r>
        <w:rPr>
          <w:rFonts w:hint="eastAsia" w:ascii="仿宋" w:hAnsi="仿宋" w:eastAsia="仿宋" w:cs="仿宋"/>
          <w:color w:val="auto"/>
          <w:sz w:val="28"/>
          <w:szCs w:val="28"/>
          <w:highlight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2AFDD7EB">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6.2计量依据：</w:t>
      </w:r>
    </w:p>
    <w:p w14:paraId="72D1624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6.2.1甲方招标报价版施工图纸或甲方签认下发的施工图；</w:t>
      </w:r>
    </w:p>
    <w:p w14:paraId="08C566E1">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6.2.2设计变更、甲方与建设单位签认的交楼标准、联系单及签证单；</w:t>
      </w:r>
    </w:p>
    <w:p w14:paraId="6A6DCFD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6.2.3甲方、建设单位、监理签认的竣工图；</w:t>
      </w:r>
    </w:p>
    <w:p w14:paraId="6A8BA34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6.2.4图纸会审纪要；</w:t>
      </w:r>
    </w:p>
    <w:p w14:paraId="006F6934">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6.2.5政府主管部门要求而图纸中没有且建设单位同意施工的内容；</w:t>
      </w:r>
    </w:p>
    <w:p w14:paraId="78098D02">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6.2.6建设单位、监理、甲方、乙方四方测量签字确认的原始场地标高图及场地完成后标高图（适用于土方工程）；</w:t>
      </w:r>
    </w:p>
    <w:p w14:paraId="68B38BFC">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6.2.7建设单位、监理、甲方、乙方四方测量签字确认的打桩记录表、桩位编号图（适用于桩基工程、搅拌桩工程、钢板桩工程、旋挖桩、工法桩等全部桩基工程）；</w:t>
      </w:r>
    </w:p>
    <w:p w14:paraId="388E9830">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6.2.8打拔钢板桩时间记录表（时间以建设单位签字确认的记录表为准）。</w:t>
      </w:r>
    </w:p>
    <w:p w14:paraId="3CDBD9F6">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6.3签证工程管理制度</w:t>
      </w:r>
    </w:p>
    <w:p w14:paraId="4C3537B5">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6.3.1签证必须包括的内容、资料及要求  </w:t>
      </w:r>
    </w:p>
    <w:p w14:paraId="57179CD1">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6.3.1.1签证单签发时间及编号。</w:t>
      </w:r>
    </w:p>
    <w:p w14:paraId="686C143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6.3.1.2签证事实发生的原因、工作内容、完成的工程量。</w:t>
      </w:r>
    </w:p>
    <w:p w14:paraId="133A7D48">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6.3.1.3签证单（含附件：①草签单，②通知单/联系单/设计变更文件，③影像资料等。由乙方按甲方规定的格式填写。）</w:t>
      </w:r>
    </w:p>
    <w:p w14:paraId="3C1027C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6.3.1.4执行签证事实的依据：如建设单位签发的建设单位通知单、联系函、设计变更等文件。</w:t>
      </w:r>
    </w:p>
    <w:p w14:paraId="1196951E">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4D64083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628F772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158A197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6.3.1.8乙方现场执行人签名、印章、内容不清楚、不齐全的签证单或工程量计算单，甲方项目部有权拒收。</w:t>
      </w:r>
    </w:p>
    <w:p w14:paraId="77BB0E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6.3.1.9对同一签证内容，如“甲方与乙方的签证”和“建设单位与甲方的签证”不一致，以较小的量、价对乙方签证确认。</w:t>
      </w:r>
    </w:p>
    <w:p w14:paraId="3CC3CCF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0E4252C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5BD5A33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6.3.1.12</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w:t>
      </w:r>
      <w:r>
        <w:rPr>
          <w:rFonts w:hint="eastAsia" w:ascii="仿宋" w:hAnsi="仿宋" w:eastAsia="仿宋" w:cs="仿宋"/>
          <w:color w:val="auto"/>
          <w:sz w:val="28"/>
          <w:szCs w:val="28"/>
          <w:highlight w:val="none"/>
          <w:lang w:val="en-US" w:eastAsia="zh-CN"/>
        </w:rPr>
        <w:t>甲方项目</w:t>
      </w:r>
      <w:r>
        <w:rPr>
          <w:rFonts w:hint="eastAsia" w:ascii="仿宋" w:hAnsi="仿宋" w:eastAsia="仿宋" w:cs="仿宋"/>
          <w:color w:val="auto"/>
          <w:sz w:val="28"/>
          <w:szCs w:val="28"/>
          <w:highlight w:val="none"/>
        </w:rPr>
        <w:t>章方为有效签证。甲方项目经理委托/授权他人代签均为无效签证，甲方不予办理付款及结算。任何人的口头指示、通知、电话通知、微信通知不作为结算依据。未盖甲方</w:t>
      </w: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书面签证确认或乙方超出图纸、合同清单范围施工的工程量，不属于增加工程，不纳入结算</w:t>
      </w:r>
      <w:r>
        <w:rPr>
          <w:rFonts w:hint="eastAsia" w:ascii="仿宋" w:hAnsi="仿宋" w:eastAsia="仿宋" w:cs="仿宋"/>
          <w:color w:val="auto"/>
          <w:sz w:val="28"/>
          <w:szCs w:val="28"/>
          <w:highlight w:val="none"/>
          <w:lang w:eastAsia="zh-CN"/>
        </w:rPr>
        <w:t>。</w:t>
      </w:r>
    </w:p>
    <w:p w14:paraId="4D89FF3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6.3.2乙方申报签证程序</w:t>
      </w:r>
    </w:p>
    <w:p w14:paraId="5816CCF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923C35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6.3.2.2草签单由甲方的施工员、成本管理员、副经理共同现场收方、见证完成并签名，乙方由合同约定的现场执行人签认。</w:t>
      </w:r>
    </w:p>
    <w:p w14:paraId="7FC4FDA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6.3.2.3草签单须提供施工前、施工中、施工后的照片、签证预算书作为乙方向甲方办理“分包签证确认单”的必备附件。</w:t>
      </w:r>
    </w:p>
    <w:p w14:paraId="5DC338F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6.3.3零星工时计价及相关规定</w:t>
      </w:r>
    </w:p>
    <w:p w14:paraId="0AEC60C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6.3.3.1零星用工以分包签证确认单的方式结算，工程量以该签证单确认工程量计算。</w:t>
      </w:r>
    </w:p>
    <w:p w14:paraId="3D2667B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6.3.3.2甲方范围内的零星用工单价：按 230 元/工日（含税）计取。</w:t>
      </w:r>
    </w:p>
    <w:p w14:paraId="58C50CE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60C038D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6.3.3.4零星时工签证要求及申报程序按照本章第6.3条执行。</w:t>
      </w:r>
    </w:p>
    <w:p w14:paraId="25E9218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6.4甲方巡检发现存在质量问题或验收不合格的工程，工程量不予结算。</w:t>
      </w:r>
    </w:p>
    <w:p w14:paraId="7834AEF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6.5因合同中已有施工方案的变化引起的工程价款变化，结算时不再调整（合同中未明确的施工方案除外）。</w:t>
      </w:r>
    </w:p>
    <w:p w14:paraId="5EB8893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7F88DFC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6.7乙方递交的结算资料要求：①递交完整的结算书一式两份（正副本各一份）及电子档文件（计价软件、模型算量要求使用“广联达”，计算表格要求“Excel”格式，图纸要求PDF和 CAD格式）、结算书扫描件、中泰供材确认表。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p>
    <w:p w14:paraId="3CADF3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6.8双方办理结算时，乙方必须按甲方要求注明结算金额中的每个地块/组团/楼栋具体金额（以便甲方统计各地块/组团/楼栋的费用），否则甲方有权不结算且不违约。</w:t>
      </w:r>
    </w:p>
    <w:p w14:paraId="0F0BAB1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5CAE29D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789547B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5FA7859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6949562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1A14AB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7D8F5A1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93" w:name="_Toc17329"/>
      <w:bookmarkStart w:id="94" w:name="_Toc30160"/>
      <w:bookmarkStart w:id="95" w:name="_Toc5229"/>
      <w:bookmarkStart w:id="96" w:name="_Toc12061"/>
      <w:bookmarkStart w:id="97" w:name="_Toc15975"/>
      <w:bookmarkStart w:id="98" w:name="_Toc31711"/>
      <w:r>
        <w:rPr>
          <w:rFonts w:hint="eastAsia" w:ascii="仿宋" w:hAnsi="仿宋" w:eastAsia="仿宋" w:cs="仿宋"/>
          <w:color w:val="auto"/>
          <w:sz w:val="28"/>
          <w:szCs w:val="28"/>
          <w:highlight w:val="none"/>
          <w:lang w:val="en-US" w:eastAsia="zh-CN"/>
        </w:rPr>
        <w:t>6.15本工程甲供材损耗率按本合同相关条款执行。</w:t>
      </w:r>
      <w:bookmarkEnd w:id="93"/>
      <w:bookmarkEnd w:id="94"/>
      <w:bookmarkEnd w:id="95"/>
      <w:bookmarkEnd w:id="96"/>
      <w:bookmarkEnd w:id="97"/>
      <w:bookmarkEnd w:id="98"/>
    </w:p>
    <w:p w14:paraId="0361410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7400B8B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6.17如竣工图由乙方绘制，则</w:t>
      </w:r>
      <w:r>
        <w:rPr>
          <w:rFonts w:hint="default" w:ascii="仿宋" w:hAnsi="仿宋" w:eastAsia="仿宋" w:cs="仿宋"/>
          <w:color w:val="auto"/>
          <w:sz w:val="28"/>
          <w:szCs w:val="28"/>
          <w:highlight w:val="none"/>
          <w:lang w:val="en-US" w:eastAsia="zh-CN"/>
        </w:rPr>
        <w:t>乙方承诺按甲方要求编汇竣工图并按甲方要求提报甲方，承诺竣工图内容与现场实际完全相符</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如</w:t>
      </w:r>
      <w:r>
        <w:rPr>
          <w:rFonts w:hint="eastAsia" w:ascii="仿宋" w:hAnsi="仿宋" w:eastAsia="仿宋" w:cs="仿宋"/>
          <w:color w:val="auto"/>
          <w:sz w:val="28"/>
          <w:szCs w:val="28"/>
          <w:highlight w:val="none"/>
          <w:lang w:val="en-US" w:eastAsia="zh-CN"/>
        </w:rPr>
        <w:t>乙方存在</w:t>
      </w:r>
      <w:r>
        <w:rPr>
          <w:rFonts w:hint="default" w:ascii="仿宋" w:hAnsi="仿宋" w:eastAsia="仿宋" w:cs="仿宋"/>
          <w:color w:val="auto"/>
          <w:sz w:val="28"/>
          <w:szCs w:val="28"/>
          <w:highlight w:val="none"/>
          <w:lang w:val="en-US" w:eastAsia="zh-CN"/>
        </w:rPr>
        <w:t>合同内未施工的清单分项、图纸内容或竣工图内容或工程量大于现场实际的情形或虚报等弄虚作假行为，其金额超过</w:t>
      </w:r>
      <w:r>
        <w:rPr>
          <w:rFonts w:hint="eastAsia" w:ascii="仿宋" w:hAnsi="仿宋" w:eastAsia="仿宋" w:cs="仿宋"/>
          <w:color w:val="auto"/>
          <w:sz w:val="28"/>
          <w:szCs w:val="28"/>
          <w:highlight w:val="none"/>
          <w:lang w:val="en-US" w:eastAsia="zh-CN"/>
        </w:rPr>
        <w:t>甲乙</w:t>
      </w:r>
      <w:r>
        <w:rPr>
          <w:rFonts w:hint="default" w:ascii="仿宋" w:hAnsi="仿宋" w:eastAsia="仿宋" w:cs="仿宋"/>
          <w:color w:val="auto"/>
          <w:sz w:val="28"/>
          <w:szCs w:val="28"/>
          <w:highlight w:val="none"/>
          <w:lang w:val="en-US" w:eastAsia="zh-CN"/>
        </w:rPr>
        <w:t>双方最终确认结算价10%</w:t>
      </w:r>
      <w:r>
        <w:rPr>
          <w:rFonts w:hint="eastAsia" w:ascii="仿宋" w:hAnsi="仿宋" w:eastAsia="仿宋" w:cs="仿宋"/>
          <w:color w:val="auto"/>
          <w:sz w:val="28"/>
          <w:szCs w:val="28"/>
          <w:highlight w:val="none"/>
          <w:lang w:val="en-US" w:eastAsia="zh-CN"/>
        </w:rPr>
        <w:t>或</w:t>
      </w:r>
      <w:r>
        <w:rPr>
          <w:rFonts w:hint="default" w:ascii="仿宋" w:hAnsi="仿宋" w:eastAsia="仿宋" w:cs="仿宋"/>
          <w:color w:val="auto"/>
          <w:sz w:val="28"/>
          <w:szCs w:val="28"/>
          <w:highlight w:val="none"/>
          <w:lang w:val="en-US" w:eastAsia="zh-CN"/>
        </w:rPr>
        <w:t>以上的，</w:t>
      </w:r>
      <w:r>
        <w:rPr>
          <w:rFonts w:hint="eastAsia" w:ascii="仿宋" w:hAnsi="仿宋" w:eastAsia="仿宋" w:cs="仿宋"/>
          <w:color w:val="auto"/>
          <w:sz w:val="28"/>
          <w:szCs w:val="28"/>
          <w:highlight w:val="none"/>
          <w:lang w:val="en-US" w:eastAsia="zh-CN"/>
        </w:rPr>
        <w:t>乙方</w:t>
      </w:r>
      <w:r>
        <w:rPr>
          <w:rFonts w:hint="default" w:ascii="仿宋" w:hAnsi="仿宋" w:eastAsia="仿宋" w:cs="仿宋"/>
          <w:color w:val="auto"/>
          <w:sz w:val="28"/>
          <w:szCs w:val="28"/>
          <w:highlight w:val="none"/>
          <w:lang w:val="en-US" w:eastAsia="zh-CN"/>
        </w:rPr>
        <w:t>同意</w:t>
      </w:r>
      <w:r>
        <w:rPr>
          <w:rFonts w:hint="eastAsia" w:ascii="仿宋" w:hAnsi="仿宋" w:eastAsia="仿宋" w:cs="仿宋"/>
          <w:color w:val="auto"/>
          <w:sz w:val="28"/>
          <w:szCs w:val="28"/>
          <w:highlight w:val="none"/>
          <w:lang w:val="en-US" w:eastAsia="zh-CN"/>
        </w:rPr>
        <w:t>赔偿</w:t>
      </w:r>
      <w:r>
        <w:rPr>
          <w:rFonts w:hint="default" w:ascii="仿宋" w:hAnsi="仿宋" w:eastAsia="仿宋" w:cs="仿宋"/>
          <w:color w:val="auto"/>
          <w:sz w:val="28"/>
          <w:szCs w:val="28"/>
          <w:highlight w:val="none"/>
          <w:lang w:val="en-US" w:eastAsia="zh-CN"/>
        </w:rPr>
        <w:t>甲方因此</w:t>
      </w:r>
      <w:r>
        <w:rPr>
          <w:rFonts w:hint="eastAsia" w:ascii="仿宋" w:hAnsi="仿宋" w:eastAsia="仿宋" w:cs="仿宋"/>
          <w:color w:val="auto"/>
          <w:sz w:val="28"/>
          <w:szCs w:val="28"/>
          <w:highlight w:val="none"/>
          <w:lang w:val="en-US" w:eastAsia="zh-CN"/>
        </w:rPr>
        <w:t>遭受</w:t>
      </w:r>
      <w:r>
        <w:rPr>
          <w:rFonts w:hint="default" w:ascii="仿宋" w:hAnsi="仿宋" w:eastAsia="仿宋" w:cs="仿宋"/>
          <w:color w:val="auto"/>
          <w:sz w:val="28"/>
          <w:szCs w:val="28"/>
          <w:highlight w:val="none"/>
          <w:lang w:val="en-US" w:eastAsia="zh-CN"/>
        </w:rPr>
        <w:t>的全部损失并按虚报工程量</w:t>
      </w:r>
      <w:r>
        <w:rPr>
          <w:rFonts w:hint="eastAsia" w:ascii="仿宋" w:hAnsi="仿宋" w:eastAsia="仿宋" w:cs="仿宋"/>
          <w:color w:val="auto"/>
          <w:sz w:val="28"/>
          <w:szCs w:val="28"/>
          <w:highlight w:val="none"/>
          <w:lang w:val="en-US" w:eastAsia="zh-CN"/>
        </w:rPr>
        <w:t>对应</w:t>
      </w:r>
      <w:r>
        <w:rPr>
          <w:rFonts w:hint="default" w:ascii="仿宋" w:hAnsi="仿宋" w:eastAsia="仿宋" w:cs="仿宋"/>
          <w:color w:val="auto"/>
          <w:sz w:val="28"/>
          <w:szCs w:val="28"/>
          <w:highlight w:val="none"/>
          <w:lang w:val="en-US" w:eastAsia="zh-CN"/>
        </w:rPr>
        <w:t>金额的20%</w:t>
      </w:r>
      <w:r>
        <w:rPr>
          <w:rFonts w:hint="eastAsia" w:ascii="仿宋" w:hAnsi="仿宋" w:eastAsia="仿宋" w:cs="仿宋"/>
          <w:color w:val="auto"/>
          <w:sz w:val="28"/>
          <w:szCs w:val="28"/>
          <w:highlight w:val="none"/>
          <w:lang w:val="en-US" w:eastAsia="zh-CN"/>
        </w:rPr>
        <w:t>承担</w:t>
      </w:r>
      <w:r>
        <w:rPr>
          <w:rFonts w:hint="default" w:ascii="仿宋" w:hAnsi="仿宋" w:eastAsia="仿宋" w:cs="仿宋"/>
          <w:color w:val="auto"/>
          <w:sz w:val="28"/>
          <w:szCs w:val="28"/>
          <w:highlight w:val="none"/>
          <w:lang w:val="en-US" w:eastAsia="zh-CN"/>
        </w:rPr>
        <w:t>违约金，违约金在结算</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扣除。违约金</w:t>
      </w:r>
      <w:r>
        <w:rPr>
          <w:rFonts w:hint="eastAsia" w:ascii="仿宋" w:hAnsi="仿宋" w:eastAsia="仿宋" w:cs="仿宋"/>
          <w:color w:val="auto"/>
          <w:sz w:val="28"/>
          <w:szCs w:val="28"/>
          <w:highlight w:val="none"/>
          <w:lang w:val="en-US" w:eastAsia="zh-CN"/>
        </w:rPr>
        <w:t>金额</w:t>
      </w:r>
      <w:r>
        <w:rPr>
          <w:rFonts w:hint="default" w:ascii="仿宋" w:hAnsi="仿宋" w:eastAsia="仿宋" w:cs="仿宋"/>
          <w:color w:val="auto"/>
          <w:sz w:val="28"/>
          <w:szCs w:val="28"/>
          <w:highlight w:val="none"/>
          <w:lang w:val="en-US" w:eastAsia="zh-CN"/>
        </w:rPr>
        <w:t>与</w:t>
      </w:r>
      <w:r>
        <w:rPr>
          <w:rFonts w:hint="eastAsia" w:ascii="仿宋" w:hAnsi="仿宋" w:eastAsia="仿宋" w:cs="仿宋"/>
          <w:color w:val="auto"/>
          <w:sz w:val="28"/>
          <w:szCs w:val="28"/>
          <w:highlight w:val="none"/>
          <w:lang w:val="en-US" w:eastAsia="zh-CN"/>
        </w:rPr>
        <w:t>本</w:t>
      </w:r>
      <w:r>
        <w:rPr>
          <w:rFonts w:hint="default"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val="en-US" w:eastAsia="zh-CN"/>
        </w:rPr>
        <w:t>其他条款约定的金额</w:t>
      </w:r>
      <w:r>
        <w:rPr>
          <w:rFonts w:hint="default" w:ascii="仿宋" w:hAnsi="仿宋" w:eastAsia="仿宋" w:cs="仿宋"/>
          <w:color w:val="auto"/>
          <w:sz w:val="28"/>
          <w:szCs w:val="28"/>
          <w:highlight w:val="none"/>
          <w:lang w:val="en-US" w:eastAsia="zh-CN"/>
        </w:rPr>
        <w:t>不一致</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，按违约金金额高的标准执行。</w:t>
      </w:r>
    </w:p>
    <w:p w14:paraId="2DF93E22">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9" w:name="_Toc11671"/>
      <w:bookmarkStart w:id="100" w:name="_Toc850"/>
      <w:bookmarkStart w:id="101" w:name="_Toc4997"/>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99"/>
      <w:bookmarkEnd w:id="100"/>
      <w:bookmarkEnd w:id="101"/>
    </w:p>
    <w:p w14:paraId="59FA6DF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635A61C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节点款时须按甲方要求提交工人工资表等资料，例如：乙方申请3月份节点款时，须在4月10日前将3月份实名制报备登记和打卡的《建筑工人工资表》、3月份发放工人工资金额、4月份实名制报备登记和打卡的《建筑工人工资表》、4月份预计发放的工人工资金额作为附件资料提供给甲方项目部。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w:t>
      </w:r>
      <w:r>
        <w:rPr>
          <w:rFonts w:hint="eastAsia" w:ascii="仿宋" w:hAnsi="仿宋" w:eastAsia="仿宋" w:cs="仿宋"/>
          <w:b w:val="0"/>
          <w:bCs w:val="0"/>
          <w:i w:val="0"/>
          <w:iCs w:val="0"/>
          <w:color w:val="auto"/>
          <w:sz w:val="28"/>
          <w:szCs w:val="28"/>
          <w:highlight w:val="none"/>
          <w:u w:val="none"/>
          <w:shd w:val="clear" w:color="auto" w:fill="auto"/>
          <w:lang w:eastAsia="zh-CN"/>
        </w:rPr>
        <w:t>支付</w:t>
      </w:r>
      <w:r>
        <w:rPr>
          <w:rFonts w:hint="eastAsia" w:ascii="仿宋" w:hAnsi="仿宋" w:eastAsia="仿宋" w:cs="仿宋"/>
          <w:color w:val="auto"/>
          <w:sz w:val="28"/>
          <w:szCs w:val="28"/>
          <w:highlight w:val="none"/>
          <w:lang w:val="en-US" w:eastAsia="zh-CN"/>
        </w:rPr>
        <w:t>违约金壹万元/次。乙方工人考勤打卡及实名要求按甲方《项目实名制及劳资管理制度》执行。</w:t>
      </w:r>
    </w:p>
    <w:p w14:paraId="402545C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未达合同进度款支付节点所支付的工人工资约定如下：①应发＞5000元，暂发5000元；②应发≤5000元，暂发80%；③剩余工资于节点/完工时按合同约定付款方式处理；④每月发的工人工资总数不能超过其当月完成产值的60%，按照无息预支付工程款方式以进度款流程申请办理；⑤甲方有权对该款追偿或在下一次工程款中直接扣除。若乙方当次申请的、达到付款条件的合同款金额支付当次待付工人工资后尚有余额，甲方有权根据乙方现场工人情况进行预留款项，预留款项甲方用于保障通过工人工资户代发乙方工人工资，甲方预留款项的行为不视为逾期付款，乙方不得以任何理由认定甲方违约，预留款项后仍有余额的、余额由甲方直接支付至乙方公司账户</w:t>
      </w:r>
      <w:r>
        <w:rPr>
          <w:rFonts w:hint="eastAsia" w:ascii="仿宋" w:hAnsi="仿宋" w:eastAsia="仿宋" w:cs="仿宋"/>
          <w:i w:val="0"/>
          <w:iCs w:val="0"/>
          <w:color w:val="auto"/>
          <w:sz w:val="28"/>
          <w:szCs w:val="28"/>
          <w:highlight w:val="none"/>
          <w:lang w:val="en-US" w:eastAsia="zh-CN"/>
        </w:rPr>
        <w:t>。</w:t>
      </w:r>
    </w:p>
    <w:p w14:paraId="6E72358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代付款、赔偿及违约金等所有应付款项，否则甲方有权不付款。凡甲方收取的款项（包括但不限于：各类押金、保证金、违约金、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039EE32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0B3044D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但不限于《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2D1322F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7.5乙方每次向甲方请款时，须提供齐全的款项审批资料(包括《建筑工人工资表》等)给甲方，并按甲方要求注明该次请款所含的每个组团、每个地块、每栋楼具体金额，否则甲方有权不付款且不违约。</w:t>
      </w:r>
    </w:p>
    <w:p w14:paraId="14F811D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0892064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2DFD9B6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7.8甲乙双方完成本工程结算且结算款（不含保修金）支付完毕后，视为乙方关于除保修金外的合同款收付事宜的全部权利全部消灭，乙方不得基于合同款收付事宜向甲方提出任何权利主张或追索其他任何费用。</w:t>
      </w:r>
    </w:p>
    <w:p w14:paraId="79F34C9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6104761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就此对乙方按1000元/人/次收取违约金。</w:t>
      </w:r>
    </w:p>
    <w:p w14:paraId="6C4BCB6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color w:val="auto"/>
          <w:highlight w:val="none"/>
          <w:lang w:val="en-US" w:eastAsia="zh-CN"/>
        </w:rPr>
      </w:pPr>
      <w:r>
        <w:rPr>
          <w:rFonts w:hint="eastAsia" w:ascii="仿宋" w:hAnsi="仿宋" w:eastAsia="仿宋" w:cs="仿宋"/>
          <w:color w:val="auto"/>
          <w:sz w:val="28"/>
          <w:szCs w:val="28"/>
          <w:highlight w:val="none"/>
          <w:lang w:val="en-US" w:eastAsia="zh-CN"/>
        </w:rPr>
        <w:t>7.11如乙方申报了不在本项目工作人员的工人工资，属于乙方违约，由此所导致的一切后果和全部责任由乙方承担，同时甲方对乙方此违约行为按1000元/人/次收取违约金。</w:t>
      </w:r>
    </w:p>
    <w:p w14:paraId="5E65AA61">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18290"/>
      <w:bookmarkStart w:id="103" w:name="_Toc9906"/>
      <w:bookmarkStart w:id="104" w:name="_Toc17862"/>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102"/>
      <w:bookmarkEnd w:id="103"/>
      <w:bookmarkEnd w:id="104"/>
    </w:p>
    <w:p w14:paraId="53BCC55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05" w:name="_Toc6947"/>
      <w:bookmarkStart w:id="106" w:name="_Toc725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05"/>
      <w:bookmarkEnd w:id="106"/>
    </w:p>
    <w:p w14:paraId="06FE65E6">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47F9051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8.1.2按国家工程质量标准对乙方施工成品进行内部核验，办理过程验收手续和完工后总体验收手续。在验收合格情况下按照合同约定及时办理结算和付款。</w:t>
      </w:r>
    </w:p>
    <w:p w14:paraId="7BD1CB3B">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78C6677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3F9D3F5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03649B9">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75464F7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7B6A8CB9">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69BBDC9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0CD5591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工程款不足以代付导致甲方需垫付费用，乙方需在甲方发出书面通知起3个日历天内还清甲方垫付款并自甲方垫付之日起按一年期贷款市场报价利率(LPR)的4倍为标准支付利息给甲方。</w:t>
      </w:r>
    </w:p>
    <w:p w14:paraId="231BFF85">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6CBB6177">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03F71AB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凡甲方认为会影响本工程质量或可能导致安全事故的乙方自备材料、机具等，乙方不得用于本项目，否则乙方无条件更换且每次向甲方支付违约金壹万元及不延长工期。</w:t>
      </w:r>
    </w:p>
    <w:p w14:paraId="024E7ED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5164740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6130E30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18D5FA7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13BF481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58702FD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bookmarkStart w:id="107" w:name="_Toc3364"/>
      <w:bookmarkStart w:id="108" w:name="_Toc31817"/>
    </w:p>
    <w:p w14:paraId="6EB4CAB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8.2乙方责任和权利</w:t>
      </w:r>
      <w:bookmarkEnd w:id="107"/>
      <w:bookmarkEnd w:id="108"/>
    </w:p>
    <w:p w14:paraId="2379088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08681CF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3EE4D3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8.2.3乙方负责本合同及图纸范围内的工作内容，须按时完成阶段性施工任务，保证符合甲方的工程工期要求，因乙方原因导致的工期延误及甲方因此遭受的损失均由乙方赔偿甲方。</w:t>
      </w:r>
    </w:p>
    <w:p w14:paraId="522F095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8.2.4遵守安全生产、文明施工法规。乙方违规操作发生的安全或质量事故所造成的甲方损失均由乙方赔偿甲方。</w:t>
      </w:r>
    </w:p>
    <w:p w14:paraId="3C02922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8.2.5施工过程中，乙方指定专人认真做好施工记录，工程竣工后及时将资料整理完整，移交甲方资料员。</w:t>
      </w:r>
    </w:p>
    <w:p w14:paraId="2EF84B0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8.2.6乙方须保护好自身施工的材料、机械等设备，如有被偷盗、损坏等现象发生，由乙方自行负责。</w:t>
      </w:r>
    </w:p>
    <w:p w14:paraId="541B996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8.2.7遵守甲方管理制度，服从甲方管理。</w:t>
      </w:r>
    </w:p>
    <w:p w14:paraId="3BB50C5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8.2.8乙方对完成的每一道工序及时、认真进行自检，自检合格后提请甲方验收。对甲方提出的问题按甲方要求彻底整改，每延误一天完成整改的，向甲方支付违约金壹仟元。</w:t>
      </w:r>
    </w:p>
    <w:p w14:paraId="68A1B64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8.2.9加强自身团队建设。乙方管理人员须经常对下属工人进行技术交底、安全教育，作业人员必须持证上岗。乙方管理人员必须坚守岗位，特殊情况需离开工地时，经甲方项目部批准后方能离开。</w:t>
      </w:r>
    </w:p>
    <w:p w14:paraId="0F2BF64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1EA99A9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8.2.11在甲方的监督下办理工人工资发放专户，由银行代发乙方工人工资。</w:t>
      </w:r>
    </w:p>
    <w:p w14:paraId="5F2DE1C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任意一组团/批次进场开工之日三天前，乙方须向甲方提交所有进场人员（包括但不限于施工人员）花名册、身份证复印件及联系电话、乙方与进场人员签订的劳动合同（加盖乙方公章）做实名登记，否则甲方有权按逾期天数认定乙方延迟开工计收违约金。乙方与进场人员签订了劳动合同而未列入花名册内或未提供该人员身份证复印件及联系电话的，不得进入施工现场，否则乙方向甲方支付违约金贰仟元/人/次且甲方不发放该人员工资。乙方人员花名册如有更新，须在3天内补充新进人员身份证复印件及联系电话、乙方与进场人员签订的劳动合同给甲方。乙方须提供与人员花名册一致的班组工人工资表原件及复印件，且工人工资表金额应与当期支付的工人工资一致。乙方人员每天进场必须进行考勤打卡，且考勤打卡记录须与提供的花名册相符。乙方人员退场时，须提交工资结清证明（加盖乙方公章）给甲方留存，否则甲方有权不予办理结算和不支付合同款。</w:t>
      </w:r>
    </w:p>
    <w:p w14:paraId="474F7E2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8.2.13乙方须如实主动申报及发放工人工资，甲方有权核对，如发现乙方弄虚作假，甲方暂停支付乙方合同款。</w:t>
      </w:r>
    </w:p>
    <w:p w14:paraId="5AC6E16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670D3CF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1A3E6EB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636B760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4E40D94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8.2.17合同履行过程中，如乙方中途自行退场，甲方不支付任何款项，因此造成甲方损失的由乙方赔偿。</w:t>
      </w:r>
    </w:p>
    <w:p w14:paraId="135D520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8.2.18乙方须合理使用甲供材料和机具，在保证质量的情况下，按合同约定及相应规范控制使用。</w:t>
      </w:r>
    </w:p>
    <w:p w14:paraId="5C14BB0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8.2.19乙方施工中须与其他分包单位积极配合，保护所有成品，保护费用及责任由乙方承担。非经甲方书面同意，所有已进场材料设备不能运出工地。</w:t>
      </w:r>
    </w:p>
    <w:p w14:paraId="1EE6F2F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产生的生活垃圾处理费由乙方负责，具体按甲方项目部管理要求执行。乙方每次向甲方请款时，甲方合同执行联系人可直接扣除乙方上月产生的房租、宿舍电费及空调使用费，并按扣除后的金额申请进度款。</w:t>
      </w:r>
    </w:p>
    <w:p w14:paraId="57AC915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8.2.21对违章指挥，乙方有权拒绝服从。</w:t>
      </w:r>
    </w:p>
    <w:p w14:paraId="647F181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8.2.22因乙方材料或施工质量问题引起的返工、维修、更换、损失及工期延误等造成的一切费用由乙方承担。</w:t>
      </w:r>
    </w:p>
    <w:p w14:paraId="451DB4C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w:t>
      </w:r>
      <w:r>
        <w:rPr>
          <w:rFonts w:hint="eastAsia" w:ascii="仿宋" w:hAnsi="仿宋" w:eastAsia="仿宋" w:cs="仿宋"/>
          <w:b w:val="0"/>
          <w:bCs w:val="0"/>
          <w:i w:val="0"/>
          <w:iCs w:val="0"/>
          <w:color w:val="auto"/>
          <w:sz w:val="28"/>
          <w:szCs w:val="28"/>
          <w:highlight w:val="none"/>
          <w:shd w:val="clear" w:color="auto" w:fill="auto"/>
          <w:lang w:val="en-US" w:eastAsia="zh-CN"/>
        </w:rPr>
        <w:t>乙方供应的每批材料必须经甲方现场管理人员（或甲方施工员）确认是否符合合同要求及本工程所需，如不符合，一律不准进场并按甲方要求更换且不得因此延长工期，同时乙方每次向甲方支付违约金伍仟元</w:t>
      </w:r>
      <w:r>
        <w:rPr>
          <w:rFonts w:hint="eastAsia" w:ascii="仿宋" w:hAnsi="仿宋" w:eastAsia="仿宋" w:cs="仿宋"/>
          <w:i w:val="0"/>
          <w:iCs w:val="0"/>
          <w:color w:val="auto"/>
          <w:sz w:val="28"/>
          <w:szCs w:val="28"/>
          <w:highlight w:val="none"/>
          <w:shd w:val="clear" w:color="auto" w:fill="auto"/>
          <w:lang w:val="en-US" w:eastAsia="zh-CN"/>
        </w:rPr>
        <w:t xml:space="preserve">。 </w:t>
      </w:r>
    </w:p>
    <w:p w14:paraId="4CC4E58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w:t>
      </w:r>
      <w:r>
        <w:rPr>
          <w:rFonts w:hint="eastAsia" w:ascii="仿宋" w:hAnsi="仿宋" w:eastAsia="仿宋" w:cs="仿宋"/>
          <w:b w:val="0"/>
          <w:bCs w:val="0"/>
          <w:i w:val="0"/>
          <w:iCs w:val="0"/>
          <w:color w:val="auto"/>
          <w:sz w:val="28"/>
          <w:szCs w:val="28"/>
          <w:highlight w:val="none"/>
          <w:shd w:val="clear" w:color="auto" w:fill="auto"/>
          <w:lang w:val="en-US" w:eastAsia="zh-CN"/>
        </w:rPr>
        <w:t>除不可抗力及非乙方原因外，</w:t>
      </w:r>
      <w:r>
        <w:rPr>
          <w:rFonts w:hint="eastAsia" w:ascii="仿宋" w:hAnsi="仿宋" w:eastAsia="仿宋" w:cs="仿宋"/>
          <w:i w:val="0"/>
          <w:iCs w:val="0"/>
          <w:color w:val="auto"/>
          <w:sz w:val="28"/>
          <w:szCs w:val="28"/>
          <w:highlight w:val="none"/>
          <w:shd w:val="clear" w:color="auto" w:fill="auto"/>
          <w:lang w:val="en-US" w:eastAsia="zh-CN"/>
        </w:rPr>
        <w:t>乙方确保本工程的质量和进度一次性达到合同要求，否则造成的一切损失由乙方承担且每次向甲方支付违约金壹万元。</w:t>
      </w:r>
    </w:p>
    <w:p w14:paraId="77DF917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8.2.25乙方签订本合同前已充分了解本工程现场实际情况，确定☑合同单价/□合同总价已包含处理现场各种因素导致的多次进退场、怠工、误工等不能正常开工情形的费用，甲方无需另行计费给乙方。</w:t>
      </w:r>
    </w:p>
    <w:p w14:paraId="7BB798E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45AADD1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本合同有效期内，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170E2F9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须按甲方书面确定的图纸、设计变更通知单施工，未经甲方书面同意而脱离图纸、设计变更通知单而擅自施工的，无论是否影响本工程质量或工期，乙方每次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4FA7E21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8.2.29乙方原因导致的一切安全事故，属乙方责任，所有损失及费用由乙方承担。</w:t>
      </w:r>
    </w:p>
    <w:p w14:paraId="49D6DF9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76E06FE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8.2.31乙方人员（包括乙方家属、朋友等人员）发生的所有安全事故均与甲方无关，甲方不承担任何责任和费用，一切责任和费用均由乙方承担，对甲方造成损失的则由乙方赔偿甲方损失。</w:t>
      </w:r>
    </w:p>
    <w:p w14:paraId="795D8F4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8.2.32</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784F2C2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8.2.33乙方与第三人签订的劳动、租赁、买卖等一切合同，与甲方无关。乙方在履约产生的与第三方一切债务，由乙方自行全责处理并承担责任。</w:t>
      </w:r>
    </w:p>
    <w:p w14:paraId="2AA5918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8.2.34乙方与第三方发生的任何经济往来、债务纠纷均与甲方无关。乙方保证所供材料无权属上的瑕疵也无知识产权的争议，若因此对甲方造成损失，由乙方全责赔偿甲方。</w:t>
      </w:r>
    </w:p>
    <w:p w14:paraId="73C7633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8.2.35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r>
        <w:rPr>
          <w:rFonts w:hint="eastAsia" w:ascii="仿宋" w:hAnsi="仿宋" w:eastAsia="仿宋" w:cs="仿宋"/>
          <w:i w:val="0"/>
          <w:iCs w:val="0"/>
          <w:color w:val="auto"/>
          <w:sz w:val="28"/>
          <w:szCs w:val="28"/>
          <w:highlight w:val="none"/>
          <w:shd w:val="clear" w:color="auto" w:fill="auto"/>
          <w:lang w:val="en-US" w:eastAsia="zh-CN"/>
        </w:rPr>
        <w:t>。</w:t>
      </w:r>
    </w:p>
    <w:p w14:paraId="631944DD">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9" w:name="_Toc28266"/>
      <w:bookmarkStart w:id="110" w:name="_Toc807"/>
      <w:bookmarkStart w:id="111" w:name="_Toc17662"/>
      <w:bookmarkStart w:id="112" w:name="_Toc22397"/>
      <w:bookmarkStart w:id="113" w:name="_Toc11160"/>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09"/>
      <w:bookmarkEnd w:id="110"/>
      <w:bookmarkEnd w:id="111"/>
      <w:bookmarkEnd w:id="112"/>
      <w:bookmarkEnd w:id="113"/>
    </w:p>
    <w:p w14:paraId="581C8E2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4" w:name="_Toc27493"/>
      <w:bookmarkStart w:id="115" w:name="_Toc5758"/>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14"/>
      <w:bookmarkEnd w:id="115"/>
    </w:p>
    <w:p w14:paraId="166CFD2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9.2甲方不得违反《建设工程安全生产管理条例》（按最新版执行）的规定要求乙方违章施工。因甲方指挥失误导致的安全事故由甲方承担相应责任和费用。</w:t>
      </w:r>
    </w:p>
    <w:p w14:paraId="7DA44A2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按最新版执行</w:t>
      </w:r>
      <w:r>
        <w:rPr>
          <w:rFonts w:hint="eastAsia" w:ascii="仿宋" w:hAnsi="仿宋" w:eastAsia="仿宋" w:cs="仿宋"/>
          <w:color w:val="auto"/>
          <w:sz w:val="28"/>
          <w:szCs w:val="28"/>
          <w:highlight w:val="none"/>
          <w:lang w:val="en-US" w:eastAsia="zh-CN"/>
        </w:rPr>
        <w:t>）、《建设工程安全生产管理条例》（按最新版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657D78B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170E64C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6" w:name="_Toc7882"/>
      <w:bookmarkStart w:id="117"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16"/>
      <w:bookmarkEnd w:id="117"/>
    </w:p>
    <w:p w14:paraId="6420F7C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9.5.1拆除作业时不得高空抛弃材料，必须通过机械或人工传递至地面；</w:t>
      </w:r>
    </w:p>
    <w:p w14:paraId="4C5CBF9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4029095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02EF14C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14F7E87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8" w:name="_Toc22606"/>
      <w:bookmarkStart w:id="119" w:name="_Toc12086"/>
      <w:bookmarkStart w:id="120" w:name="_Toc5829"/>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18"/>
      <w:bookmarkEnd w:id="119"/>
      <w:bookmarkEnd w:id="120"/>
    </w:p>
    <w:p w14:paraId="5F7A4CF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10.1乙方如使用甲供材料，则由乙方独立发起申请，并在货到工地时与甲方仓管员等验收人员共同签收、办理出库领用手续，然后由乙方自行保管。乙方签订本合同后3天内将需甲方提供的材料编制材料计划申报单（详列规格、数量、分批次到货时间等明细）报甲方项目部审批，经双方签字确认后各自留存，以作为各阶段进度计划的附页及领用时的核查依据。</w:t>
      </w:r>
    </w:p>
    <w:p w14:paraId="0838508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10.2乙方对周转材料、建筑材料和施工机具应做到限额合理使用、工完场清，对机具负责正常保养维护。因违反操作规程造成损坏或因保管不严造成丢失的，乙方须负赔偿责任。</w:t>
      </w:r>
    </w:p>
    <w:p w14:paraId="708A6B1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10.3本工程竣工之日起10个日历天内，乙方须到甲方仓库完成甲供材料和机具的退还手续，每延迟一日完成，向甲方支付违约金人民币伍佰元，且甲方有权不办理结算直至全部退还为止。</w:t>
      </w:r>
    </w:p>
    <w:p w14:paraId="2FE0BD1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支付违约金伍佰元且不得要求延长工期。</w:t>
      </w:r>
    </w:p>
    <w:p w14:paraId="2277376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10.5乙方指定其现场负责人办理甲供材领料手续，由该负责人办理甲供材领料手续，领料流程按甲方相关管理规定执行，乙方现场负责人签署的该流程所有手续在本工程完工后作为乙方材料损耗计量和结算依据之一。</w:t>
      </w:r>
    </w:p>
    <w:p w14:paraId="475B115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55157F2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10.7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11136F3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1EDFDE5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70F6DD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3C7294EF">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1" w:name="_Toc30878"/>
      <w:bookmarkStart w:id="122" w:name="_Toc2462"/>
      <w:bookmarkStart w:id="123" w:name="_Toc2827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21"/>
      <w:bookmarkEnd w:id="122"/>
      <w:bookmarkEnd w:id="123"/>
    </w:p>
    <w:p w14:paraId="56C9338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11.1保修期内，本工程如因乙方原因出现质量问题，乙方须在接到甲方通知起48小时内派人到达现场处理解决，否则甲方有权自行或委托第三方处理，乙方承担相关费用、责任并向甲方支付违约金壹仟元/次；如发生的问题或事故系乙方导致或属于乙方保修内容，甲方所耗费用有权从乙方的保修金中扣除，不足部分由乙方在甲方发出书面通知之日起10个日历天内支付；如非乙方原因所致，乙方仍应提供维修服务，但费用经双方商定后由责任方承担。</w:t>
      </w:r>
    </w:p>
    <w:p w14:paraId="6387733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11.2保修期内，本工程若发生乙方原因导致的质量问题，乙方须赔偿甲方因此造成的一切损失；若出现较大质量缺陷，乙方履行保修义务（维修）至验收合格后，保修期自该次维修工作完成验收合格之日起顺延。</w:t>
      </w:r>
    </w:p>
    <w:p w14:paraId="378DB6A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11.3保修期届满前，若出现质量问题需要鉴定，相关费用由乙方负责。</w:t>
      </w:r>
    </w:p>
    <w:p w14:paraId="5C3F469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11.4保修期届满后，由甲方工程部组织主导乙方、物业管理单位（如有）、建设单位等相关单位人员验收，验收合格后由甲方工程部出具《保修验收合格报告》作为保修金（如有）支付凭证；若验收不通过，由乙方整改后另行验收，相关费用由乙方负责。本工程整改两次通过保修验收的，则保修期按乙方整改天数顺延，整改三次及以上验收合格的，保修期自整改验收合格之日起顺延一年</w:t>
      </w:r>
      <w:r>
        <w:rPr>
          <w:rFonts w:hint="eastAsia" w:ascii="仿宋" w:hAnsi="仿宋" w:eastAsia="仿宋" w:cs="仿宋"/>
          <w:color w:val="auto"/>
          <w:sz w:val="28"/>
          <w:szCs w:val="28"/>
          <w:highlight w:val="none"/>
          <w:lang w:val="en-US" w:eastAsia="zh-CN"/>
        </w:rPr>
        <w:t xml:space="preserve">。 </w:t>
      </w:r>
    </w:p>
    <w:p w14:paraId="4EBB1B1D">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4" w:name="_Toc6473"/>
      <w:bookmarkStart w:id="125" w:name="_Toc3973"/>
      <w:bookmarkStart w:id="126" w:name="_Toc1279"/>
      <w:bookmarkStart w:id="127" w:name="_Toc25142"/>
      <w:bookmarkStart w:id="128" w:name="_Toc454"/>
      <w:bookmarkStart w:id="129" w:name="_Toc4352"/>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24"/>
      <w:bookmarkEnd w:id="125"/>
      <w:bookmarkEnd w:id="126"/>
      <w:bookmarkEnd w:id="127"/>
      <w:bookmarkEnd w:id="128"/>
      <w:bookmarkEnd w:id="129"/>
    </w:p>
    <w:p w14:paraId="4FB1D6D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69731D4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合同单价/□合同总价中，甲方不承担任何责任和费用。</w:t>
      </w:r>
    </w:p>
    <w:p w14:paraId="554DBFE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合同单价/□合同总价中无需甲方另行支付给乙方。因各种原因导致乙方延长保险期所增加的保险费由乙方自行承担，其费用已包含在☑合同单价/□合同总价内。乙方人员或因乙方原因造成任何事故(包括第三方人员在内)导致的损失、赔偿、补偿等责任和费用由乙方承担。</w:t>
      </w:r>
    </w:p>
    <w:p w14:paraId="53275F4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40C5CB5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合同单价/□合同总价中甲方无需另行支付给乙方。乙方须自保险合同生效之日起5个日历天内将保险合同复印件（加盖乙方公章）提交甲方项目部留存。</w:t>
      </w:r>
    </w:p>
    <w:p w14:paraId="08B2F65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7784AA03">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0" w:name="_Toc14887"/>
      <w:bookmarkStart w:id="131" w:name="_Toc20713"/>
      <w:bookmarkStart w:id="132" w:name="_Toc18420"/>
      <w:bookmarkStart w:id="133" w:name="_Toc14823"/>
      <w:bookmarkStart w:id="134" w:name="_Toc30819"/>
      <w:bookmarkStart w:id="135" w:name="_Toc12559"/>
      <w:bookmarkStart w:id="136" w:name="_Toc9446"/>
      <w:bookmarkStart w:id="137" w:name="_Toc15560"/>
      <w:bookmarkStart w:id="138" w:name="_Toc7926"/>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30"/>
      <w:bookmarkEnd w:id="131"/>
      <w:bookmarkEnd w:id="132"/>
      <w:bookmarkEnd w:id="133"/>
      <w:bookmarkEnd w:id="134"/>
      <w:bookmarkEnd w:id="135"/>
      <w:bookmarkEnd w:id="136"/>
      <w:bookmarkEnd w:id="137"/>
      <w:bookmarkEnd w:id="138"/>
    </w:p>
    <w:p w14:paraId="1FA7689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39" w:name="_Toc31201"/>
      <w:bookmarkStart w:id="140" w:name="_Toc21565"/>
      <w:r>
        <w:rPr>
          <w:rFonts w:hint="eastAsia" w:ascii="仿宋" w:hAnsi="仿宋" w:eastAsia="仿宋" w:cs="仿宋"/>
          <w:i w:val="0"/>
          <w:iCs w:val="0"/>
          <w:color w:val="auto"/>
          <w:sz w:val="28"/>
          <w:szCs w:val="28"/>
          <w:highlight w:val="none"/>
          <w:u w:val="none"/>
          <w:shd w:val="clear" w:color="auto" w:fill="auto"/>
          <w:lang w:val="en-US" w:eastAsia="zh-CN"/>
        </w:rPr>
        <w:t>13.1</w:t>
      </w:r>
      <w:bookmarkEnd w:id="139"/>
      <w:bookmarkEnd w:id="140"/>
      <w:bookmarkStart w:id="141" w:name="_Toc6486"/>
      <w:bookmarkStart w:id="142" w:name="_Toc16635"/>
      <w:bookmarkStart w:id="143" w:name="_Toc28593"/>
      <w:r>
        <w:rPr>
          <w:rFonts w:hint="eastAsia" w:ascii="仿宋" w:hAnsi="仿宋" w:eastAsia="仿宋" w:cs="仿宋"/>
          <w:i w:val="0"/>
          <w:iCs w:val="0"/>
          <w:color w:val="auto"/>
          <w:sz w:val="28"/>
          <w:szCs w:val="28"/>
          <w:highlight w:val="none"/>
          <w:u w:val="none"/>
          <w:shd w:val="clear" w:color="auto" w:fill="auto"/>
          <w:lang w:val="en-US" w:eastAsia="zh-CN"/>
        </w:rPr>
        <w:t>奖励</w:t>
      </w:r>
    </w:p>
    <w:p w14:paraId="57F30A7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2ABBC8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21878DE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26FA7C0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3CED799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6D7F6C9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058E819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44" w:name="_Toc14079"/>
      <w:bookmarkStart w:id="145"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44"/>
      <w:bookmarkEnd w:id="145"/>
    </w:p>
    <w:p w14:paraId="2AB64FF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18CD7C4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13.2.1.1乙方在质量、进度、安全、管理等方面经甲方二次警告或处罚后仍不能明显改善；</w:t>
      </w:r>
    </w:p>
    <w:p w14:paraId="4C3B8E6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116CDD5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14E2C7D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12B3F20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3FD2B6C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59E0929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1D096FD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6DA35DA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13.2.4乙方或其人员有下列情况之一的，造成甲方损失的由乙方全额赔偿甲方，同时甲方有权对乙方采取每人或每次收取违约金壹佰元至叁万元的措施：</w:t>
      </w:r>
    </w:p>
    <w:p w14:paraId="52EB234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15B791C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1643D0D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27F86C7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07E4CFF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45D590A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1A9FC5D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355B8C1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6ED6030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5B5C9E3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13.2.4.10收留、聘用未成年人；（甲方计收乙方违约金同时驱逐未成年人离开本项目）</w:t>
      </w:r>
    </w:p>
    <w:p w14:paraId="57D5304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307D24E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1A4DF1F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6CD64F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7C112A4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4DB4F87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287AA20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685A7F3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1D33A4B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06F6A83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p>
    <w:p w14:paraId="312CF07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2AE15E07">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6" w:name="_Toc27799"/>
      <w:bookmarkStart w:id="147" w:name="_Toc32604"/>
      <w:bookmarkStart w:id="148" w:name="_Toc8716"/>
      <w:bookmarkStart w:id="149" w:name="_Toc30520"/>
      <w:bookmarkStart w:id="150" w:name="_Toc7591"/>
      <w:bookmarkStart w:id="151" w:name="_Toc21006"/>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41"/>
      <w:bookmarkEnd w:id="142"/>
      <w:bookmarkEnd w:id="143"/>
      <w:bookmarkEnd w:id="146"/>
      <w:bookmarkEnd w:id="147"/>
      <w:bookmarkEnd w:id="148"/>
      <w:bookmarkEnd w:id="149"/>
      <w:bookmarkEnd w:id="150"/>
      <w:bookmarkEnd w:id="151"/>
    </w:p>
    <w:p w14:paraId="012F05C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52" w:name="_Toc9673"/>
      <w:bookmarkStart w:id="153" w:name="_Toc2734"/>
      <w:bookmarkStart w:id="154" w:name="_Toc31952"/>
      <w:bookmarkStart w:id="155" w:name="_Toc18651"/>
      <w:bookmarkStart w:id="156" w:name="_Toc16038"/>
      <w:bookmarkStart w:id="157" w:name="_Toc14983"/>
      <w:bookmarkStart w:id="158" w:name="_Toc14761"/>
      <w:bookmarkStart w:id="159" w:name="_Toc10430"/>
      <w:bookmarkStart w:id="160" w:name="_Toc21824"/>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支付违约金人民币伍仟元，延迟超过三个日历天的，甲方有权单方解除合同，已完工工程无偿归甲方，甲方有权委托其他单位继续完成本工程；乙方同时按合同暂定总价/合同总价的20%支付违约金并按甲方要求准时退场，每延迟一个日历天退场，乙方向甲方另行支付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建设单位接受现状质量的，乙方仍须承担违约责任，向甲方支付金额等于不合格部位造价20%的违约金。本条所述违约金，甲方有权从任意应付乙方的款项中直接扣除，所扣款项不足以赔偿甲方损失的，由乙方在甲方通知起5个日历天内向甲方付清差额。</w:t>
      </w:r>
    </w:p>
    <w:p w14:paraId="40539D7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计收人民币伍仟元/次的违约金，如果甲方被政府部门或建设单位处分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14.4合同有效期内，因乙方原因造成甲方或本工程或本项目被政府部门停工、整改导致扣分的，乙方按贰万元/分向甲方承担违约金（甲方可从任意合同款中扣款）。</w:t>
      </w:r>
    </w:p>
    <w:p w14:paraId="3E5B0C9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14.5乙方及其人员、供应商不得以任何理由去政府部门上访、投诉、静坐。不得去建设单位静坐、围堵，否则视情节轻重由乙方向甲方承担违约金壹万至壹拾万元/次。</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合同总价的20%向甲方支付违约金，同时乙方按甲方要求限时退场并赔偿甲方损失。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14.7无论乙方实际是否欠薪或欠货款，乙方人员或供应商每发起一次欠薪或欠货款纠纷，涉及甲方的，乙方均须向甲方支付违约金叁万元/次；若因此导致媒体曝光或政府部门介入，乙方须另向甲方支付违约金不少于伍万元/次。</w:t>
      </w:r>
    </w:p>
    <w:p w14:paraId="223508E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14.8凡乙方发生偷工减料行为，甲方视情节轻重计收乙方壹仟至壹拾万元/次的违约金。</w:t>
      </w:r>
    </w:p>
    <w:p w14:paraId="50693DC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14.9合同有效期内，乙方无条件执行甲方与建设单位签订的施工现场管理办法等相关规章制度，因乙方原因导致建设单位或其他部门对甲方进行处罚扣款的，乙方按该处罚金额的2倍向甲方承担违约金。</w:t>
      </w:r>
    </w:p>
    <w:p w14:paraId="47E670A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14.10因乙方原因导致甲方被起诉或被处分的，乙方除赔偿甲方损失外，甲方每被起诉或处分一次，乙方还须向甲方支付五万元的违约金。若因此导致甲方账户被冻结，乙方还须按冻结资金总额的日千分之一向甲方支付利息；因出现此情形属乙方自身管理不当，乙方自愿赔偿甲方遭受的所有损失，并根据账户被冻结次数每次额外向甲方支付伍万元违约金。</w:t>
      </w:r>
    </w:p>
    <w:p w14:paraId="21065ED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14.11乙方出现上述第14.1条~第14.10条所述任一行为或未履行合同任一义务的，均属乙方严重违约，乙方除按上述条款承担包括但不限于以上所述的违约责任外，甲方可随时单方解除本合同，所产生的损失由乙方赔偿甲方。</w:t>
      </w:r>
    </w:p>
    <w:p w14:paraId="4D49A8B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14.12因建设单位、设计变更或非甲方原因导致本合同不能履行的，甲、乙双方互不追究违约责任，按照乙方已完成且经甲方验收合格的工程量进行结算，同时双方各自承担自身损失。</w:t>
      </w:r>
    </w:p>
    <w:p w14:paraId="26B3D4F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14.13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72A553E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14.14在本合同履行过程中，可能因乙方原因造成施工质量、安全文明措施等无法满足甲方及规范要求的，乙方须提供不属于其责任的证明并得到甲方的书面认可，否则视为乙方违约，全部责任及费用和损失由乙方承担。</w:t>
      </w:r>
    </w:p>
    <w:p w14:paraId="0C96640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14.15乙方必须按本合同施工图纸及甲方签发的《施工交楼标准》准确预留、预埋或开凿槽施工，须在楼地面、屋面找平层、墙体、柱子天棚抹灰等施工前完成(甲方另行签证除外）；禁止乙方在泥水找平或抹灰工程完成后再开凿槽、开洞，禁止乙方进行任何影响工程质量、美观和破坏前面施工成果的工作或行为。乙方违反前述约定的，属严重违约，找平层、抹灰层、面层等工程恢复由甲方指定专业泥水分包单位完成，并由乙方承担因此产生的全部费用（包括但不限于工期延误、材料、劳务等费用），同时乙方须就此违约行为按本合同（暂定）总价的5%向甲方支付违约金，甲方有权在乙方任一工程款中直接扣除。</w:t>
      </w:r>
    </w:p>
    <w:p w14:paraId="37FADB3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14.16乙方同意：本项目如出现了可能因乙方原因导致的施工材料不合格或工程质量不合格，甲方有权按自行估算的最大损失金额在甲乙双方签订的任意合同应付款项中暂扣，待责任及损失金额确定后，甲方无息返还非乙方责任的暂扣金额。</w:t>
      </w:r>
    </w:p>
    <w:p w14:paraId="6D28191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14.17乙方须对甲供材料进行质量检查，发现有质量问题或异常的材料，必须立即书面（包括但不限于微信、短信等方式）报告甲方施工员和项目经理，否则如乙方施工部分的甲供材料出现质量不合格，甲方有权扣除乙方在该施工部分的费用，如造成甲方损失，乙方须承担责任和损失。</w:t>
      </w:r>
    </w:p>
    <w:p w14:paraId="0A148F7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14.18基于本项目及本工程的特殊性，乙方已充分了解其施工责任并自愿承担相应风险，合同约定的违约金标准系经双方友好协商确定，乙方同意不对违约金标准提出任何主张或抗辩</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184686F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52"/>
      <w:bookmarkEnd w:id="153"/>
      <w:bookmarkEnd w:id="154"/>
      <w:bookmarkEnd w:id="155"/>
      <w:bookmarkEnd w:id="156"/>
      <w:bookmarkEnd w:id="157"/>
      <w:bookmarkEnd w:id="158"/>
      <w:bookmarkEnd w:id="159"/>
      <w:bookmarkEnd w:id="160"/>
    </w:p>
    <w:p w14:paraId="19EB23C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61" w:name="_Toc15891"/>
      <w:bookmarkStart w:id="162" w:name="_Toc23011"/>
      <w:bookmarkStart w:id="163" w:name="_Toc10466"/>
      <w:r>
        <w:rPr>
          <w:rFonts w:hint="eastAsia" w:ascii="仿宋" w:hAnsi="仿宋" w:eastAsia="仿宋" w:cs="仿宋"/>
          <w:i w:val="0"/>
          <w:iCs w:val="0"/>
          <w:color w:val="auto"/>
          <w:sz w:val="28"/>
          <w:szCs w:val="28"/>
          <w:highlight w:val="none"/>
          <w:u w:val="none"/>
          <w:shd w:val="clear" w:color="auto" w:fill="auto"/>
          <w:lang w:val="en-US" w:eastAsia="zh-CN"/>
        </w:rPr>
        <w:t>15.1乙方在与甲方合作期间（包括本合同招标、签订、履行期间），不得向甲方职员提供请吃、送礼、旅游、色情服务、行贿、回扣或其他非法利益，如有违反，乙方每次向甲方支付金额等于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合同总价10％的违约金（甲方可从任意合同款中扣款），造成甲方经济或其他损失的，乙方全额赔偿甲方。</w:t>
      </w:r>
    </w:p>
    <w:p w14:paraId="610EEFF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15.2甲乙双方管理人员有权拒绝执行合同以外的违法要求。甲方发现乙方向甲方人员或甲方委托的其他人员行贿或输送不正当利益的，甲方有权对乙方计收违约金伍万元/次并且单方解除合同，对所发生的工程量/工作量不结算及不支付费用。</w:t>
      </w:r>
    </w:p>
    <w:p w14:paraId="633F0A8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2220559E">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61"/>
      <w:bookmarkEnd w:id="162"/>
      <w:bookmarkEnd w:id="163"/>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13D547A2">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16.1甲乙双方确认，甲方项目章仅供甲方项目部与乙方联系工作和确认施工技术、资料之用。乙方知悉并同意，该项目章用于以下情形时无效：</w:t>
      </w:r>
    </w:p>
    <w:p w14:paraId="4572AEEB">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①签订工程合同或工程分包合同及机械设备、周材租赁及材料采购类等合同；</w:t>
      </w:r>
    </w:p>
    <w:p w14:paraId="5CFC50C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②任何类型的欠条或收据；</w:t>
      </w:r>
    </w:p>
    <w:p w14:paraId="64993E7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③任何形式的经济结算凭证；</w:t>
      </w:r>
    </w:p>
    <w:p w14:paraId="43BA77CF">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④为他人或他单位提供任何形式的担保；</w:t>
      </w:r>
    </w:p>
    <w:p w14:paraId="046446E6">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⑤确认任何形式的包含权利义务及责任承担的文件。</w:t>
      </w:r>
    </w:p>
    <w:p w14:paraId="39EF7DD3">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合同不可分割的组成部分，与合同正文具有同等效力，乙方须照章执行。</w:t>
      </w:r>
    </w:p>
    <w:p w14:paraId="2D6D48B6">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16.3本合同有效期内，甲方制度文件及合同附件表格格式如有更新，按甲方最新版要求执行，甲方拥有最终解释权。</w:t>
      </w:r>
    </w:p>
    <w:p w14:paraId="5B7E926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16.4本合同除《工完场清交接单》、《甲方项目章样式》、《签证单分包说明》、《施工图纸》外，其余合同附件在办理相关手续时，乙方须加盖公章且经法人代表签字。</w:t>
      </w:r>
    </w:p>
    <w:p w14:paraId="54FDD6E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64" w:name="_Toc10212"/>
      <w:bookmarkStart w:id="165" w:name="_Toc10994"/>
      <w:r>
        <w:rPr>
          <w:rFonts w:hint="eastAsia" w:ascii="仿宋" w:hAnsi="仿宋" w:eastAsia="仿宋" w:cs="仿宋"/>
          <w:i w:val="0"/>
          <w:iCs w:val="0"/>
          <w:color w:val="auto"/>
          <w:sz w:val="28"/>
          <w:szCs w:val="28"/>
          <w:highlight w:val="none"/>
          <w:u w:val="none"/>
          <w:shd w:val="clear" w:color="auto" w:fill="auto"/>
          <w:lang w:val="en-US" w:eastAsia="zh-CN"/>
        </w:rPr>
        <w:t>16.5本合同条款互为矛盾的，按最有利于甲方的条款执行。</w:t>
      </w:r>
      <w:bookmarkEnd w:id="164"/>
      <w:bookmarkEnd w:id="165"/>
    </w:p>
    <w:p w14:paraId="4569D01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16.6本合同未尽事宜，须经甲乙双方协商一致后签订补充协议进行明确。补充协议与本合同具有同等法律效力。</w:t>
      </w:r>
    </w:p>
    <w:p w14:paraId="6A50AAE8">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4219365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16.8乙方违反本合同约定给甲方造成损失的，须按本合同约定承担违约责任外，甲方有权直接从应付给乙方的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3D8238E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16.9本合同正文为清洁打印文本，如双方对本合同有任何修改及补充均应另行签订补充协议。合同正文中任何非打印的文字或者图形，除非经双方确认同意，否则不产生约束力。</w:t>
      </w:r>
    </w:p>
    <w:p w14:paraId="6F281A0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16.10甲乙双方均确认已经审阅并理解本合同全部条款，且已经就条款的任何疑问得到满意解释，并确认合同条款为双方本着诚信互利的原则友好协商一致的结果，不属于任何一方的格式条款。</w:t>
      </w:r>
    </w:p>
    <w:p w14:paraId="73D1CA2B">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16.11本合同壹式叁份，甲方执贰份，乙方执壹份，均具同等效力。</w:t>
      </w:r>
    </w:p>
    <w:p w14:paraId="37471CBF">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77F8ACD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 合同履行过程中，双方法人代表或授权人签字并加盖公章的本合同补充协议；</w:t>
      </w:r>
    </w:p>
    <w:p w14:paraId="638960F9">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 本合同第一部分，合同专用条款；</w:t>
      </w:r>
    </w:p>
    <w:p w14:paraId="0072246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 本合同第二部分，合同通用条款；</w:t>
      </w:r>
    </w:p>
    <w:p w14:paraId="1968E7E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④ 经甲方权限领导审批确认的方案及相关设计变更；</w:t>
      </w:r>
    </w:p>
    <w:p w14:paraId="0B71804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⑤ 本工程招标文件（含相关答疑、补充通知等）；</w:t>
      </w:r>
    </w:p>
    <w:p w14:paraId="4D5911D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⑥ 乙方发出的、经甲方确认的本工程投标文件及相关澄清文件；</w:t>
      </w:r>
    </w:p>
    <w:p w14:paraId="79C8C21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⑦ 本项目所在地现行的法律、法规、标准、规范。</w:t>
      </w:r>
    </w:p>
    <w:p w14:paraId="4EA2916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16.13本合同自甲乙双方签字并加盖公章（或合同章）之日起生效，在竣工结算完毕、乙方向甲方交付竣工验收合格的工程，双方履行完合同义务、责任之日，本合同自动终止</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0D06F550">
      <w:pPr>
        <w:keepNext w:val="0"/>
        <w:keepLines w:val="0"/>
        <w:pageBreakBefore w:val="0"/>
        <w:widowControl w:val="0"/>
        <w:kinsoku/>
        <w:wordWrap/>
        <w:overflowPunct/>
        <w:topLinePunct w:val="0"/>
        <w:autoSpaceDE/>
        <w:autoSpaceDN/>
        <w:bidi w:val="0"/>
        <w:adjustRightInd w:val="0"/>
        <w:snapToGrid w:val="0"/>
        <w:spacing w:before="147" w:beforeLines="50" w:line="360" w:lineRule="auto"/>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【以下无正文】</w:t>
      </w:r>
    </w:p>
    <w:p w14:paraId="7B20693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附件：</w:t>
      </w:r>
      <w:bookmarkStart w:id="166" w:name="_Toc19939"/>
      <w:bookmarkStart w:id="167" w:name="_Toc9464"/>
      <w:bookmarkStart w:id="168" w:name="_Toc20090"/>
      <w:bookmarkStart w:id="169" w:name="_Toc18756"/>
      <w:bookmarkStart w:id="170" w:name="_Toc14601"/>
      <w:bookmarkStart w:id="171" w:name="_Toc20837"/>
    </w:p>
    <w:bookmarkEnd w:id="166"/>
    <w:bookmarkEnd w:id="167"/>
    <w:bookmarkEnd w:id="168"/>
    <w:bookmarkEnd w:id="169"/>
    <w:bookmarkEnd w:id="170"/>
    <w:bookmarkEnd w:id="171"/>
    <w:p w14:paraId="7B428A8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72" w:name="_Toc1433"/>
      <w:bookmarkStart w:id="173" w:name="_Toc1399"/>
      <w:bookmarkStart w:id="174" w:name="_Toc1666"/>
      <w:bookmarkStart w:id="175" w:name="_Toc4369"/>
      <w:bookmarkStart w:id="176" w:name="_Toc32677"/>
      <w:bookmarkStart w:id="177" w:name="_Toc5558"/>
      <w:bookmarkStart w:id="178" w:name="_Toc936"/>
      <w:bookmarkStart w:id="179" w:name="_Toc31165"/>
      <w:bookmarkStart w:id="180" w:name="_Toc6457"/>
      <w:bookmarkStart w:id="181" w:name="_Toc28577"/>
      <w:bookmarkStart w:id="182" w:name="_Toc7245"/>
      <w:bookmarkStart w:id="183" w:name="_Toc7880"/>
      <w:bookmarkStart w:id="184" w:name="_Toc22492"/>
      <w:bookmarkStart w:id="185" w:name="_Toc4318"/>
      <w:bookmarkStart w:id="186" w:name="_Toc23233"/>
      <w:bookmarkStart w:id="187" w:name="_Toc26912"/>
      <w:bookmarkStart w:id="188" w:name="_Toc26460"/>
      <w:bookmarkStart w:id="189" w:name="_Toc10798"/>
      <w:bookmarkStart w:id="190" w:name="_Toc22736"/>
      <w:bookmarkStart w:id="191" w:name="_Toc13137"/>
      <w:bookmarkStart w:id="192" w:name="_Toc7014"/>
      <w:bookmarkStart w:id="193" w:name="_Toc31130"/>
      <w:bookmarkStart w:id="194" w:name="_Toc26059"/>
      <w:bookmarkStart w:id="195" w:name="_Toc14000"/>
      <w:bookmarkStart w:id="196" w:name="_Toc18080"/>
      <w:bookmarkStart w:id="197" w:name="_Toc3404"/>
      <w:bookmarkStart w:id="198" w:name="_Toc30985"/>
      <w:bookmarkStart w:id="199" w:name="_Toc12795"/>
      <w:r>
        <w:rPr>
          <w:rFonts w:hint="eastAsia" w:ascii="仿宋" w:hAnsi="仿宋" w:eastAsia="仿宋" w:cs="仿宋"/>
          <w:color w:val="auto"/>
          <w:sz w:val="28"/>
          <w:szCs w:val="28"/>
          <w:highlight w:val="none"/>
          <w:lang w:val="en-US" w:eastAsia="zh-CN"/>
        </w:rPr>
        <w:t>附件一《甲方项目章》</w:t>
      </w:r>
      <w:bookmarkEnd w:id="172"/>
      <w:bookmarkEnd w:id="173"/>
      <w:bookmarkEnd w:id="174"/>
      <w:bookmarkEnd w:id="175"/>
      <w:bookmarkEnd w:id="176"/>
      <w:bookmarkEnd w:id="177"/>
      <w:bookmarkEnd w:id="178"/>
      <w:bookmarkEnd w:id="179"/>
      <w:r>
        <w:rPr>
          <w:rFonts w:hint="eastAsia" w:ascii="仿宋" w:hAnsi="仿宋" w:eastAsia="仿宋" w:cs="仿宋"/>
          <w:color w:val="auto"/>
          <w:sz w:val="28"/>
          <w:szCs w:val="28"/>
          <w:highlight w:val="none"/>
          <w:lang w:val="en-US" w:eastAsia="zh-CN"/>
        </w:rPr>
        <w:t>样式；</w:t>
      </w:r>
    </w:p>
    <w:p w14:paraId="7CDC937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00" w:name="_Toc369"/>
      <w:bookmarkStart w:id="201" w:name="_Toc3354"/>
      <w:bookmarkStart w:id="202" w:name="_Toc4390"/>
      <w:bookmarkStart w:id="203" w:name="_Toc4984"/>
      <w:bookmarkStart w:id="204" w:name="_Toc23025"/>
      <w:bookmarkStart w:id="205" w:name="_Toc8731"/>
      <w:bookmarkStart w:id="206" w:name="_Toc26292"/>
      <w:bookmarkStart w:id="207" w:name="_Toc8978"/>
      <w:bookmarkStart w:id="208" w:name="_Toc20750"/>
      <w:bookmarkStart w:id="209" w:name="_Toc27112"/>
      <w:bookmarkStart w:id="210" w:name="_Toc5473"/>
      <w:bookmarkStart w:id="211" w:name="_Toc21931"/>
      <w:bookmarkStart w:id="212" w:name="_Toc19911"/>
      <w:bookmarkStart w:id="213" w:name="_Toc29364"/>
      <w:bookmarkStart w:id="214" w:name="_Toc1593"/>
      <w:bookmarkStart w:id="215" w:name="_Toc820"/>
      <w:bookmarkStart w:id="216" w:name="_Toc20849"/>
      <w:bookmarkStart w:id="217" w:name="_Toc13056"/>
      <w:bookmarkStart w:id="218" w:name="_Toc3785"/>
      <w:bookmarkStart w:id="219" w:name="_Toc14081"/>
      <w:bookmarkStart w:id="220" w:name="_Toc9762"/>
      <w:bookmarkStart w:id="221" w:name="_Toc25849"/>
      <w:bookmarkStart w:id="222" w:name="_Toc13105"/>
      <w:bookmarkStart w:id="223" w:name="_Toc12247"/>
      <w:bookmarkStart w:id="224" w:name="_Toc16048"/>
      <w:bookmarkStart w:id="225" w:name="_Toc22382"/>
      <w:bookmarkStart w:id="226" w:name="_Toc1568"/>
      <w:r>
        <w:rPr>
          <w:rFonts w:hint="eastAsia" w:ascii="仿宋" w:hAnsi="仿宋" w:eastAsia="仿宋" w:cs="仿宋"/>
          <w:color w:val="auto"/>
          <w:sz w:val="28"/>
          <w:szCs w:val="28"/>
          <w:highlight w:val="none"/>
          <w:lang w:val="en-US" w:eastAsia="zh-CN"/>
        </w:rPr>
        <w:t>附件二</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r>
        <w:rPr>
          <w:rFonts w:hint="eastAsia" w:ascii="仿宋" w:hAnsi="仿宋" w:eastAsia="仿宋" w:cs="仿宋"/>
          <w:b w:val="0"/>
          <w:bCs w:val="0"/>
          <w:color w:val="auto"/>
          <w:sz w:val="28"/>
          <w:szCs w:val="28"/>
          <w:highlight w:val="none"/>
          <w:lang w:val="en-US" w:eastAsia="zh-CN"/>
        </w:rPr>
        <w:t>；</w:t>
      </w:r>
    </w:p>
    <w:p w14:paraId="453ADA5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27" w:name="_Toc31858"/>
      <w:bookmarkStart w:id="228" w:name="_Toc25160"/>
      <w:bookmarkStart w:id="229" w:name="_Toc29940"/>
      <w:bookmarkStart w:id="230" w:name="_Toc23140"/>
      <w:bookmarkStart w:id="231" w:name="_Toc6450"/>
      <w:bookmarkStart w:id="232" w:name="_Toc32541"/>
      <w:bookmarkStart w:id="233" w:name="_Toc22544"/>
      <w:bookmarkStart w:id="234" w:name="_Toc18649"/>
      <w:bookmarkStart w:id="235" w:name="_Toc17668"/>
      <w:bookmarkStart w:id="236" w:name="_Toc9202"/>
      <w:bookmarkStart w:id="237" w:name="_Toc13193"/>
      <w:bookmarkStart w:id="238" w:name="_Toc1326"/>
      <w:bookmarkStart w:id="239" w:name="_Toc18715"/>
      <w:bookmarkStart w:id="240" w:name="_Toc15918"/>
      <w:bookmarkStart w:id="241" w:name="_Toc20300"/>
      <w:bookmarkStart w:id="242" w:name="_Toc524"/>
      <w:bookmarkStart w:id="243" w:name="_Toc19231"/>
      <w:bookmarkStart w:id="244" w:name="_Toc6636"/>
      <w:bookmarkStart w:id="245" w:name="_Toc25081"/>
      <w:bookmarkStart w:id="246" w:name="_Toc16724"/>
      <w:bookmarkStart w:id="247" w:name="_Toc10287"/>
      <w:bookmarkStart w:id="248" w:name="_Toc1914"/>
      <w:bookmarkStart w:id="249" w:name="_Toc27522"/>
      <w:bookmarkStart w:id="250" w:name="_Toc10619"/>
      <w:bookmarkStart w:id="251" w:name="_Toc13136"/>
      <w:bookmarkStart w:id="252" w:name="_Toc23426"/>
      <w:bookmarkStart w:id="253" w:name="_Toc13735"/>
      <w:bookmarkStart w:id="254" w:name="_Toc5294"/>
      <w:bookmarkStart w:id="255" w:name="_Toc25675"/>
      <w:bookmarkStart w:id="256" w:name="_Toc5766"/>
      <w:bookmarkStart w:id="257" w:name="_Toc15176"/>
      <w:bookmarkStart w:id="258" w:name="_Toc28253"/>
      <w:bookmarkStart w:id="259" w:name="_Toc5133"/>
      <w:bookmarkStart w:id="260" w:name="_Toc21784"/>
      <w:bookmarkStart w:id="261" w:name="_Toc31641"/>
      <w:bookmarkStart w:id="262" w:name="_Toc17489"/>
      <w:bookmarkStart w:id="263" w:name="_Toc3531"/>
      <w:bookmarkStart w:id="264" w:name="_Toc548"/>
      <w:bookmarkStart w:id="265" w:name="_Toc3471"/>
      <w:bookmarkStart w:id="266" w:name="_Toc25016"/>
      <w:bookmarkStart w:id="267" w:name="_Toc13154"/>
      <w:bookmarkStart w:id="268" w:name="_Toc31176"/>
      <w:bookmarkStart w:id="269" w:name="_Toc2937"/>
      <w:bookmarkStart w:id="270" w:name="_Toc13050"/>
      <w:bookmarkStart w:id="271" w:name="_Toc2009"/>
      <w:bookmarkStart w:id="272" w:name="_Toc26972"/>
      <w:bookmarkStart w:id="273" w:name="_Toc14323"/>
      <w:r>
        <w:rPr>
          <w:rFonts w:hint="eastAsia" w:ascii="仿宋" w:hAnsi="仿宋" w:eastAsia="仿宋" w:cs="仿宋"/>
          <w:color w:val="auto"/>
          <w:sz w:val="28"/>
          <w:szCs w:val="28"/>
          <w:highlight w:val="none"/>
          <w:lang w:val="en-US" w:eastAsia="zh-CN"/>
        </w:rPr>
        <w:t>附件三《承诺书（工人个人版）》格式；</w:t>
      </w:r>
    </w:p>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14:paraId="5A568EE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74" w:name="_Toc10970"/>
      <w:bookmarkStart w:id="275" w:name="_Toc7760"/>
      <w:bookmarkStart w:id="276" w:name="_Toc9049"/>
      <w:bookmarkStart w:id="277" w:name="_Toc20383"/>
      <w:bookmarkStart w:id="278" w:name="_Toc9244"/>
      <w:bookmarkStart w:id="279" w:name="_Toc23253"/>
      <w:bookmarkStart w:id="280" w:name="_Toc5427"/>
      <w:r>
        <w:rPr>
          <w:rFonts w:hint="eastAsia" w:ascii="仿宋" w:hAnsi="仿宋" w:eastAsia="仿宋" w:cs="仿宋"/>
          <w:color w:val="auto"/>
          <w:sz w:val="28"/>
          <w:szCs w:val="28"/>
          <w:highlight w:val="none"/>
          <w:lang w:val="en-US" w:eastAsia="zh-CN"/>
        </w:rPr>
        <w:t>附件</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Pr>
          <w:rFonts w:hint="eastAsia" w:ascii="仿宋" w:hAnsi="仿宋" w:eastAsia="仿宋" w:cs="仿宋"/>
          <w:color w:val="auto"/>
          <w:sz w:val="28"/>
          <w:szCs w:val="28"/>
          <w:highlight w:val="none"/>
          <w:lang w:val="en-US" w:eastAsia="zh-CN"/>
        </w:rPr>
        <w:t>四《</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454264F6">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81" w:name="_Toc17065"/>
      <w:bookmarkStart w:id="282" w:name="_Toc32071"/>
      <w:bookmarkStart w:id="283" w:name="_Toc1657"/>
      <w:bookmarkStart w:id="284" w:name="_Toc22968"/>
      <w:bookmarkStart w:id="285" w:name="_Toc10157"/>
      <w:bookmarkStart w:id="286" w:name="_Toc21960"/>
      <w:bookmarkStart w:id="287" w:name="_Toc13150"/>
      <w:bookmarkStart w:id="288" w:name="_Toc3169"/>
      <w:bookmarkStart w:id="289" w:name="_Toc26054"/>
      <w:bookmarkStart w:id="290" w:name="_Toc8338"/>
      <w:bookmarkStart w:id="291" w:name="_Toc1285"/>
      <w:bookmarkStart w:id="292" w:name="_Toc31387"/>
      <w:bookmarkStart w:id="293" w:name="_Toc14489"/>
      <w:bookmarkStart w:id="294" w:name="_Toc11060"/>
      <w:bookmarkStart w:id="295" w:name="_Toc5956"/>
      <w:bookmarkStart w:id="296" w:name="_Toc15145"/>
      <w:bookmarkStart w:id="297" w:name="_Toc13957"/>
      <w:bookmarkStart w:id="298" w:name="_Toc840"/>
      <w:bookmarkStart w:id="299" w:name="_Toc21782"/>
      <w:bookmarkStart w:id="300" w:name="_Toc19643"/>
      <w:bookmarkStart w:id="301" w:name="_Toc18653"/>
      <w:bookmarkStart w:id="302" w:name="_Toc16599"/>
      <w:bookmarkStart w:id="303" w:name="_Toc9953"/>
      <w:bookmarkStart w:id="304" w:name="_Toc11307"/>
      <w:bookmarkStart w:id="305" w:name="_Toc11701"/>
      <w:bookmarkStart w:id="306" w:name="_Toc5997"/>
      <w:bookmarkStart w:id="307" w:name="_Toc31550"/>
      <w:r>
        <w:rPr>
          <w:rFonts w:hint="eastAsia" w:ascii="仿宋" w:hAnsi="仿宋" w:eastAsia="仿宋" w:cs="仿宋"/>
          <w:color w:val="auto"/>
          <w:sz w:val="28"/>
          <w:szCs w:val="28"/>
          <w:highlight w:val="none"/>
          <w:lang w:val="en-US" w:eastAsia="zh-CN"/>
        </w:rPr>
        <w:t>附件五</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Pr>
          <w:rFonts w:hint="eastAsia" w:ascii="仿宋" w:hAnsi="仿宋" w:eastAsia="仿宋" w:cs="仿宋"/>
          <w:b w:val="0"/>
          <w:bCs w:val="0"/>
          <w:i w:val="0"/>
          <w:iCs w:val="0"/>
          <w:color w:val="auto"/>
          <w:sz w:val="28"/>
          <w:szCs w:val="28"/>
          <w:highlight w:val="none"/>
          <w:shd w:val="clear" w:color="auto" w:fill="auto"/>
          <w:lang w:val="en-US" w:eastAsia="zh-CN"/>
        </w:rPr>
        <w:t>《工程结算资料目录》格式</w:t>
      </w:r>
      <w:r>
        <w:rPr>
          <w:rFonts w:hint="eastAsia" w:ascii="仿宋" w:hAnsi="仿宋" w:eastAsia="仿宋" w:cs="仿宋"/>
          <w:color w:val="auto"/>
          <w:sz w:val="28"/>
          <w:szCs w:val="28"/>
          <w:highlight w:val="none"/>
          <w:lang w:val="en-US" w:eastAsia="zh-CN"/>
        </w:rPr>
        <w:t>；</w:t>
      </w:r>
    </w:p>
    <w:p w14:paraId="2C6999D9">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default" w:ascii="仿宋" w:hAnsi="仿宋" w:eastAsia="仿宋" w:cs="仿宋"/>
          <w:color w:val="auto"/>
          <w:sz w:val="28"/>
          <w:szCs w:val="28"/>
          <w:highlight w:val="none"/>
          <w:lang w:val="en-US" w:eastAsia="zh-CN"/>
        </w:rPr>
      </w:pPr>
      <w:bookmarkStart w:id="308" w:name="_Toc2802"/>
      <w:bookmarkStart w:id="309" w:name="_Toc21390"/>
      <w:bookmarkStart w:id="310" w:name="_Toc6564"/>
      <w:r>
        <w:rPr>
          <w:rFonts w:hint="eastAsia" w:ascii="仿宋" w:hAnsi="仿宋" w:eastAsia="仿宋" w:cs="仿宋"/>
          <w:color w:val="auto"/>
          <w:sz w:val="28"/>
          <w:szCs w:val="28"/>
          <w:highlight w:val="none"/>
          <w:lang w:val="en-US" w:eastAsia="zh-CN"/>
        </w:rPr>
        <w:t>附件</w:t>
      </w:r>
      <w:bookmarkEnd w:id="308"/>
      <w:bookmarkEnd w:id="309"/>
      <w:bookmarkEnd w:id="310"/>
      <w:r>
        <w:rPr>
          <w:rFonts w:hint="eastAsia" w:ascii="仿宋" w:hAnsi="仿宋" w:eastAsia="仿宋" w:cs="仿宋"/>
          <w:color w:val="auto"/>
          <w:sz w:val="28"/>
          <w:szCs w:val="28"/>
          <w:highlight w:val="none"/>
          <w:lang w:val="en-US" w:eastAsia="zh-CN"/>
        </w:rPr>
        <w:t>六《出险声明函》格式；</w:t>
      </w:r>
    </w:p>
    <w:p w14:paraId="06F62E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1" w:name="_Toc25409"/>
      <w:bookmarkStart w:id="312" w:name="_Toc27839"/>
      <w:bookmarkStart w:id="313" w:name="_Toc31744"/>
      <w:bookmarkStart w:id="314" w:name="_Toc12934"/>
      <w:r>
        <w:rPr>
          <w:rFonts w:hint="eastAsia" w:ascii="仿宋" w:hAnsi="仿宋" w:eastAsia="仿宋" w:cs="仿宋"/>
          <w:color w:val="auto"/>
          <w:sz w:val="28"/>
          <w:szCs w:val="28"/>
          <w:highlight w:val="none"/>
          <w:lang w:val="en-US" w:eastAsia="zh-CN"/>
        </w:rPr>
        <w:t>附件七《分包单位开工令》格式；</w:t>
      </w:r>
      <w:bookmarkEnd w:id="311"/>
      <w:bookmarkEnd w:id="312"/>
      <w:bookmarkEnd w:id="313"/>
      <w:bookmarkEnd w:id="314"/>
    </w:p>
    <w:p w14:paraId="2A2CC0F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5" w:name="_Toc12926"/>
      <w:bookmarkStart w:id="316" w:name="_Toc15935"/>
      <w:bookmarkStart w:id="317" w:name="_Toc6646"/>
      <w:bookmarkStart w:id="318" w:name="_Toc21331"/>
      <w:r>
        <w:rPr>
          <w:rFonts w:hint="eastAsia" w:ascii="仿宋" w:hAnsi="仿宋" w:eastAsia="仿宋" w:cs="仿宋"/>
          <w:color w:val="auto"/>
          <w:sz w:val="28"/>
          <w:szCs w:val="28"/>
          <w:highlight w:val="none"/>
          <w:lang w:val="en-US" w:eastAsia="zh-CN"/>
        </w:rPr>
        <w:t>附件八《分包签证确认单》格式；</w:t>
      </w:r>
      <w:bookmarkEnd w:id="315"/>
      <w:bookmarkEnd w:id="316"/>
      <w:bookmarkEnd w:id="317"/>
      <w:bookmarkEnd w:id="318"/>
    </w:p>
    <w:p w14:paraId="6145972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9" w:name="_Toc7400"/>
      <w:bookmarkStart w:id="320" w:name="_Toc2554"/>
      <w:bookmarkStart w:id="321" w:name="_Toc31733"/>
      <w:bookmarkStart w:id="322" w:name="_Toc26355"/>
      <w:r>
        <w:rPr>
          <w:rFonts w:hint="eastAsia" w:ascii="仿宋" w:hAnsi="仿宋" w:eastAsia="仿宋" w:cs="仿宋"/>
          <w:color w:val="auto"/>
          <w:sz w:val="28"/>
          <w:szCs w:val="28"/>
          <w:highlight w:val="none"/>
          <w:lang w:val="en-US" w:eastAsia="zh-CN"/>
        </w:rPr>
        <w:t>附件九《分项工程/认质认价申报审批表》格式；</w:t>
      </w:r>
      <w:bookmarkEnd w:id="319"/>
      <w:bookmarkEnd w:id="320"/>
      <w:bookmarkEnd w:id="321"/>
      <w:bookmarkEnd w:id="322"/>
    </w:p>
    <w:p w14:paraId="5D9F9ED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3" w:name="_Toc17429"/>
      <w:bookmarkStart w:id="324" w:name="_Toc27117"/>
      <w:bookmarkStart w:id="325" w:name="_Toc9065"/>
      <w:bookmarkStart w:id="326" w:name="_Toc11520"/>
      <w:r>
        <w:rPr>
          <w:rFonts w:hint="eastAsia" w:ascii="仿宋" w:hAnsi="仿宋" w:eastAsia="仿宋" w:cs="仿宋"/>
          <w:color w:val="auto"/>
          <w:sz w:val="28"/>
          <w:szCs w:val="28"/>
          <w:highlight w:val="none"/>
          <w:lang w:val="en-US" w:eastAsia="zh-CN"/>
        </w:rPr>
        <w:t>附件十《签证单分包说明》格式；</w:t>
      </w:r>
      <w:bookmarkEnd w:id="323"/>
      <w:bookmarkEnd w:id="324"/>
      <w:bookmarkEnd w:id="325"/>
      <w:bookmarkEnd w:id="326"/>
    </w:p>
    <w:p w14:paraId="1ED257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7" w:name="_Toc18401"/>
      <w:bookmarkStart w:id="328" w:name="_Toc374"/>
      <w:bookmarkStart w:id="329" w:name="_Toc25485"/>
      <w:bookmarkStart w:id="330" w:name="_Toc1953"/>
      <w:r>
        <w:rPr>
          <w:rFonts w:hint="eastAsia" w:ascii="仿宋" w:hAnsi="仿宋" w:eastAsia="仿宋" w:cs="仿宋"/>
          <w:color w:val="auto"/>
          <w:sz w:val="28"/>
          <w:szCs w:val="28"/>
          <w:highlight w:val="none"/>
          <w:lang w:val="en-US" w:eastAsia="zh-CN"/>
        </w:rPr>
        <w:t>附件十一《工程量现场草签记录表》格式；</w:t>
      </w:r>
      <w:bookmarkEnd w:id="327"/>
      <w:bookmarkEnd w:id="328"/>
      <w:bookmarkEnd w:id="329"/>
      <w:bookmarkEnd w:id="330"/>
    </w:p>
    <w:p w14:paraId="79A3618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1" w:name="_Toc2625"/>
      <w:bookmarkStart w:id="332" w:name="_Toc5105"/>
      <w:bookmarkStart w:id="333" w:name="_Toc23057"/>
      <w:bookmarkStart w:id="334" w:name="_Toc27328"/>
      <w:r>
        <w:rPr>
          <w:rFonts w:hint="eastAsia" w:ascii="仿宋" w:hAnsi="仿宋" w:eastAsia="仿宋" w:cs="仿宋"/>
          <w:color w:val="auto"/>
          <w:sz w:val="28"/>
          <w:szCs w:val="28"/>
          <w:highlight w:val="none"/>
          <w:lang w:val="en-US" w:eastAsia="zh-CN"/>
        </w:rPr>
        <w:t>附件十二《工程结算支付证明单》格式；</w:t>
      </w:r>
      <w:bookmarkEnd w:id="331"/>
      <w:bookmarkEnd w:id="332"/>
      <w:bookmarkEnd w:id="333"/>
      <w:bookmarkEnd w:id="334"/>
    </w:p>
    <w:p w14:paraId="49E000E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5" w:name="_Toc21764"/>
      <w:bookmarkStart w:id="336" w:name="_Toc17584"/>
      <w:bookmarkStart w:id="337" w:name="_Toc16843"/>
      <w:bookmarkStart w:id="338" w:name="_Toc7962"/>
      <w:bookmarkStart w:id="339" w:name="_Toc9592"/>
      <w:bookmarkStart w:id="340" w:name="_Toc26235"/>
      <w:bookmarkStart w:id="341" w:name="_Toc30596"/>
      <w:r>
        <w:rPr>
          <w:rFonts w:hint="eastAsia" w:ascii="仿宋" w:hAnsi="仿宋" w:eastAsia="仿宋" w:cs="仿宋"/>
          <w:color w:val="auto"/>
          <w:sz w:val="28"/>
          <w:szCs w:val="28"/>
          <w:highlight w:val="none"/>
          <w:lang w:val="en-US" w:eastAsia="zh-CN"/>
        </w:rPr>
        <w:t>附件十三《工完场清交接单》</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Pr>
          <w:rFonts w:hint="eastAsia" w:ascii="仿宋" w:hAnsi="仿宋" w:eastAsia="仿宋" w:cs="仿宋"/>
          <w:color w:val="auto"/>
          <w:sz w:val="28"/>
          <w:szCs w:val="28"/>
          <w:highlight w:val="none"/>
          <w:lang w:val="en-US" w:eastAsia="zh-CN"/>
        </w:rPr>
        <w:t>格式；</w:t>
      </w:r>
      <w:bookmarkEnd w:id="335"/>
      <w:bookmarkEnd w:id="336"/>
      <w:bookmarkEnd w:id="337"/>
      <w:bookmarkEnd w:id="338"/>
      <w:bookmarkEnd w:id="339"/>
      <w:bookmarkEnd w:id="340"/>
      <w:bookmarkEnd w:id="341"/>
    </w:p>
    <w:p w14:paraId="29227A2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42" w:name="_Toc12430"/>
      <w:bookmarkStart w:id="343" w:name="_Toc4009"/>
      <w:bookmarkStart w:id="344" w:name="_Toc8006"/>
      <w:r>
        <w:rPr>
          <w:rFonts w:hint="eastAsia" w:ascii="仿宋" w:hAnsi="仿宋" w:eastAsia="仿宋" w:cs="仿宋"/>
          <w:b w:val="0"/>
          <w:bCs w:val="0"/>
          <w:i w:val="0"/>
          <w:iCs w:val="0"/>
          <w:color w:val="auto"/>
          <w:sz w:val="28"/>
          <w:szCs w:val="28"/>
          <w:highlight w:val="none"/>
          <w:shd w:val="clear" w:color="auto" w:fill="auto"/>
          <w:lang w:val="en-US" w:eastAsia="zh-CN"/>
        </w:rPr>
        <w:t>附件十四</w:t>
      </w:r>
      <w:r>
        <w:rPr>
          <w:rFonts w:hint="eastAsia" w:ascii="仿宋" w:hAnsi="仿宋" w:eastAsia="仿宋" w:cs="仿宋"/>
          <w:color w:val="auto"/>
          <w:sz w:val="28"/>
          <w:szCs w:val="28"/>
          <w:highlight w:val="none"/>
          <w:lang w:val="en-US" w:eastAsia="zh-CN"/>
        </w:rPr>
        <w:t>《报价清单》（另页）</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342"/>
      <w:bookmarkEnd w:id="343"/>
      <w:bookmarkEnd w:id="344"/>
    </w:p>
    <w:p w14:paraId="0C1845E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345" w:name="_Toc19119"/>
      <w:bookmarkStart w:id="346" w:name="_Toc10114"/>
      <w:bookmarkStart w:id="347" w:name="_Toc25734"/>
      <w:bookmarkStart w:id="348" w:name="_Toc18640"/>
      <w:bookmarkStart w:id="349" w:name="_Toc30237"/>
      <w:bookmarkStart w:id="350" w:name="_Toc21406"/>
      <w:bookmarkStart w:id="351" w:name="_Toc26020"/>
      <w:bookmarkStart w:id="352" w:name="_Toc7399"/>
      <w:bookmarkStart w:id="353" w:name="_Toc341"/>
      <w:bookmarkStart w:id="354" w:name="_Toc4335"/>
      <w:bookmarkStart w:id="355" w:name="_Toc31800"/>
      <w:bookmarkStart w:id="356" w:name="_Toc25618"/>
      <w:bookmarkStart w:id="357" w:name="_Toc21541"/>
      <w:bookmarkStart w:id="358" w:name="_Toc19704"/>
      <w:bookmarkStart w:id="359" w:name="_Toc31008"/>
      <w:bookmarkStart w:id="360" w:name="_Toc31415"/>
      <w:bookmarkStart w:id="361" w:name="_Toc26903"/>
      <w:bookmarkStart w:id="362" w:name="_Toc22636"/>
      <w:bookmarkStart w:id="363" w:name="_Toc14821"/>
      <w:bookmarkStart w:id="364" w:name="_Toc12607"/>
      <w:r>
        <w:rPr>
          <w:rFonts w:hint="eastAsia" w:ascii="仿宋" w:hAnsi="仿宋" w:eastAsia="仿宋" w:cs="仿宋"/>
          <w:b w:val="0"/>
          <w:bCs w:val="0"/>
          <w:i w:val="0"/>
          <w:iCs w:val="0"/>
          <w:color w:val="auto"/>
          <w:sz w:val="28"/>
          <w:szCs w:val="28"/>
          <w:highlight w:val="none"/>
          <w:shd w:val="clear" w:color="auto" w:fill="auto"/>
          <w:lang w:val="en-US" w:eastAsia="zh-CN"/>
        </w:rPr>
        <w:t>附件十五</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Start w:id="365" w:name="_Toc13697"/>
      <w:bookmarkStart w:id="366" w:name="_Toc30511"/>
      <w:bookmarkStart w:id="367" w:name="_Toc28191"/>
      <w:bookmarkStart w:id="368" w:name="_Toc24050"/>
      <w:bookmarkStart w:id="369" w:name="_Toc22031"/>
      <w:bookmarkStart w:id="370" w:name="_Toc10938"/>
      <w:r>
        <w:rPr>
          <w:rFonts w:hint="eastAsia" w:ascii="仿宋" w:hAnsi="仿宋" w:eastAsia="仿宋" w:cs="仿宋"/>
          <w:b w:val="0"/>
          <w:bCs w:val="0"/>
          <w:color w:val="auto"/>
          <w:sz w:val="28"/>
          <w:szCs w:val="28"/>
          <w:highlight w:val="none"/>
          <w:lang w:val="en-US" w:eastAsia="zh-CN"/>
        </w:rPr>
        <w:t>《乙方资质文件》</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BC21B2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附件十六《图纸目录清单》</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2EFE24B">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附件十七《交楼标准》</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7B99D02">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附件十八《主要材料品牌表》</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bookmarkEnd w:id="365"/>
    <w:bookmarkEnd w:id="366"/>
    <w:bookmarkEnd w:id="367"/>
    <w:bookmarkEnd w:id="368"/>
    <w:bookmarkEnd w:id="369"/>
    <w:bookmarkEnd w:id="370"/>
    <w:p w14:paraId="37E6649F">
      <w:pPr>
        <w:pStyle w:val="14"/>
        <w:rPr>
          <w:rFonts w:hint="eastAsia"/>
          <w:color w:val="auto"/>
          <w:highlight w:val="none"/>
          <w:lang w:val="en-US" w:eastAsia="zh-CN"/>
        </w:rPr>
      </w:pPr>
      <w:bookmarkStart w:id="371" w:name="_Toc9682"/>
    </w:p>
    <w:p w14:paraId="5D54AC49">
      <w:pPr>
        <w:pStyle w:val="14"/>
        <w:rPr>
          <w:rFonts w:hint="eastAsia"/>
          <w:color w:val="auto"/>
          <w:highlight w:val="none"/>
          <w:lang w:val="en-US" w:eastAsia="zh-CN"/>
        </w:rPr>
      </w:pPr>
    </w:p>
    <w:p w14:paraId="155B0AA9">
      <w:pPr>
        <w:pStyle w:val="14"/>
        <w:rPr>
          <w:rFonts w:hint="eastAsia"/>
          <w:color w:val="auto"/>
          <w:highlight w:val="none"/>
          <w:lang w:val="en-US" w:eastAsia="zh-CN"/>
        </w:rPr>
      </w:pPr>
    </w:p>
    <w:p w14:paraId="104CF151">
      <w:pPr>
        <w:pStyle w:val="14"/>
        <w:rPr>
          <w:rFonts w:hint="eastAsia"/>
          <w:color w:val="auto"/>
          <w:highlight w:val="none"/>
          <w:lang w:val="en-US" w:eastAsia="zh-CN"/>
        </w:rPr>
      </w:pPr>
    </w:p>
    <w:p w14:paraId="67E50347">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72" w:name="_Toc18251"/>
      <w:bookmarkStart w:id="373" w:name="_Toc8516"/>
      <w:bookmarkStart w:id="374" w:name="_Toc13372"/>
      <w:r>
        <w:rPr>
          <w:rFonts w:hint="eastAsia" w:ascii="仿宋" w:hAnsi="仿宋" w:eastAsia="仿宋" w:cs="仿宋"/>
          <w:b/>
          <w:bCs w:val="0"/>
          <w:color w:val="auto"/>
          <w:sz w:val="40"/>
          <w:szCs w:val="40"/>
          <w:highlight w:val="none"/>
          <w:shd w:val="clear" w:color="auto" w:fill="auto"/>
          <w:lang w:val="en-US" w:eastAsia="zh-CN"/>
        </w:rPr>
        <w:t>附件一</w:t>
      </w:r>
    </w:p>
    <w:p w14:paraId="1BE59C4C">
      <w:pPr>
        <w:shd w:val="clear"/>
        <w:jc w:val="center"/>
        <w:rPr>
          <w:rFonts w:hint="eastAsia" w:ascii="宋体" w:hAnsi="宋体" w:cs="宋体"/>
          <w:b/>
          <w:bCs/>
          <w:color w:val="auto"/>
          <w:sz w:val="44"/>
          <w:szCs w:val="44"/>
          <w:highlight w:val="none"/>
          <w:lang w:val="en-US" w:eastAsia="zh-CN"/>
        </w:rPr>
      </w:pPr>
    </w:p>
    <w:p w14:paraId="7FF0E77A">
      <w:pPr>
        <w:shd w:val="clear"/>
        <w:jc w:val="center"/>
        <w:rPr>
          <w:rFonts w:hint="eastAsia" w:ascii="宋体" w:hAnsi="宋体" w:cs="宋体"/>
          <w:b/>
          <w:bCs/>
          <w:color w:val="auto"/>
          <w:sz w:val="44"/>
          <w:szCs w:val="44"/>
          <w:highlight w:val="none"/>
          <w:lang w:val="en-US" w:eastAsia="zh-CN"/>
        </w:rPr>
      </w:pPr>
    </w:p>
    <w:p w14:paraId="781DDF20">
      <w:pPr>
        <w:shd w:val="clea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65B6ECBA">
      <w:pPr>
        <w:pStyle w:val="14"/>
        <w:rPr>
          <w:rFonts w:hint="eastAsia" w:ascii="宋体" w:hAnsi="宋体" w:cs="宋体"/>
          <w:b/>
          <w:bCs/>
          <w:color w:val="auto"/>
          <w:sz w:val="44"/>
          <w:szCs w:val="44"/>
          <w:highlight w:val="none"/>
          <w:lang w:val="en-US" w:eastAsia="zh-CN"/>
        </w:rPr>
      </w:pPr>
    </w:p>
    <w:p w14:paraId="25B17A04">
      <w:pPr>
        <w:pStyle w:val="14"/>
        <w:rPr>
          <w:rFonts w:hint="eastAsia" w:ascii="宋体" w:hAnsi="宋体" w:cs="宋体"/>
          <w:b/>
          <w:bCs/>
          <w:color w:val="auto"/>
          <w:sz w:val="44"/>
          <w:szCs w:val="44"/>
          <w:highlight w:val="none"/>
          <w:lang w:val="en-US" w:eastAsia="zh-CN"/>
        </w:rPr>
      </w:pPr>
    </w:p>
    <w:p w14:paraId="71DBBDFC">
      <w:pPr>
        <w:pStyle w:val="14"/>
        <w:wordWrap/>
        <w:rPr>
          <w:rFonts w:hint="eastAsia"/>
          <w:color w:val="auto"/>
          <w:highlight w:val="none"/>
          <w:lang w:val="en-US" w:eastAsia="zh-CN"/>
        </w:rPr>
      </w:pPr>
    </w:p>
    <w:p w14:paraId="6C953980">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9078CA3">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color w:val="auto"/>
          <w:sz w:val="40"/>
          <w:szCs w:val="36"/>
          <w:highlight w:val="none"/>
          <w:lang w:val="en-US" w:eastAsia="zh-CN"/>
        </w:rPr>
        <w:drawing>
          <wp:inline distT="0" distB="0" distL="114300" distR="114300">
            <wp:extent cx="3829050" cy="2901950"/>
            <wp:effectExtent l="0" t="0" r="0" b="12700"/>
            <wp:docPr id="9" name="图片 9" descr="174503481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45034812317"/>
                    <pic:cNvPicPr>
                      <a:picLocks noChangeAspect="1"/>
                    </pic:cNvPicPr>
                  </pic:nvPicPr>
                  <pic:blipFill>
                    <a:blip r:embed="rId9"/>
                    <a:stretch>
                      <a:fillRect/>
                    </a:stretch>
                  </pic:blipFill>
                  <pic:spPr>
                    <a:xfrm>
                      <a:off x="0" y="0"/>
                      <a:ext cx="3829050" cy="2901950"/>
                    </a:xfrm>
                    <a:prstGeom prst="rect">
                      <a:avLst/>
                    </a:prstGeom>
                  </pic:spPr>
                </pic:pic>
              </a:graphicData>
            </a:graphic>
          </wp:inline>
        </w:drawing>
      </w:r>
    </w:p>
    <w:p w14:paraId="13B5555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57319">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9F75A9A">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C60E6A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16AC23E3">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7B5774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06029CDF">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801DC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EDBD2A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CC5477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附件二</w:t>
      </w:r>
    </w:p>
    <w:p w14:paraId="3D3F0325">
      <w:pPr>
        <w:spacing w:before="241" w:line="360" w:lineRule="auto"/>
        <w:ind w:left="0"/>
        <w:jc w:val="center"/>
        <w:rPr>
          <w:rFonts w:hint="eastAsia" w:ascii="仿宋" w:hAnsi="仿宋" w:eastAsia="仿宋" w:cs="仿宋"/>
          <w:b/>
          <w:bCs/>
          <w:color w:val="auto"/>
          <w:spacing w:val="-4"/>
          <w:position w:val="21"/>
          <w:sz w:val="8"/>
          <w:szCs w:val="8"/>
          <w:highlight w:val="none"/>
        </w:rPr>
      </w:pPr>
      <w:bookmarkStart w:id="375" w:name="_Toc98"/>
      <w:bookmarkStart w:id="376" w:name="_Toc23674"/>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4D9530A7">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致：</w:t>
      </w:r>
      <w:r>
        <w:rPr>
          <w:rFonts w:hint="eastAsia" w:ascii="仿宋" w:hAnsi="仿宋" w:eastAsia="仿宋" w:cs="仿宋"/>
          <w:b/>
          <w:bCs/>
          <w:color w:val="auto"/>
          <w:sz w:val="22"/>
          <w:szCs w:val="22"/>
          <w:highlight w:val="none"/>
          <w:lang w:val="en-US" w:eastAsia="zh-CN"/>
        </w:rPr>
        <w:t>**********</w:t>
      </w:r>
      <w:r>
        <w:rPr>
          <w:rFonts w:hint="eastAsia" w:ascii="仿宋" w:hAnsi="仿宋" w:eastAsia="仿宋" w:cs="仿宋"/>
          <w:b/>
          <w:bCs/>
          <w:color w:val="auto"/>
          <w:sz w:val="22"/>
          <w:szCs w:val="22"/>
          <w:highlight w:val="none"/>
        </w:rPr>
        <w:t>有限公司</w:t>
      </w:r>
    </w:p>
    <w:p w14:paraId="01F0AB2B">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51C54A4">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8"/>
          <w:sz w:val="22"/>
          <w:szCs w:val="22"/>
          <w:highlight w:val="none"/>
          <w:lang w:val="en-US" w:eastAsia="zh-CN"/>
        </w:rPr>
        <w:t>目前该工程在</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 xml:space="preserve">施工过程中  </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结算过程中</w:t>
      </w:r>
      <w:r>
        <w:rPr>
          <w:rFonts w:hint="eastAsia" w:ascii="仿宋" w:hAnsi="仿宋" w:eastAsia="仿宋" w:cs="仿宋"/>
          <w:color w:val="auto"/>
          <w:spacing w:val="8"/>
          <w:sz w:val="22"/>
          <w:szCs w:val="22"/>
          <w:highlight w:val="none"/>
          <w:lang w:val="en-US" w:eastAsia="zh-CN"/>
        </w:rPr>
        <w:t>。现我司申请贵司向我司支付**月份工程款共计</w:t>
      </w:r>
      <w:r>
        <w:rPr>
          <w:rFonts w:hint="eastAsia" w:ascii="仿宋" w:hAnsi="仿宋" w:eastAsia="仿宋" w:cs="仿宋"/>
          <w:color w:val="auto"/>
          <w:spacing w:val="8"/>
          <w:sz w:val="22"/>
          <w:szCs w:val="22"/>
          <w:highlight w:val="none"/>
          <w:u w:val="single"/>
          <w:lang w:val="en-US" w:eastAsia="zh-CN"/>
        </w:rPr>
        <w:t>**** 元</w:t>
      </w:r>
      <w:r>
        <w:rPr>
          <w:rFonts w:hint="eastAsia" w:ascii="仿宋" w:hAnsi="仿宋" w:eastAsia="仿宋" w:cs="仿宋"/>
          <w:color w:val="auto"/>
          <w:spacing w:val="8"/>
          <w:sz w:val="22"/>
          <w:szCs w:val="22"/>
          <w:highlight w:val="none"/>
          <w:lang w:val="en-US" w:eastAsia="zh-CN"/>
        </w:rPr>
        <w:t>，大写：</w:t>
      </w:r>
      <w:r>
        <w:rPr>
          <w:rFonts w:hint="eastAsia" w:ascii="仿宋" w:hAnsi="仿宋" w:eastAsia="仿宋" w:cs="仿宋"/>
          <w:color w:val="auto"/>
          <w:spacing w:val="8"/>
          <w:sz w:val="22"/>
          <w:szCs w:val="22"/>
          <w:highlight w:val="none"/>
          <w:u w:val="single"/>
          <w:lang w:val="en-US" w:eastAsia="zh-CN"/>
        </w:rPr>
        <w:t xml:space="preserve"> **** 元，其中</w:t>
      </w:r>
      <w:r>
        <w:rPr>
          <w:rFonts w:hint="eastAsia" w:ascii="仿宋" w:hAnsi="仿宋" w:eastAsia="仿宋" w:cs="仿宋"/>
          <w:color w:val="auto"/>
          <w:spacing w:val="8"/>
          <w:sz w:val="22"/>
          <w:szCs w:val="22"/>
          <w:highlight w:val="none"/>
          <w:lang w:val="en-US" w:eastAsia="zh-CN"/>
        </w:rPr>
        <w:t xml:space="preserve"> </w:t>
      </w:r>
      <w:r>
        <w:rPr>
          <w:rFonts w:hint="eastAsia" w:ascii="仿宋" w:hAnsi="仿宋" w:eastAsia="仿宋" w:cs="仿宋"/>
          <w:color w:val="auto"/>
          <w:spacing w:val="8"/>
          <w:sz w:val="22"/>
          <w:szCs w:val="22"/>
          <w:highlight w:val="none"/>
          <w:u w:val="single"/>
          <w:lang w:val="en-US" w:eastAsia="zh-CN"/>
        </w:rPr>
        <w:t>***元为</w:t>
      </w:r>
      <w:r>
        <w:rPr>
          <w:rFonts w:hint="eastAsia" w:ascii="仿宋" w:hAnsi="仿宋" w:eastAsia="仿宋" w:cs="仿宋"/>
          <w:color w:val="auto"/>
          <w:spacing w:val="8"/>
          <w:sz w:val="22"/>
          <w:szCs w:val="22"/>
          <w:highlight w:val="none"/>
          <w:lang w:val="en-US" w:eastAsia="zh-CN"/>
        </w:rPr>
        <w:t>施工合同涉及的所有施工工人工资，由</w:t>
      </w:r>
      <w:r>
        <w:rPr>
          <w:rFonts w:hint="eastAsia" w:ascii="仿宋" w:hAnsi="仿宋" w:eastAsia="仿宋" w:cs="仿宋"/>
          <w:color w:val="auto"/>
          <w:spacing w:val="8"/>
          <w:sz w:val="22"/>
          <w:szCs w:val="22"/>
          <w:highlight w:val="none"/>
          <w:u w:val="single"/>
          <w:lang w:val="en-US" w:eastAsia="zh-CN"/>
        </w:rPr>
        <w:t>贵司直接支付至工人银行卡账号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248B6C4F">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A48E653">
      <w:pPr>
        <w:keepNext w:val="0"/>
        <w:keepLines w:val="0"/>
        <w:pageBreakBefore w:val="0"/>
        <w:numPr>
          <w:ilvl w:val="0"/>
          <w:numId w:val="4"/>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EE5AC6F">
      <w:pPr>
        <w:keepNext w:val="0"/>
        <w:keepLines w:val="0"/>
        <w:pageBreakBefore w:val="0"/>
        <w:widowControl/>
        <w:numPr>
          <w:ilvl w:val="0"/>
          <w:numId w:val="4"/>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4AA5E70">
      <w:pPr>
        <w:keepNext w:val="0"/>
        <w:keepLines w:val="0"/>
        <w:pageBreakBefore w:val="0"/>
        <w:widowControl/>
        <w:numPr>
          <w:ilvl w:val="0"/>
          <w:numId w:val="4"/>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7DD40860">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四、特别约定：</w:t>
      </w:r>
    </w:p>
    <w:p w14:paraId="5E9AAAB2">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******公司法定代表人</w:t>
      </w:r>
      <w:r>
        <w:rPr>
          <w:rFonts w:hint="eastAsia" w:ascii="仿宋" w:hAnsi="仿宋" w:eastAsia="仿宋" w:cs="仿宋"/>
          <w:color w:val="auto"/>
          <w:spacing w:val="8"/>
          <w:sz w:val="22"/>
          <w:szCs w:val="22"/>
          <w:highlight w:val="none"/>
          <w:u w:val="none"/>
          <w:lang w:val="en-US" w:eastAsia="zh-CN"/>
        </w:rPr>
        <w:t xml:space="preserve"> ****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）、实际控制人</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（身</w:t>
      </w:r>
    </w:p>
    <w:p w14:paraId="5711251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right="238" w:right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B46740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特此承诺！</w:t>
      </w:r>
    </w:p>
    <w:p w14:paraId="18776CF1">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附件1：《建筑工人工资表》（样表）；</w:t>
      </w:r>
    </w:p>
    <w:p w14:paraId="2244B523">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附件2：各连带清偿人身份证正反面复印件。</w:t>
      </w:r>
    </w:p>
    <w:p w14:paraId="46619E3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204064C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0" w:firstLineChars="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5D284F8A">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4EC8A4DF">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 xml:space="preserve"> 日   期：****年**月**日</w:t>
      </w:r>
    </w:p>
    <w:p w14:paraId="4823B37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7D144F">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C5BD3D6">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070EB83">
      <w:pPr>
        <w:pStyle w:val="14"/>
        <w:rPr>
          <w:rFonts w:hint="eastAsia" w:ascii="仿宋" w:hAnsi="仿宋" w:eastAsia="仿宋" w:cs="仿宋"/>
          <w:b/>
          <w:bCs w:val="0"/>
          <w:color w:val="auto"/>
          <w:sz w:val="40"/>
          <w:szCs w:val="40"/>
          <w:highlight w:val="none"/>
          <w:shd w:val="clear" w:color="auto" w:fill="auto"/>
          <w:lang w:val="en-US" w:eastAsia="zh-CN"/>
        </w:rPr>
      </w:pPr>
    </w:p>
    <w:tbl>
      <w:tblPr>
        <w:tblStyle w:val="15"/>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7DB63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3A62E686">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18F0D222">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4EDE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7B84AB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05DC9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9FC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6806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4443D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9F85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548A9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66B4D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CCEC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C3F78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B3521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1A40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6A1DE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72861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6986D5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0DEB97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27CA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1D63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CB01D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CD4BC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DF199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8F157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F5DF23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46C82E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5DD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986D03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3FC38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F76E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1E37C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0748B2">
            <w:pPr>
              <w:jc w:val="center"/>
              <w:rPr>
                <w:rFonts w:hint="eastAsia" w:ascii="宋体" w:hAnsi="宋体" w:eastAsia="宋体" w:cs="宋体"/>
                <w:i w:val="0"/>
                <w:iCs w:val="0"/>
                <w:color w:val="auto"/>
                <w:sz w:val="20"/>
                <w:szCs w:val="20"/>
                <w:highlight w:val="none"/>
                <w:u w:val="none"/>
              </w:rPr>
            </w:pPr>
          </w:p>
        </w:tc>
      </w:tr>
      <w:tr w14:paraId="731C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8AE0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3574E4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D27FE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A7376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ED5DE8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4EFBD5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3A8E9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49176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E0FD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4B41A6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AEE9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288EB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DDCEF08">
            <w:pPr>
              <w:jc w:val="center"/>
              <w:rPr>
                <w:rFonts w:hint="eastAsia" w:ascii="宋体" w:hAnsi="宋体" w:eastAsia="宋体" w:cs="宋体"/>
                <w:i w:val="0"/>
                <w:iCs w:val="0"/>
                <w:color w:val="auto"/>
                <w:sz w:val="20"/>
                <w:szCs w:val="20"/>
                <w:highlight w:val="none"/>
                <w:u w:val="none"/>
              </w:rPr>
            </w:pPr>
          </w:p>
        </w:tc>
      </w:tr>
      <w:tr w14:paraId="581D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1B25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376B5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D3A7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D20F2B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620E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49CBD3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61800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90683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F31A9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83A773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EE483C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B6FE16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5BDF87">
            <w:pPr>
              <w:jc w:val="center"/>
              <w:rPr>
                <w:rFonts w:hint="eastAsia" w:ascii="宋体" w:hAnsi="宋体" w:eastAsia="宋体" w:cs="宋体"/>
                <w:i w:val="0"/>
                <w:iCs w:val="0"/>
                <w:color w:val="auto"/>
                <w:sz w:val="20"/>
                <w:szCs w:val="20"/>
                <w:highlight w:val="none"/>
                <w:u w:val="none"/>
              </w:rPr>
            </w:pPr>
          </w:p>
        </w:tc>
      </w:tr>
      <w:tr w14:paraId="48956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D754F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07F2B8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B60B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380FA4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CAE33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8B1BD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D67B3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C3E58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C8E6B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0406F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C1CFE6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E1071D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FD5430">
            <w:pPr>
              <w:jc w:val="center"/>
              <w:rPr>
                <w:rFonts w:hint="eastAsia" w:ascii="宋体" w:hAnsi="宋体" w:eastAsia="宋体" w:cs="宋体"/>
                <w:i w:val="0"/>
                <w:iCs w:val="0"/>
                <w:color w:val="auto"/>
                <w:sz w:val="20"/>
                <w:szCs w:val="20"/>
                <w:highlight w:val="none"/>
                <w:u w:val="none"/>
              </w:rPr>
            </w:pPr>
          </w:p>
        </w:tc>
      </w:tr>
      <w:tr w14:paraId="7825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6217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E504C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3E31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F18025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F416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FBA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B1D247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A01D1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8BA02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99DC5C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629C0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A6E26B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7CB42BA">
            <w:pPr>
              <w:jc w:val="center"/>
              <w:rPr>
                <w:rFonts w:hint="eastAsia" w:ascii="宋体" w:hAnsi="宋体" w:eastAsia="宋体" w:cs="宋体"/>
                <w:i w:val="0"/>
                <w:iCs w:val="0"/>
                <w:color w:val="auto"/>
                <w:sz w:val="20"/>
                <w:szCs w:val="20"/>
                <w:highlight w:val="none"/>
                <w:u w:val="none"/>
              </w:rPr>
            </w:pPr>
          </w:p>
        </w:tc>
      </w:tr>
      <w:tr w14:paraId="0FBD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54BA8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AB53B9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C5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1FBF0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B9DA3F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A54D90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ACB3B7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70105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F957B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2D39D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E5738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7133DC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C8BD8E">
            <w:pPr>
              <w:jc w:val="center"/>
              <w:rPr>
                <w:rFonts w:hint="eastAsia" w:ascii="宋体" w:hAnsi="宋体" w:eastAsia="宋体" w:cs="宋体"/>
                <w:i w:val="0"/>
                <w:iCs w:val="0"/>
                <w:color w:val="auto"/>
                <w:sz w:val="20"/>
                <w:szCs w:val="20"/>
                <w:highlight w:val="none"/>
                <w:u w:val="none"/>
              </w:rPr>
            </w:pPr>
          </w:p>
        </w:tc>
      </w:tr>
      <w:tr w14:paraId="0249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CCB4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2C574C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97D5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BE04E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916795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BF38D2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3543F5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7AA528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FF854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3B1B49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D0DA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943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3F0F1F1">
            <w:pPr>
              <w:jc w:val="center"/>
              <w:rPr>
                <w:rFonts w:hint="eastAsia" w:ascii="宋体" w:hAnsi="宋体" w:eastAsia="宋体" w:cs="宋体"/>
                <w:i w:val="0"/>
                <w:iCs w:val="0"/>
                <w:color w:val="auto"/>
                <w:sz w:val="20"/>
                <w:szCs w:val="20"/>
                <w:highlight w:val="none"/>
                <w:u w:val="none"/>
              </w:rPr>
            </w:pPr>
          </w:p>
        </w:tc>
      </w:tr>
      <w:tr w14:paraId="7DBE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9A41B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8CE121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C6301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8CD7A8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46F13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94D78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05417E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73E27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18474A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27E0C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796D8B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DCC5C1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1A28FE4">
            <w:pPr>
              <w:jc w:val="center"/>
              <w:rPr>
                <w:rFonts w:hint="eastAsia" w:ascii="宋体" w:hAnsi="宋体" w:eastAsia="宋体" w:cs="宋体"/>
                <w:i w:val="0"/>
                <w:iCs w:val="0"/>
                <w:color w:val="auto"/>
                <w:sz w:val="20"/>
                <w:szCs w:val="20"/>
                <w:highlight w:val="none"/>
                <w:u w:val="none"/>
              </w:rPr>
            </w:pPr>
          </w:p>
        </w:tc>
      </w:tr>
      <w:tr w14:paraId="13F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0940A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C4CAF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BD71B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1EF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16B2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9669AE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6B10FB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3DFB8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B591F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D88D4A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DCF9D5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534B4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CC5D3CA">
            <w:pPr>
              <w:jc w:val="center"/>
              <w:rPr>
                <w:rFonts w:hint="eastAsia" w:ascii="宋体" w:hAnsi="宋体" w:eastAsia="宋体" w:cs="宋体"/>
                <w:i w:val="0"/>
                <w:iCs w:val="0"/>
                <w:color w:val="auto"/>
                <w:sz w:val="20"/>
                <w:szCs w:val="20"/>
                <w:highlight w:val="none"/>
                <w:u w:val="none"/>
              </w:rPr>
            </w:pPr>
          </w:p>
        </w:tc>
      </w:tr>
      <w:tr w14:paraId="1737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CE361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2D7E90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A5375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8336EF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E5CEF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D6CEB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AC2B4D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6B1506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F30B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0A3835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0DEEEF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A0F638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4169DA">
            <w:pPr>
              <w:jc w:val="center"/>
              <w:rPr>
                <w:rFonts w:hint="eastAsia" w:ascii="宋体" w:hAnsi="宋体" w:eastAsia="宋体" w:cs="宋体"/>
                <w:i w:val="0"/>
                <w:iCs w:val="0"/>
                <w:color w:val="auto"/>
                <w:sz w:val="20"/>
                <w:szCs w:val="20"/>
                <w:highlight w:val="none"/>
                <w:u w:val="none"/>
              </w:rPr>
            </w:pPr>
          </w:p>
        </w:tc>
      </w:tr>
      <w:tr w14:paraId="364F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D2570B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BD70F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BE2029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756ACB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CDDE88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8FE34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97D1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80F35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86592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5F4F9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F0A4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D5F62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4362B55">
            <w:pPr>
              <w:jc w:val="center"/>
              <w:rPr>
                <w:rFonts w:hint="eastAsia" w:ascii="宋体" w:hAnsi="宋体" w:eastAsia="宋体" w:cs="宋体"/>
                <w:i w:val="0"/>
                <w:iCs w:val="0"/>
                <w:color w:val="auto"/>
                <w:sz w:val="20"/>
                <w:szCs w:val="20"/>
                <w:highlight w:val="none"/>
                <w:u w:val="none"/>
              </w:rPr>
            </w:pPr>
          </w:p>
        </w:tc>
      </w:tr>
      <w:tr w14:paraId="6238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48D14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C4DA5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9F8F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8EA97D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88F82C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5D6AAB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01472E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41B26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FAE2DD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F6E47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B0AD0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3D0F9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2CE9E88">
            <w:pPr>
              <w:jc w:val="center"/>
              <w:rPr>
                <w:rFonts w:hint="eastAsia" w:ascii="宋体" w:hAnsi="宋体" w:eastAsia="宋体" w:cs="宋体"/>
                <w:i w:val="0"/>
                <w:iCs w:val="0"/>
                <w:color w:val="auto"/>
                <w:sz w:val="20"/>
                <w:szCs w:val="20"/>
                <w:highlight w:val="none"/>
                <w:u w:val="none"/>
              </w:rPr>
            </w:pPr>
          </w:p>
        </w:tc>
      </w:tr>
      <w:tr w14:paraId="2631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62A8B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3D0B610">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471C5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65369F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2869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8E8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F2AA2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EE477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3C817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A90B4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89565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F1BDF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1CC2C3">
            <w:pPr>
              <w:jc w:val="center"/>
              <w:rPr>
                <w:rFonts w:hint="eastAsia" w:ascii="宋体" w:hAnsi="宋体" w:eastAsia="宋体" w:cs="宋体"/>
                <w:i w:val="0"/>
                <w:iCs w:val="0"/>
                <w:color w:val="auto"/>
                <w:sz w:val="20"/>
                <w:szCs w:val="20"/>
                <w:highlight w:val="none"/>
                <w:u w:val="none"/>
              </w:rPr>
            </w:pPr>
          </w:p>
        </w:tc>
      </w:tr>
      <w:tr w14:paraId="6044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66899F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72EC9789">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D3EE9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F4B7A8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D95707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28F324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7BB8B6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031EB4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165255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C00E3A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8F8F4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6328D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F636DD2">
            <w:pPr>
              <w:jc w:val="center"/>
              <w:rPr>
                <w:rFonts w:hint="eastAsia" w:ascii="宋体" w:hAnsi="宋体" w:eastAsia="宋体" w:cs="宋体"/>
                <w:i w:val="0"/>
                <w:iCs w:val="0"/>
                <w:color w:val="auto"/>
                <w:sz w:val="20"/>
                <w:szCs w:val="20"/>
                <w:highlight w:val="none"/>
                <w:u w:val="none"/>
              </w:rPr>
            </w:pPr>
          </w:p>
        </w:tc>
      </w:tr>
      <w:tr w14:paraId="46B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79E7AF6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5B0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452ED2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6ADCA4E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D6EEE38">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4F109DC2">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09DE630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4F4BD05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305A967D">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328D594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3AD2C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11B144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47C257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0825BF0">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3EDD2C6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E651853">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6435891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66B5D4F4">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4CFA57E5">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C1E4B7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4DDB5E3">
      <w:pPr>
        <w:pStyle w:val="14"/>
        <w:rPr>
          <w:rFonts w:hint="eastAsia" w:ascii="仿宋" w:hAnsi="仿宋" w:eastAsia="仿宋" w:cs="仿宋"/>
          <w:b/>
          <w:bCs w:val="0"/>
          <w:color w:val="auto"/>
          <w:sz w:val="40"/>
          <w:szCs w:val="40"/>
          <w:highlight w:val="none"/>
          <w:shd w:val="clear" w:color="auto" w:fill="auto"/>
          <w:lang w:val="en-US" w:eastAsia="zh-CN"/>
        </w:rPr>
      </w:pPr>
    </w:p>
    <w:p w14:paraId="5DF3969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7CBA9E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C0E1F6">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E159B23">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8A08A57">
      <w:pPr>
        <w:pStyle w:val="14"/>
        <w:rPr>
          <w:rFonts w:hint="eastAsia" w:ascii="仿宋" w:hAnsi="仿宋" w:eastAsia="仿宋" w:cs="仿宋"/>
          <w:b/>
          <w:bCs/>
          <w:color w:val="auto"/>
          <w:sz w:val="36"/>
          <w:szCs w:val="36"/>
          <w:highlight w:val="none"/>
          <w:lang w:val="en-US" w:eastAsia="zh-CN"/>
        </w:rPr>
      </w:pPr>
    </w:p>
    <w:p w14:paraId="58C9863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附件三</w:t>
      </w:r>
    </w:p>
    <w:p w14:paraId="4DBB36E9">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1F03694">
      <w:pPr>
        <w:ind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p>
    <w:p w14:paraId="29C738B0">
      <w:pPr>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东莞市中泰建安工程有限公司</w:t>
      </w:r>
    </w:p>
    <w:p w14:paraId="4A7658D4">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XXX</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,身份证号：</w:t>
      </w:r>
      <w:r>
        <w:rPr>
          <w:rFonts w:hint="eastAsia" w:ascii="仿宋" w:hAnsi="仿宋" w:eastAsia="仿宋" w:cs="仿宋"/>
          <w:color w:val="auto"/>
          <w:sz w:val="24"/>
          <w:szCs w:val="24"/>
          <w:highlight w:val="none"/>
          <w:u w:val="single"/>
          <w:lang w:val="en-US" w:eastAsia="zh-CN"/>
        </w:rPr>
        <w:t>XXXXXXXXXXXXXXXXXX</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公司的员工，</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日期间</w:t>
      </w:r>
      <w:r>
        <w:rPr>
          <w:rFonts w:hint="eastAsia" w:ascii="仿宋" w:hAnsi="仿宋" w:eastAsia="仿宋" w:cs="仿宋"/>
          <w:color w:val="auto"/>
          <w:sz w:val="24"/>
          <w:szCs w:val="24"/>
          <w:highlight w:val="none"/>
          <w:lang w:val="en-US" w:eastAsia="zh-CN"/>
        </w:rPr>
        <w:t>被</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公司安排</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总包单位为</w:t>
      </w:r>
      <w:r>
        <w:rPr>
          <w:rFonts w:hint="eastAsia" w:ascii="仿宋" w:hAnsi="仿宋" w:eastAsia="仿宋" w:cs="仿宋"/>
          <w:b w:val="0"/>
          <w:bCs w:val="0"/>
          <w:color w:val="auto"/>
          <w:sz w:val="24"/>
          <w:szCs w:val="24"/>
          <w:highlight w:val="none"/>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6BEE0713">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w:t>
      </w:r>
      <w:r>
        <w:rPr>
          <w:rFonts w:hint="eastAsia" w:ascii="仿宋" w:hAnsi="仿宋" w:eastAsia="仿宋" w:cs="仿宋"/>
          <w:color w:val="auto"/>
          <w:sz w:val="24"/>
          <w:szCs w:val="24"/>
          <w:highlight w:val="none"/>
          <w:lang w:val="en-US" w:eastAsia="zh-CN"/>
        </w:rPr>
        <w:t>本人</w:t>
      </w:r>
      <w:r>
        <w:rPr>
          <w:rFonts w:hint="eastAsia" w:ascii="仿宋" w:hAnsi="仿宋" w:eastAsia="仿宋" w:cs="仿宋"/>
          <w:color w:val="auto"/>
          <w:sz w:val="24"/>
          <w:szCs w:val="24"/>
          <w:highlight w:val="none"/>
        </w:rPr>
        <w:t>承诺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待</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r>
        <w:rPr>
          <w:rFonts w:hint="eastAsia" w:ascii="仿宋" w:hAnsi="仿宋" w:eastAsia="仿宋" w:cs="仿宋"/>
          <w:color w:val="auto"/>
          <w:sz w:val="24"/>
          <w:szCs w:val="24"/>
          <w:highlight w:val="none"/>
          <w:lang w:val="en-US" w:eastAsia="zh-CN"/>
        </w:rPr>
        <w:t>或</w:t>
      </w:r>
      <w:r>
        <w:rPr>
          <w:rFonts w:hint="eastAsia" w:ascii="仿宋" w:hAnsi="仿宋" w:eastAsia="仿宋" w:cs="仿宋"/>
          <w:b w:val="0"/>
          <w:bCs w:val="0"/>
          <w:color w:val="auto"/>
          <w:sz w:val="24"/>
          <w:szCs w:val="24"/>
          <w:highlight w:val="none"/>
          <w:lang w:val="en-US" w:eastAsia="zh-CN"/>
        </w:rPr>
        <w:t>东莞市中泰建安工程有限公司</w:t>
      </w:r>
      <w:r>
        <w:rPr>
          <w:rFonts w:hint="eastAsia" w:ascii="仿宋" w:hAnsi="仿宋" w:eastAsia="仿宋" w:cs="仿宋"/>
          <w:color w:val="auto"/>
          <w:sz w:val="24"/>
          <w:szCs w:val="24"/>
          <w:highlight w:val="none"/>
          <w:lang w:val="en-US" w:eastAsia="zh-CN"/>
        </w:rPr>
        <w:t>将本人在本项目</w:t>
      </w:r>
      <w:r>
        <w:rPr>
          <w:rFonts w:hint="eastAsia" w:ascii="仿宋" w:hAnsi="仿宋" w:eastAsia="仿宋" w:cs="仿宋"/>
          <w:color w:val="auto"/>
          <w:sz w:val="24"/>
          <w:szCs w:val="24"/>
          <w:highlight w:val="none"/>
        </w:rPr>
        <w:t>所有剩余工资</w:t>
      </w:r>
      <w:r>
        <w:rPr>
          <w:rFonts w:hint="eastAsia" w:ascii="仿宋" w:hAnsi="仿宋" w:eastAsia="仿宋" w:cs="仿宋"/>
          <w:color w:val="auto"/>
          <w:sz w:val="24"/>
          <w:szCs w:val="24"/>
          <w:highlight w:val="none"/>
          <w:lang w:val="en-US" w:eastAsia="zh-CN"/>
        </w:rPr>
        <w:t>汇</w:t>
      </w:r>
      <w:r>
        <w:rPr>
          <w:rFonts w:hint="eastAsia" w:ascii="仿宋" w:hAnsi="仿宋" w:eastAsia="仿宋" w:cs="仿宋"/>
          <w:color w:val="auto"/>
          <w:sz w:val="24"/>
          <w:szCs w:val="24"/>
          <w:highlight w:val="none"/>
        </w:rPr>
        <w:t>入</w:t>
      </w:r>
      <w:r>
        <w:rPr>
          <w:rFonts w:hint="eastAsia" w:ascii="仿宋" w:hAnsi="仿宋" w:eastAsia="仿宋" w:cs="仿宋"/>
          <w:color w:val="auto"/>
          <w:sz w:val="24"/>
          <w:szCs w:val="24"/>
          <w:highlight w:val="none"/>
          <w:lang w:val="en-US" w:eastAsia="zh-CN"/>
        </w:rPr>
        <w:t>本人指定收款账户</w:t>
      </w:r>
      <w:r>
        <w:rPr>
          <w:rFonts w:hint="eastAsia" w:ascii="仿宋" w:hAnsi="仿宋" w:eastAsia="仿宋" w:cs="仿宋"/>
          <w:color w:val="auto"/>
          <w:sz w:val="24"/>
          <w:szCs w:val="24"/>
          <w:highlight w:val="none"/>
        </w:rPr>
        <w:t>后，本人</w:t>
      </w:r>
      <w:r>
        <w:rPr>
          <w:rFonts w:hint="eastAsia" w:ascii="仿宋" w:hAnsi="仿宋" w:eastAsia="仿宋" w:cs="仿宋"/>
          <w:color w:val="auto"/>
          <w:sz w:val="24"/>
          <w:szCs w:val="24"/>
          <w:highlight w:val="none"/>
          <w:lang w:val="en-US" w:eastAsia="zh-CN"/>
        </w:rPr>
        <w:t>在本项目</w:t>
      </w:r>
      <w:r>
        <w:rPr>
          <w:rFonts w:hint="eastAsia" w:ascii="仿宋" w:hAnsi="仿宋" w:eastAsia="仿宋" w:cs="仿宋"/>
          <w:color w:val="auto"/>
          <w:sz w:val="24"/>
          <w:szCs w:val="24"/>
          <w:highlight w:val="none"/>
        </w:rPr>
        <w:t>工资</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全部结清。若后期再次</w:t>
      </w:r>
      <w:r>
        <w:rPr>
          <w:rFonts w:hint="eastAsia" w:ascii="仿宋" w:hAnsi="仿宋" w:eastAsia="仿宋" w:cs="仿宋"/>
          <w:color w:val="auto"/>
          <w:sz w:val="24"/>
          <w:szCs w:val="24"/>
          <w:highlight w:val="none"/>
          <w:lang w:val="en-US" w:eastAsia="zh-CN"/>
        </w:rPr>
        <w:t>以本项目为由</w:t>
      </w:r>
      <w:r>
        <w:rPr>
          <w:rFonts w:hint="eastAsia" w:ascii="仿宋" w:hAnsi="仿宋" w:eastAsia="仿宋" w:cs="仿宋"/>
          <w:color w:val="auto"/>
          <w:sz w:val="24"/>
          <w:szCs w:val="24"/>
          <w:highlight w:val="none"/>
        </w:rPr>
        <w:t>索要工资，均可视为恶意讨薪行为，我本人愿意为此承担一切法律责任和经济后果</w:t>
      </w:r>
      <w:r>
        <w:rPr>
          <w:rFonts w:hint="eastAsia" w:ascii="仿宋" w:hAnsi="仿宋" w:eastAsia="仿宋" w:cs="仿宋"/>
          <w:color w:val="auto"/>
          <w:sz w:val="24"/>
          <w:szCs w:val="24"/>
          <w:highlight w:val="none"/>
          <w:lang w:eastAsia="zh-CN"/>
        </w:rPr>
        <w:t>。</w:t>
      </w:r>
    </w:p>
    <w:p w14:paraId="6332CB1A">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本人指定收款账户信息如下</w:t>
      </w:r>
      <w:r>
        <w:rPr>
          <w:rFonts w:hint="eastAsia" w:ascii="仿宋" w:hAnsi="仿宋" w:eastAsia="仿宋" w:cs="仿宋"/>
          <w:color w:val="auto"/>
          <w:sz w:val="24"/>
          <w:szCs w:val="24"/>
          <w:highlight w:val="none"/>
        </w:rPr>
        <w:t>:</w:t>
      </w:r>
    </w:p>
    <w:p w14:paraId="308D5B1A">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银行名称：</w:t>
      </w:r>
      <w:r>
        <w:rPr>
          <w:rFonts w:hint="eastAsia" w:ascii="仿宋" w:hAnsi="仿宋" w:eastAsia="仿宋" w:cs="仿宋"/>
          <w:color w:val="auto"/>
          <w:sz w:val="24"/>
          <w:szCs w:val="24"/>
          <w:highlight w:val="none"/>
          <w:u w:val="none"/>
          <w:lang w:val="en-US" w:eastAsia="zh-CN"/>
        </w:rPr>
        <w:t>XX银行XX支行</w:t>
      </w:r>
    </w:p>
    <w:p w14:paraId="35505766">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账    号：XXXXXX</w:t>
      </w:r>
    </w:p>
    <w:p w14:paraId="07A5E352">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户    名：XXX</w:t>
      </w:r>
    </w:p>
    <w:p w14:paraId="021438A7">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特此承诺。</w:t>
      </w:r>
    </w:p>
    <w:p w14:paraId="0A47579A">
      <w:pPr>
        <w:ind w:firstLine="5040" w:firstLineChars="2100"/>
        <w:rPr>
          <w:rFonts w:hint="eastAsia" w:ascii="仿宋" w:hAnsi="仿宋" w:eastAsia="仿宋" w:cs="仿宋"/>
          <w:color w:val="auto"/>
          <w:sz w:val="24"/>
          <w:szCs w:val="24"/>
          <w:highlight w:val="none"/>
        </w:rPr>
      </w:pPr>
    </w:p>
    <w:p w14:paraId="6EBBADC9">
      <w:pPr>
        <w:ind w:firstLine="4080" w:firstLineChars="17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承诺人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签名按指纹）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none"/>
          <w:lang w:val="en-US" w:eastAsia="zh-CN"/>
        </w:rPr>
        <w:t>XXX</w:t>
      </w:r>
    </w:p>
    <w:p w14:paraId="326BF287">
      <w:pPr>
        <w:ind w:firstLine="4080" w:firstLineChars="1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 期：XXXX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X月X</w:t>
      </w:r>
      <w:r>
        <w:rPr>
          <w:rFonts w:hint="eastAsia" w:ascii="仿宋" w:hAnsi="仿宋" w:eastAsia="仿宋" w:cs="仿宋"/>
          <w:color w:val="auto"/>
          <w:sz w:val="24"/>
          <w:szCs w:val="24"/>
          <w:highlight w:val="none"/>
        </w:rPr>
        <w:t>日</w:t>
      </w:r>
    </w:p>
    <w:p w14:paraId="2353AFC1">
      <w:pPr>
        <w:ind w:firstLine="4760" w:firstLineChars="1700"/>
        <w:rPr>
          <w:rFonts w:hint="eastAsia" w:ascii="仿宋" w:hAnsi="仿宋" w:eastAsia="仿宋" w:cs="仿宋"/>
          <w:color w:val="auto"/>
          <w:sz w:val="28"/>
          <w:szCs w:val="28"/>
          <w:highlight w:val="none"/>
          <w:lang w:val="en-US" w:eastAsia="zh-CN"/>
        </w:rPr>
      </w:pPr>
    </w:p>
    <w:p w14:paraId="0CCDC83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bookmarkEnd w:id="375"/>
    <w:bookmarkEnd w:id="376"/>
    <w:p w14:paraId="70E445E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p>
    <w:p w14:paraId="60EA5F2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附件四</w:t>
      </w:r>
    </w:p>
    <w:p w14:paraId="17339282">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3173F5DF">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1A420ED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392A726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46900F2F">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606C3315">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7F83A87D">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377"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377"/>
    </w:p>
    <w:p w14:paraId="1DDA1D73">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63AF3E6D">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3998E694">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C51DAE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578A493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06A269B8">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2632695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35E30D2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0CCB9D8A">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5B377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910554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22A6D366">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日   期：××年××月××日</w:t>
      </w:r>
    </w:p>
    <w:p w14:paraId="167A3CCB">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color w:val="auto"/>
          <w:sz w:val="22"/>
          <w:szCs w:val="22"/>
          <w:highlight w:val="none"/>
          <w:u w:val="none"/>
          <w:lang w:val="en-US" w:eastAsia="zh-CN"/>
        </w:rPr>
      </w:pPr>
    </w:p>
    <w:p w14:paraId="2BFDD2D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A30AD60">
      <w:pPr>
        <w:pStyle w:val="14"/>
        <w:rPr>
          <w:rFonts w:hint="eastAsia" w:ascii="仿宋" w:hAnsi="仿宋" w:eastAsia="仿宋" w:cs="仿宋"/>
          <w:b/>
          <w:bCs/>
          <w:color w:val="auto"/>
          <w:sz w:val="36"/>
          <w:szCs w:val="36"/>
          <w:highlight w:val="none"/>
          <w:lang w:val="en-US" w:eastAsia="zh-CN"/>
        </w:rPr>
      </w:pPr>
    </w:p>
    <w:p w14:paraId="2FBF124D">
      <w:pPr>
        <w:pStyle w:val="14"/>
        <w:rPr>
          <w:rFonts w:hint="eastAsia" w:ascii="仿宋" w:hAnsi="仿宋" w:eastAsia="仿宋" w:cs="仿宋"/>
          <w:b/>
          <w:bCs/>
          <w:color w:val="auto"/>
          <w:sz w:val="36"/>
          <w:szCs w:val="36"/>
          <w:highlight w:val="none"/>
          <w:lang w:val="en-US" w:eastAsia="zh-CN"/>
        </w:rPr>
      </w:pPr>
    </w:p>
    <w:p w14:paraId="69C8630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bookmarkStart w:id="378" w:name="_Toc8672"/>
      <w:r>
        <w:rPr>
          <w:rFonts w:hint="eastAsia" w:ascii="仿宋" w:hAnsi="仿宋" w:eastAsia="仿宋" w:cs="仿宋"/>
          <w:b/>
          <w:bCs/>
          <w:color w:val="auto"/>
          <w:sz w:val="36"/>
          <w:szCs w:val="36"/>
          <w:highlight w:val="none"/>
          <w:lang w:val="en-US" w:eastAsia="zh-CN"/>
        </w:rPr>
        <w:t>附件</w:t>
      </w:r>
      <w:bookmarkEnd w:id="378"/>
      <w:r>
        <w:rPr>
          <w:rFonts w:hint="eastAsia" w:ascii="仿宋" w:hAnsi="仿宋" w:eastAsia="仿宋" w:cs="仿宋"/>
          <w:b/>
          <w:bCs/>
          <w:color w:val="auto"/>
          <w:sz w:val="36"/>
          <w:szCs w:val="36"/>
          <w:highlight w:val="none"/>
          <w:lang w:val="en-US" w:eastAsia="zh-CN"/>
        </w:rPr>
        <w:t>五</w:t>
      </w:r>
    </w:p>
    <w:p w14:paraId="7D64DFF6">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eastAsia" w:ascii="仿宋" w:hAnsi="仿宋" w:eastAsia="仿宋" w:cs="仿宋"/>
          <w:b/>
          <w:bCs/>
          <w:color w:val="auto"/>
          <w:spacing w:val="-4"/>
          <w:position w:val="21"/>
          <w:sz w:val="32"/>
          <w:szCs w:val="32"/>
          <w:highlight w:val="none"/>
          <w:lang w:val="en-US" w:eastAsia="zh-CN"/>
        </w:rPr>
      </w:pPr>
      <w:bookmarkStart w:id="379" w:name="_Toc6755"/>
      <w:r>
        <w:rPr>
          <w:rFonts w:hint="eastAsia" w:ascii="仿宋" w:hAnsi="仿宋" w:eastAsia="仿宋" w:cs="仿宋"/>
          <w:b/>
          <w:bCs/>
          <w:color w:val="auto"/>
          <w:sz w:val="28"/>
          <w:szCs w:val="28"/>
          <w:highlight w:val="none"/>
          <w:u w:val="single"/>
          <w:lang w:val="en-US" w:eastAsia="zh-CN"/>
        </w:rPr>
        <w:t>XXXXXXXX工程</w:t>
      </w:r>
      <w:r>
        <w:rPr>
          <w:rFonts w:hint="eastAsia" w:ascii="仿宋" w:hAnsi="仿宋" w:eastAsia="仿宋" w:cs="仿宋"/>
          <w:b/>
          <w:bCs/>
          <w:color w:val="auto"/>
          <w:sz w:val="28"/>
          <w:szCs w:val="28"/>
          <w:highlight w:val="none"/>
        </w:rPr>
        <w:t>结算资料目录</w:t>
      </w:r>
      <w:bookmarkEnd w:id="379"/>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color w:val="auto"/>
          <w:sz w:val="36"/>
          <w:szCs w:val="36"/>
          <w:highlight w:val="none"/>
          <w:lang w:val="en-US" w:eastAsia="zh-CN"/>
        </w:rPr>
        <w:t xml:space="preserve">   </w:t>
      </w:r>
    </w:p>
    <w:p w14:paraId="721BFEDF">
      <w:pPr>
        <w:ind w:firstLine="0" w:firstLineChars="0"/>
        <w:rPr>
          <w:rFonts w:hint="eastAsia" w:ascii="仿宋" w:hAnsi="仿宋" w:eastAsia="仿宋" w:cs="仿宋"/>
          <w:color w:val="auto"/>
          <w:sz w:val="24"/>
          <w:highlight w:val="none"/>
          <w:u w:val="single"/>
          <w:lang w:eastAsia="zh-CN"/>
        </w:rPr>
      </w:pPr>
      <w:r>
        <w:rPr>
          <w:rFonts w:hint="eastAsia" w:ascii="仿宋" w:hAnsi="仿宋" w:eastAsia="仿宋" w:cs="仿宋"/>
          <w:color w:val="auto"/>
          <w:sz w:val="22"/>
          <w:szCs w:val="21"/>
          <w:highlight w:val="none"/>
        </w:rPr>
        <w:t>填表日期:</w:t>
      </w:r>
      <w:r>
        <w:rPr>
          <w:rFonts w:hint="eastAsia" w:ascii="仿宋" w:hAnsi="仿宋" w:eastAsia="仿宋" w:cs="仿宋"/>
          <w:color w:val="auto"/>
          <w:sz w:val="22"/>
          <w:szCs w:val="21"/>
          <w:highlight w:val="none"/>
          <w:u w:val="single"/>
        </w:rPr>
        <w:t xml:space="preserve"> </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年</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月</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日</w:t>
      </w:r>
      <w:r>
        <w:rPr>
          <w:rFonts w:hint="eastAsia" w:ascii="仿宋" w:hAnsi="仿宋" w:eastAsia="仿宋" w:cs="仿宋"/>
          <w:color w:val="auto"/>
          <w:sz w:val="22"/>
          <w:szCs w:val="21"/>
          <w:highlight w:val="none"/>
        </w:rPr>
        <w:t xml:space="preserve">  </w:t>
      </w:r>
      <w:r>
        <w:rPr>
          <w:rFonts w:hint="eastAsia" w:ascii="仿宋" w:hAnsi="仿宋" w:eastAsia="仿宋" w:cs="仿宋"/>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EE0B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6258ED72">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29831551">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136313E5">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份</w:t>
            </w:r>
            <w:r>
              <w:rPr>
                <w:rFonts w:hint="eastAsia" w:ascii="仿宋" w:hAnsi="仿宋" w:eastAsia="仿宋" w:cs="仿宋"/>
                <w:b/>
                <w:color w:val="auto"/>
                <w:sz w:val="24"/>
                <w:highlight w:val="none"/>
              </w:rPr>
              <w:t>数</w:t>
            </w:r>
          </w:p>
        </w:tc>
        <w:tc>
          <w:tcPr>
            <w:tcW w:w="2732" w:type="dxa"/>
            <w:tcBorders>
              <w:top w:val="single" w:color="auto" w:sz="12" w:space="0"/>
              <w:bottom w:val="single" w:color="auto" w:sz="12" w:space="0"/>
            </w:tcBorders>
            <w:noWrap w:val="0"/>
            <w:vAlign w:val="center"/>
          </w:tcPr>
          <w:p w14:paraId="66196249">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       注</w:t>
            </w:r>
          </w:p>
        </w:tc>
      </w:tr>
      <w:tr w14:paraId="1A0F1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17F3B560">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成本管理部提供（正副本各一份）</w:t>
            </w:r>
          </w:p>
        </w:tc>
      </w:tr>
      <w:tr w14:paraId="612F4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286176EB">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915665">
            <w:pPr>
              <w:spacing w:line="440" w:lineRule="atLeast"/>
              <w:jc w:val="left"/>
              <w:rPr>
                <w:rFonts w:hint="eastAsia" w:ascii="仿宋" w:hAnsi="仿宋" w:eastAsia="仿宋" w:cs="仿宋"/>
                <w:b/>
                <w:color w:val="auto"/>
                <w:sz w:val="24"/>
                <w:highlight w:val="none"/>
                <w:lang w:eastAsia="zh-CN"/>
              </w:rPr>
            </w:pPr>
            <w:r>
              <w:rPr>
                <w:rFonts w:hint="eastAsia" w:ascii="仿宋" w:hAnsi="仿宋" w:eastAsia="仿宋" w:cs="仿宋"/>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38E5B78">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0278B1EF">
            <w:pPr>
              <w:spacing w:line="440" w:lineRule="atLeast"/>
              <w:jc w:val="center"/>
              <w:rPr>
                <w:rFonts w:hint="eastAsia" w:ascii="仿宋" w:hAnsi="仿宋" w:eastAsia="仿宋" w:cs="仿宋"/>
                <w:b/>
                <w:color w:val="auto"/>
                <w:sz w:val="24"/>
                <w:highlight w:val="none"/>
                <w:lang w:val="en-US" w:eastAsia="zh-CN"/>
              </w:rPr>
            </w:pPr>
          </w:p>
        </w:tc>
      </w:tr>
      <w:tr w14:paraId="4AE36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1981E80B">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p>
        </w:tc>
        <w:tc>
          <w:tcPr>
            <w:tcW w:w="4407" w:type="dxa"/>
            <w:gridSpan w:val="2"/>
            <w:tcBorders>
              <w:top w:val="single" w:color="auto" w:sz="8" w:space="0"/>
            </w:tcBorders>
            <w:noWrap w:val="0"/>
            <w:vAlign w:val="center"/>
          </w:tcPr>
          <w:p w14:paraId="24F86D9D">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eastAsia="zh-CN"/>
              </w:rPr>
              <w:t>结算确认书</w:t>
            </w:r>
          </w:p>
        </w:tc>
        <w:tc>
          <w:tcPr>
            <w:tcW w:w="760" w:type="dxa"/>
            <w:tcBorders>
              <w:top w:val="single" w:color="auto" w:sz="8" w:space="0"/>
            </w:tcBorders>
            <w:noWrap w:val="0"/>
            <w:vAlign w:val="center"/>
          </w:tcPr>
          <w:p w14:paraId="11DFF9FF">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single" w:color="auto" w:sz="8" w:space="0"/>
            </w:tcBorders>
            <w:noWrap w:val="0"/>
            <w:vAlign w:val="center"/>
          </w:tcPr>
          <w:p w14:paraId="498BBFD2">
            <w:pPr>
              <w:spacing w:line="440" w:lineRule="atLeast"/>
              <w:jc w:val="center"/>
              <w:rPr>
                <w:rFonts w:hint="eastAsia" w:ascii="仿宋" w:hAnsi="仿宋" w:eastAsia="仿宋" w:cs="仿宋"/>
                <w:color w:val="auto"/>
                <w:sz w:val="24"/>
                <w:highlight w:val="none"/>
                <w:lang w:eastAsia="zh-CN"/>
              </w:rPr>
            </w:pPr>
          </w:p>
        </w:tc>
      </w:tr>
      <w:tr w14:paraId="03DD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6DB24AD">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p>
        </w:tc>
        <w:tc>
          <w:tcPr>
            <w:tcW w:w="4407" w:type="dxa"/>
            <w:gridSpan w:val="2"/>
            <w:tcBorders>
              <w:top w:val="nil"/>
            </w:tcBorders>
            <w:noWrap w:val="0"/>
            <w:vAlign w:val="center"/>
          </w:tcPr>
          <w:p w14:paraId="0CB786B8">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结算审核汇总表</w:t>
            </w:r>
          </w:p>
        </w:tc>
        <w:tc>
          <w:tcPr>
            <w:tcW w:w="760" w:type="dxa"/>
            <w:tcBorders>
              <w:top w:val="nil"/>
            </w:tcBorders>
            <w:noWrap w:val="0"/>
            <w:vAlign w:val="center"/>
          </w:tcPr>
          <w:p w14:paraId="3919AD68">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nil"/>
            </w:tcBorders>
            <w:noWrap w:val="0"/>
            <w:vAlign w:val="center"/>
          </w:tcPr>
          <w:p w14:paraId="66032C55">
            <w:pPr>
              <w:spacing w:line="440" w:lineRule="atLeast"/>
              <w:jc w:val="center"/>
              <w:rPr>
                <w:rFonts w:hint="eastAsia" w:ascii="仿宋" w:hAnsi="仿宋" w:eastAsia="仿宋" w:cs="仿宋"/>
                <w:color w:val="auto"/>
                <w:sz w:val="24"/>
                <w:highlight w:val="none"/>
                <w:lang w:eastAsia="zh-CN"/>
              </w:rPr>
            </w:pPr>
          </w:p>
        </w:tc>
      </w:tr>
      <w:tr w14:paraId="08433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48FABE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p w14:paraId="27B924A6">
            <w:pPr>
              <w:spacing w:line="440" w:lineRule="atLeast"/>
              <w:jc w:val="center"/>
              <w:rPr>
                <w:rFonts w:hint="eastAsia" w:ascii="仿宋" w:hAnsi="仿宋" w:eastAsia="仿宋" w:cs="仿宋"/>
                <w:color w:val="auto"/>
                <w:sz w:val="24"/>
                <w:highlight w:val="none"/>
                <w:lang w:val="en-US" w:eastAsia="zh-CN"/>
              </w:rPr>
            </w:pPr>
          </w:p>
          <w:p w14:paraId="7D70CCCD">
            <w:pPr>
              <w:spacing w:line="440" w:lineRule="atLeast"/>
              <w:jc w:val="center"/>
              <w:rPr>
                <w:rFonts w:hint="eastAsia" w:ascii="仿宋" w:hAnsi="仿宋" w:eastAsia="仿宋" w:cs="仿宋"/>
                <w:color w:val="auto"/>
                <w:sz w:val="24"/>
                <w:highlight w:val="none"/>
                <w:lang w:val="en-US" w:eastAsia="zh-CN"/>
              </w:rPr>
            </w:pPr>
          </w:p>
        </w:tc>
        <w:tc>
          <w:tcPr>
            <w:tcW w:w="4407" w:type="dxa"/>
            <w:gridSpan w:val="2"/>
            <w:tcBorders>
              <w:top w:val="nil"/>
            </w:tcBorders>
            <w:noWrap w:val="0"/>
            <w:vAlign w:val="center"/>
          </w:tcPr>
          <w:p w14:paraId="2EF41234">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审核结算书</w:t>
            </w:r>
          </w:p>
        </w:tc>
        <w:tc>
          <w:tcPr>
            <w:tcW w:w="760" w:type="dxa"/>
            <w:tcBorders>
              <w:top w:val="nil"/>
            </w:tcBorders>
            <w:noWrap w:val="0"/>
            <w:vAlign w:val="center"/>
          </w:tcPr>
          <w:p w14:paraId="175E686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0B099F9">
            <w:pPr>
              <w:spacing w:line="440" w:lineRule="atLeast"/>
              <w:jc w:val="center"/>
              <w:rPr>
                <w:rFonts w:hint="eastAsia" w:ascii="仿宋" w:hAnsi="仿宋" w:eastAsia="仿宋" w:cs="仿宋"/>
                <w:color w:val="auto"/>
                <w:sz w:val="24"/>
                <w:highlight w:val="none"/>
                <w:lang w:eastAsia="zh-CN"/>
              </w:rPr>
            </w:pPr>
          </w:p>
        </w:tc>
      </w:tr>
      <w:tr w14:paraId="7E496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7CBAC9BD">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分包单位提供（正副本各一份）</w:t>
            </w:r>
          </w:p>
        </w:tc>
      </w:tr>
      <w:tr w14:paraId="2C0D4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09668DC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分包单位结算申请书</w:t>
            </w:r>
          </w:p>
        </w:tc>
        <w:tc>
          <w:tcPr>
            <w:tcW w:w="510" w:type="dxa"/>
            <w:tcBorders>
              <w:top w:val="nil"/>
            </w:tcBorders>
            <w:noWrap w:val="0"/>
            <w:vAlign w:val="center"/>
          </w:tcPr>
          <w:p w14:paraId="4F48AE8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4407" w:type="dxa"/>
            <w:gridSpan w:val="2"/>
            <w:tcBorders>
              <w:top w:val="nil"/>
            </w:tcBorders>
            <w:noWrap w:val="0"/>
            <w:vAlign w:val="center"/>
          </w:tcPr>
          <w:p w14:paraId="511D69BF">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封面</w:t>
            </w:r>
          </w:p>
        </w:tc>
        <w:tc>
          <w:tcPr>
            <w:tcW w:w="760" w:type="dxa"/>
            <w:tcBorders>
              <w:top w:val="nil"/>
            </w:tcBorders>
            <w:noWrap w:val="0"/>
            <w:vAlign w:val="center"/>
          </w:tcPr>
          <w:p w14:paraId="0CA79F64">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8EFF37F">
            <w:pPr>
              <w:spacing w:line="440" w:lineRule="atLeast"/>
              <w:jc w:val="center"/>
              <w:rPr>
                <w:rFonts w:hint="eastAsia" w:ascii="仿宋" w:hAnsi="仿宋" w:eastAsia="仿宋" w:cs="仿宋"/>
                <w:color w:val="auto"/>
                <w:sz w:val="24"/>
                <w:highlight w:val="none"/>
                <w:lang w:val="en-US" w:eastAsia="zh-CN"/>
              </w:rPr>
            </w:pPr>
          </w:p>
        </w:tc>
      </w:tr>
      <w:tr w14:paraId="5E13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B3599D">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30AEDDD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4407" w:type="dxa"/>
            <w:gridSpan w:val="2"/>
            <w:tcBorders>
              <w:top w:val="nil"/>
            </w:tcBorders>
            <w:noWrap w:val="0"/>
            <w:vAlign w:val="center"/>
          </w:tcPr>
          <w:p w14:paraId="2A299581">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目录</w:t>
            </w:r>
          </w:p>
        </w:tc>
        <w:tc>
          <w:tcPr>
            <w:tcW w:w="760" w:type="dxa"/>
            <w:tcBorders>
              <w:top w:val="nil"/>
            </w:tcBorders>
            <w:noWrap w:val="0"/>
            <w:vAlign w:val="center"/>
          </w:tcPr>
          <w:p w14:paraId="1BE45F38">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3D9E56">
            <w:pPr>
              <w:spacing w:line="440" w:lineRule="atLeast"/>
              <w:jc w:val="center"/>
              <w:rPr>
                <w:rFonts w:hint="eastAsia" w:ascii="仿宋" w:hAnsi="仿宋" w:eastAsia="仿宋" w:cs="仿宋"/>
                <w:color w:val="auto"/>
                <w:sz w:val="24"/>
                <w:highlight w:val="none"/>
                <w:lang w:val="en-US" w:eastAsia="zh-CN"/>
              </w:rPr>
            </w:pPr>
          </w:p>
        </w:tc>
      </w:tr>
      <w:tr w14:paraId="379F8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99DF09">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15BE9F02">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4407" w:type="dxa"/>
            <w:gridSpan w:val="2"/>
            <w:tcBorders>
              <w:top w:val="nil"/>
            </w:tcBorders>
            <w:noWrap w:val="0"/>
            <w:vAlign w:val="center"/>
          </w:tcPr>
          <w:p w14:paraId="71C1D1C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结算申请表</w:t>
            </w:r>
          </w:p>
        </w:tc>
        <w:tc>
          <w:tcPr>
            <w:tcW w:w="760" w:type="dxa"/>
            <w:tcBorders>
              <w:top w:val="nil"/>
            </w:tcBorders>
            <w:noWrap w:val="0"/>
            <w:vAlign w:val="center"/>
          </w:tcPr>
          <w:p w14:paraId="3DFFF126">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4902AFB">
            <w:pPr>
              <w:spacing w:line="440" w:lineRule="atLeast"/>
              <w:jc w:val="center"/>
              <w:rPr>
                <w:rFonts w:hint="eastAsia" w:ascii="仿宋" w:hAnsi="仿宋" w:eastAsia="仿宋" w:cs="仿宋"/>
                <w:color w:val="auto"/>
                <w:kern w:val="2"/>
                <w:sz w:val="24"/>
                <w:highlight w:val="none"/>
                <w:lang w:val="en-US" w:eastAsia="zh-CN"/>
              </w:rPr>
            </w:pPr>
          </w:p>
        </w:tc>
      </w:tr>
      <w:tr w14:paraId="441D7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1D45A05">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73C21E4A">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tc>
        <w:tc>
          <w:tcPr>
            <w:tcW w:w="4407" w:type="dxa"/>
            <w:gridSpan w:val="2"/>
            <w:tcBorders>
              <w:top w:val="nil"/>
            </w:tcBorders>
            <w:noWrap w:val="0"/>
            <w:vAlign w:val="center"/>
          </w:tcPr>
          <w:p w14:paraId="7CCE1CB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工程结算资料审查表</w:t>
            </w:r>
          </w:p>
        </w:tc>
        <w:tc>
          <w:tcPr>
            <w:tcW w:w="760" w:type="dxa"/>
            <w:tcBorders>
              <w:top w:val="nil"/>
            </w:tcBorders>
            <w:noWrap w:val="0"/>
            <w:vAlign w:val="center"/>
          </w:tcPr>
          <w:p w14:paraId="5D60C52F">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77F0162">
            <w:pPr>
              <w:spacing w:line="440" w:lineRule="atLeast"/>
              <w:jc w:val="center"/>
              <w:rPr>
                <w:rFonts w:hint="eastAsia" w:ascii="仿宋" w:hAnsi="仿宋" w:eastAsia="仿宋" w:cs="仿宋"/>
                <w:color w:val="auto"/>
                <w:sz w:val="24"/>
                <w:highlight w:val="none"/>
                <w:lang w:val="en-US" w:eastAsia="zh-CN"/>
              </w:rPr>
            </w:pPr>
          </w:p>
        </w:tc>
      </w:tr>
      <w:tr w14:paraId="3D067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26AE3769">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5E293E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4407" w:type="dxa"/>
            <w:gridSpan w:val="2"/>
            <w:tcBorders>
              <w:top w:val="nil"/>
            </w:tcBorders>
            <w:noWrap w:val="0"/>
            <w:vAlign w:val="center"/>
          </w:tcPr>
          <w:p w14:paraId="76358E07">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送审承诺书</w:t>
            </w:r>
          </w:p>
        </w:tc>
        <w:tc>
          <w:tcPr>
            <w:tcW w:w="760" w:type="dxa"/>
            <w:tcBorders>
              <w:top w:val="nil"/>
            </w:tcBorders>
            <w:noWrap w:val="0"/>
            <w:vAlign w:val="center"/>
          </w:tcPr>
          <w:p w14:paraId="4BD75F5E">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2F7CCAAD">
            <w:pPr>
              <w:spacing w:line="440" w:lineRule="atLeast"/>
              <w:jc w:val="center"/>
              <w:rPr>
                <w:rFonts w:hint="eastAsia" w:ascii="仿宋" w:hAnsi="仿宋" w:eastAsia="仿宋" w:cs="仿宋"/>
                <w:color w:val="auto"/>
                <w:kern w:val="2"/>
                <w:sz w:val="24"/>
                <w:highlight w:val="none"/>
                <w:lang w:val="en-US" w:eastAsia="zh-CN"/>
              </w:rPr>
            </w:pPr>
          </w:p>
        </w:tc>
      </w:tr>
      <w:tr w14:paraId="68BA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F7A3BD1">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41F2870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p>
        </w:tc>
        <w:tc>
          <w:tcPr>
            <w:tcW w:w="4407" w:type="dxa"/>
            <w:gridSpan w:val="2"/>
            <w:tcBorders>
              <w:top w:val="nil"/>
            </w:tcBorders>
            <w:noWrap w:val="0"/>
            <w:vAlign w:val="center"/>
          </w:tcPr>
          <w:p w14:paraId="4FE97343">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结算承诺书</w:t>
            </w:r>
          </w:p>
        </w:tc>
        <w:tc>
          <w:tcPr>
            <w:tcW w:w="760" w:type="dxa"/>
            <w:tcBorders>
              <w:top w:val="nil"/>
            </w:tcBorders>
            <w:noWrap w:val="0"/>
            <w:vAlign w:val="center"/>
          </w:tcPr>
          <w:p w14:paraId="13E87371">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F57806C">
            <w:pPr>
              <w:spacing w:line="440" w:lineRule="atLeast"/>
              <w:jc w:val="center"/>
              <w:rPr>
                <w:rFonts w:hint="eastAsia" w:ascii="仿宋" w:hAnsi="仿宋" w:eastAsia="仿宋" w:cs="仿宋"/>
                <w:color w:val="auto"/>
                <w:kern w:val="2"/>
                <w:sz w:val="24"/>
                <w:highlight w:val="none"/>
                <w:lang w:val="en-US" w:eastAsia="zh-CN"/>
              </w:rPr>
            </w:pPr>
          </w:p>
        </w:tc>
      </w:tr>
      <w:tr w14:paraId="77919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5A41BA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1E62B3A5">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7</w:t>
            </w:r>
          </w:p>
        </w:tc>
        <w:tc>
          <w:tcPr>
            <w:tcW w:w="4407" w:type="dxa"/>
            <w:gridSpan w:val="2"/>
            <w:tcBorders>
              <w:top w:val="nil"/>
            </w:tcBorders>
            <w:noWrap w:val="0"/>
            <w:vAlign w:val="center"/>
          </w:tcPr>
          <w:p w14:paraId="7D11AA02">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工程结算支付证明单</w:t>
            </w:r>
          </w:p>
          <w:p w14:paraId="1FC45EB0">
            <w:pPr>
              <w:tabs>
                <w:tab w:val="left" w:pos="1138"/>
              </w:tabs>
              <w:spacing w:line="440" w:lineRule="atLeast"/>
              <w:rPr>
                <w:rFonts w:hint="eastAsia" w:ascii="仿宋" w:hAnsi="仿宋" w:eastAsia="仿宋" w:cs="仿宋"/>
                <w:color w:val="auto"/>
                <w:sz w:val="24"/>
                <w:highlight w:val="none"/>
                <w:lang w:val="en-US" w:eastAsia="zh-CN"/>
              </w:rPr>
            </w:pPr>
          </w:p>
        </w:tc>
        <w:tc>
          <w:tcPr>
            <w:tcW w:w="760" w:type="dxa"/>
            <w:tcBorders>
              <w:top w:val="nil"/>
            </w:tcBorders>
            <w:noWrap w:val="0"/>
            <w:vAlign w:val="center"/>
          </w:tcPr>
          <w:p w14:paraId="49E170D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1A2F37D">
            <w:pPr>
              <w:spacing w:line="440" w:lineRule="atLeast"/>
              <w:jc w:val="center"/>
              <w:rPr>
                <w:rFonts w:hint="eastAsia" w:ascii="仿宋" w:hAnsi="仿宋" w:eastAsia="仿宋" w:cs="仿宋"/>
                <w:color w:val="auto"/>
                <w:sz w:val="24"/>
                <w:highlight w:val="none"/>
                <w:lang w:val="en-US" w:eastAsia="zh-CN"/>
              </w:rPr>
            </w:pPr>
          </w:p>
        </w:tc>
      </w:tr>
      <w:tr w14:paraId="12DA6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CFA44D4">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C75FDF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4407" w:type="dxa"/>
            <w:gridSpan w:val="2"/>
            <w:tcBorders>
              <w:top w:val="nil"/>
            </w:tcBorders>
            <w:noWrap w:val="0"/>
            <w:vAlign w:val="center"/>
          </w:tcPr>
          <w:p w14:paraId="232EB41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分包情况说明</w:t>
            </w:r>
          </w:p>
        </w:tc>
        <w:tc>
          <w:tcPr>
            <w:tcW w:w="760" w:type="dxa"/>
            <w:tcBorders>
              <w:top w:val="nil"/>
            </w:tcBorders>
            <w:noWrap w:val="0"/>
            <w:vAlign w:val="center"/>
          </w:tcPr>
          <w:p w14:paraId="429BA8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7804EB">
            <w:pPr>
              <w:spacing w:line="440" w:lineRule="atLeast"/>
              <w:jc w:val="center"/>
              <w:rPr>
                <w:rFonts w:hint="eastAsia" w:ascii="仿宋" w:hAnsi="仿宋" w:eastAsia="仿宋" w:cs="仿宋"/>
                <w:color w:val="auto"/>
                <w:kern w:val="2"/>
                <w:sz w:val="24"/>
                <w:highlight w:val="none"/>
                <w:lang w:val="en-US" w:eastAsia="zh-CN"/>
              </w:rPr>
            </w:pPr>
          </w:p>
        </w:tc>
      </w:tr>
      <w:tr w14:paraId="16AD1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AB2AD00">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7576BCF1">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9</w:t>
            </w:r>
          </w:p>
        </w:tc>
        <w:tc>
          <w:tcPr>
            <w:tcW w:w="4407" w:type="dxa"/>
            <w:gridSpan w:val="2"/>
            <w:tcBorders>
              <w:top w:val="nil"/>
            </w:tcBorders>
            <w:noWrap w:val="0"/>
            <w:vAlign w:val="center"/>
          </w:tcPr>
          <w:p w14:paraId="7AA01F31">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竣工验收移交证明</w:t>
            </w:r>
          </w:p>
        </w:tc>
        <w:tc>
          <w:tcPr>
            <w:tcW w:w="760" w:type="dxa"/>
            <w:tcBorders>
              <w:top w:val="nil"/>
            </w:tcBorders>
            <w:noWrap w:val="0"/>
            <w:vAlign w:val="center"/>
          </w:tcPr>
          <w:p w14:paraId="055F23C9">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76418C47">
            <w:pPr>
              <w:spacing w:line="440" w:lineRule="atLeast"/>
              <w:jc w:val="center"/>
              <w:rPr>
                <w:rFonts w:hint="eastAsia" w:ascii="仿宋" w:hAnsi="仿宋" w:eastAsia="仿宋" w:cs="仿宋"/>
                <w:color w:val="auto"/>
                <w:kern w:val="2"/>
                <w:sz w:val="24"/>
                <w:highlight w:val="none"/>
                <w:lang w:val="en-US" w:eastAsia="zh-CN"/>
              </w:rPr>
            </w:pPr>
          </w:p>
        </w:tc>
      </w:tr>
      <w:tr w14:paraId="50D3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B8665E6">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6472C1D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p>
        </w:tc>
        <w:tc>
          <w:tcPr>
            <w:tcW w:w="4407" w:type="dxa"/>
            <w:gridSpan w:val="2"/>
            <w:tcBorders>
              <w:top w:val="nil"/>
            </w:tcBorders>
            <w:noWrap w:val="0"/>
            <w:vAlign w:val="center"/>
          </w:tcPr>
          <w:p w14:paraId="60414F2A">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施工合同</w:t>
            </w:r>
          </w:p>
        </w:tc>
        <w:tc>
          <w:tcPr>
            <w:tcW w:w="760" w:type="dxa"/>
            <w:tcBorders>
              <w:top w:val="nil"/>
            </w:tcBorders>
            <w:noWrap w:val="0"/>
            <w:vAlign w:val="center"/>
          </w:tcPr>
          <w:p w14:paraId="1060D07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537135E">
            <w:pPr>
              <w:spacing w:line="440" w:lineRule="atLeast"/>
              <w:jc w:val="center"/>
              <w:rPr>
                <w:rFonts w:hint="eastAsia" w:ascii="仿宋" w:hAnsi="仿宋" w:eastAsia="仿宋" w:cs="仿宋"/>
                <w:color w:val="auto"/>
                <w:sz w:val="24"/>
                <w:highlight w:val="none"/>
                <w:lang w:eastAsia="zh-CN"/>
              </w:rPr>
            </w:pPr>
          </w:p>
        </w:tc>
      </w:tr>
      <w:tr w14:paraId="5FFE9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2D4B256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B0C8B0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11</w:t>
            </w:r>
          </w:p>
        </w:tc>
        <w:tc>
          <w:tcPr>
            <w:tcW w:w="4407" w:type="dxa"/>
            <w:gridSpan w:val="2"/>
            <w:tcBorders>
              <w:top w:val="nil"/>
            </w:tcBorders>
            <w:noWrap w:val="0"/>
            <w:vAlign w:val="center"/>
          </w:tcPr>
          <w:p w14:paraId="791CDC9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送审结算书</w:t>
            </w:r>
          </w:p>
        </w:tc>
        <w:tc>
          <w:tcPr>
            <w:tcW w:w="760" w:type="dxa"/>
            <w:tcBorders>
              <w:top w:val="nil"/>
            </w:tcBorders>
            <w:noWrap w:val="0"/>
            <w:vAlign w:val="center"/>
          </w:tcPr>
          <w:p w14:paraId="291F29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8CFA20A">
            <w:pPr>
              <w:spacing w:line="440" w:lineRule="atLeast"/>
              <w:jc w:val="center"/>
              <w:rPr>
                <w:rFonts w:hint="eastAsia" w:ascii="仿宋" w:hAnsi="仿宋" w:eastAsia="仿宋" w:cs="仿宋"/>
                <w:color w:val="auto"/>
                <w:kern w:val="2"/>
                <w:sz w:val="24"/>
                <w:highlight w:val="none"/>
                <w:lang w:val="en-US" w:eastAsia="zh-CN"/>
              </w:rPr>
            </w:pPr>
          </w:p>
        </w:tc>
      </w:tr>
      <w:tr w14:paraId="10A6C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41071A76">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3BF8EC47">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12</w:t>
            </w:r>
          </w:p>
        </w:tc>
        <w:tc>
          <w:tcPr>
            <w:tcW w:w="4407" w:type="dxa"/>
            <w:gridSpan w:val="2"/>
            <w:noWrap w:val="0"/>
            <w:vAlign w:val="center"/>
          </w:tcPr>
          <w:p w14:paraId="01BC2D7F">
            <w:pPr>
              <w:tabs>
                <w:tab w:val="left" w:pos="1289"/>
              </w:tabs>
              <w:spacing w:line="440" w:lineRule="atLeast"/>
              <w:jc w:val="both"/>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结算资料</w:t>
            </w:r>
          </w:p>
        </w:tc>
        <w:tc>
          <w:tcPr>
            <w:tcW w:w="760" w:type="dxa"/>
            <w:noWrap w:val="0"/>
            <w:vAlign w:val="center"/>
          </w:tcPr>
          <w:p w14:paraId="6B9CD55F">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noWrap w:val="0"/>
            <w:vAlign w:val="center"/>
          </w:tcPr>
          <w:p w14:paraId="78A4E4A8">
            <w:pPr>
              <w:spacing w:line="440" w:lineRule="atLeast"/>
              <w:jc w:val="center"/>
              <w:rPr>
                <w:rFonts w:hint="eastAsia" w:ascii="仿宋" w:hAnsi="仿宋" w:eastAsia="仿宋" w:cs="仿宋"/>
                <w:color w:val="auto"/>
                <w:kern w:val="2"/>
                <w:sz w:val="24"/>
                <w:highlight w:val="none"/>
                <w:lang w:val="en-US" w:eastAsia="zh-CN"/>
              </w:rPr>
            </w:pPr>
          </w:p>
        </w:tc>
      </w:tr>
      <w:tr w14:paraId="401A9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621AB55E">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4E24A7A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13</w:t>
            </w:r>
          </w:p>
        </w:tc>
        <w:tc>
          <w:tcPr>
            <w:tcW w:w="4407" w:type="dxa"/>
            <w:gridSpan w:val="2"/>
            <w:noWrap w:val="0"/>
            <w:vAlign w:val="center"/>
          </w:tcPr>
          <w:p w14:paraId="7CD52B01">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其他相关资料</w:t>
            </w:r>
          </w:p>
        </w:tc>
        <w:tc>
          <w:tcPr>
            <w:tcW w:w="760" w:type="dxa"/>
            <w:noWrap w:val="0"/>
            <w:vAlign w:val="center"/>
          </w:tcPr>
          <w:p w14:paraId="2F0E86CF">
            <w:pPr>
              <w:spacing w:line="440" w:lineRule="atLeast"/>
              <w:jc w:val="center"/>
              <w:rPr>
                <w:rFonts w:hint="eastAsia" w:ascii="仿宋" w:hAnsi="仿宋" w:eastAsia="仿宋" w:cs="仿宋"/>
                <w:color w:val="auto"/>
                <w:kern w:val="2"/>
                <w:sz w:val="24"/>
                <w:highlight w:val="none"/>
                <w:lang w:val="en-US" w:eastAsia="zh-CN"/>
              </w:rPr>
            </w:pPr>
          </w:p>
        </w:tc>
        <w:tc>
          <w:tcPr>
            <w:tcW w:w="2732" w:type="dxa"/>
            <w:noWrap w:val="0"/>
            <w:vAlign w:val="center"/>
          </w:tcPr>
          <w:p w14:paraId="27D562D8">
            <w:pPr>
              <w:spacing w:line="440" w:lineRule="atLeast"/>
              <w:jc w:val="center"/>
              <w:rPr>
                <w:rFonts w:hint="eastAsia" w:ascii="仿宋" w:hAnsi="仿宋" w:eastAsia="仿宋" w:cs="仿宋"/>
                <w:color w:val="auto"/>
                <w:kern w:val="2"/>
                <w:sz w:val="24"/>
                <w:highlight w:val="none"/>
                <w:lang w:val="en-US" w:eastAsia="zh-CN"/>
              </w:rPr>
            </w:pPr>
          </w:p>
        </w:tc>
      </w:tr>
      <w:tr w14:paraId="124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764E9DE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w:t>
            </w:r>
          </w:p>
        </w:tc>
        <w:tc>
          <w:tcPr>
            <w:tcW w:w="1739" w:type="dxa"/>
            <w:vMerge w:val="restart"/>
            <w:noWrap w:val="0"/>
            <w:vAlign w:val="center"/>
          </w:tcPr>
          <w:p w14:paraId="7B399261">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总结意见</w:t>
            </w:r>
          </w:p>
        </w:tc>
        <w:tc>
          <w:tcPr>
            <w:tcW w:w="2668" w:type="dxa"/>
            <w:noWrap w:val="0"/>
            <w:vAlign w:val="center"/>
          </w:tcPr>
          <w:p w14:paraId="23E6CB3A">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p>
        </w:tc>
        <w:tc>
          <w:tcPr>
            <w:tcW w:w="760" w:type="dxa"/>
            <w:noWrap w:val="0"/>
            <w:vAlign w:val="center"/>
          </w:tcPr>
          <w:p w14:paraId="6A5EC568">
            <w:pPr>
              <w:spacing w:line="240" w:lineRule="auto"/>
              <w:jc w:val="center"/>
              <w:rPr>
                <w:rFonts w:hint="eastAsia" w:ascii="仿宋" w:hAnsi="仿宋" w:eastAsia="仿宋" w:cs="仿宋"/>
                <w:color w:val="auto"/>
                <w:sz w:val="24"/>
                <w:highlight w:val="none"/>
              </w:rPr>
            </w:pPr>
          </w:p>
        </w:tc>
        <w:tc>
          <w:tcPr>
            <w:tcW w:w="2732" w:type="dxa"/>
            <w:noWrap w:val="0"/>
            <w:vAlign w:val="center"/>
          </w:tcPr>
          <w:p w14:paraId="22B9B432">
            <w:pPr>
              <w:spacing w:line="440" w:lineRule="atLeast"/>
              <w:jc w:val="center"/>
              <w:rPr>
                <w:rFonts w:hint="eastAsia" w:ascii="仿宋" w:hAnsi="仿宋" w:eastAsia="仿宋" w:cs="仿宋"/>
                <w:color w:val="auto"/>
                <w:sz w:val="24"/>
                <w:highlight w:val="none"/>
              </w:rPr>
            </w:pPr>
          </w:p>
        </w:tc>
      </w:tr>
      <w:tr w14:paraId="292D1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08B5AF8D">
            <w:pPr>
              <w:spacing w:line="440" w:lineRule="atLeast"/>
              <w:jc w:val="center"/>
              <w:rPr>
                <w:rFonts w:hint="eastAsia" w:ascii="仿宋" w:hAnsi="仿宋" w:eastAsia="仿宋" w:cs="仿宋"/>
                <w:color w:val="auto"/>
                <w:sz w:val="24"/>
                <w:highlight w:val="none"/>
              </w:rPr>
            </w:pPr>
          </w:p>
        </w:tc>
        <w:tc>
          <w:tcPr>
            <w:tcW w:w="1739" w:type="dxa"/>
            <w:vMerge w:val="continue"/>
            <w:noWrap w:val="0"/>
            <w:vAlign w:val="center"/>
          </w:tcPr>
          <w:p w14:paraId="13F2401E">
            <w:pPr>
              <w:spacing w:line="440" w:lineRule="atLeast"/>
              <w:jc w:val="center"/>
              <w:rPr>
                <w:rFonts w:hint="eastAsia" w:ascii="仿宋" w:hAnsi="仿宋" w:eastAsia="仿宋" w:cs="仿宋"/>
                <w:color w:val="auto"/>
                <w:sz w:val="24"/>
                <w:highlight w:val="none"/>
              </w:rPr>
            </w:pPr>
          </w:p>
        </w:tc>
        <w:tc>
          <w:tcPr>
            <w:tcW w:w="2668" w:type="dxa"/>
            <w:noWrap w:val="0"/>
            <w:vAlign w:val="center"/>
          </w:tcPr>
          <w:p w14:paraId="10AD950F">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部门</w:t>
            </w:r>
          </w:p>
        </w:tc>
        <w:tc>
          <w:tcPr>
            <w:tcW w:w="760" w:type="dxa"/>
            <w:noWrap w:val="0"/>
            <w:vAlign w:val="center"/>
          </w:tcPr>
          <w:p w14:paraId="3F098770">
            <w:pPr>
              <w:spacing w:line="440" w:lineRule="atLeast"/>
              <w:jc w:val="center"/>
              <w:rPr>
                <w:rFonts w:hint="eastAsia" w:ascii="仿宋" w:hAnsi="仿宋" w:eastAsia="仿宋" w:cs="仿宋"/>
                <w:color w:val="auto"/>
                <w:sz w:val="24"/>
                <w:highlight w:val="none"/>
              </w:rPr>
            </w:pPr>
          </w:p>
        </w:tc>
        <w:tc>
          <w:tcPr>
            <w:tcW w:w="2732" w:type="dxa"/>
            <w:noWrap w:val="0"/>
            <w:vAlign w:val="center"/>
          </w:tcPr>
          <w:p w14:paraId="33D8FB96">
            <w:pPr>
              <w:spacing w:line="440" w:lineRule="atLeast"/>
              <w:jc w:val="center"/>
              <w:rPr>
                <w:rFonts w:hint="eastAsia" w:ascii="仿宋" w:hAnsi="仿宋" w:eastAsia="仿宋" w:cs="仿宋"/>
                <w:color w:val="auto"/>
                <w:sz w:val="24"/>
                <w:highlight w:val="none"/>
              </w:rPr>
            </w:pPr>
          </w:p>
        </w:tc>
      </w:tr>
    </w:tbl>
    <w:p w14:paraId="09FEA44A">
      <w:pPr>
        <w:pStyle w:val="14"/>
        <w:wordWrap/>
        <w:rPr>
          <w:rFonts w:hint="eastAsia"/>
          <w:color w:val="auto"/>
          <w:highlight w:val="none"/>
          <w:lang w:val="en-US" w:eastAsia="zh-CN"/>
        </w:rPr>
      </w:pPr>
    </w:p>
    <w:p w14:paraId="334AD4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71"/>
      <w:bookmarkEnd w:id="372"/>
      <w:bookmarkEnd w:id="373"/>
      <w:bookmarkEnd w:id="374"/>
      <w:r>
        <w:rPr>
          <w:rFonts w:hint="eastAsia" w:ascii="仿宋" w:hAnsi="仿宋" w:eastAsia="仿宋" w:cs="仿宋"/>
          <w:b/>
          <w:bCs/>
          <w:color w:val="auto"/>
          <w:sz w:val="36"/>
          <w:szCs w:val="36"/>
          <w:highlight w:val="none"/>
          <w:lang w:val="en-US" w:eastAsia="zh-CN"/>
        </w:rPr>
        <w:t>六</w:t>
      </w:r>
    </w:p>
    <w:p w14:paraId="009057E1">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14:paraId="719BF062">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4DB0AA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52872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5176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A495D7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5C1045C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49877ABA">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1E2F444E">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70F7731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11C8C4B4">
      <w:pPr>
        <w:keepNext w:val="0"/>
        <w:keepLines w:val="0"/>
        <w:pageBreakBefore w:val="0"/>
        <w:widowControl w:val="0"/>
        <w:kinsoku/>
        <w:wordWrap/>
        <w:overflowPunct/>
        <w:topLinePunct w:val="0"/>
        <w:autoSpaceDE/>
        <w:autoSpaceDN/>
        <w:bidi w:val="0"/>
        <w:adjustRightInd/>
        <w:snapToGrid/>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3C0A35B1">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7F738C">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声明单位：（全称并盖公章） </w:t>
      </w:r>
    </w:p>
    <w:p w14:paraId="2EA6B72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2C6AD5FD">
      <w:pPr>
        <w:pStyle w:val="1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489C451A">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594E2D30">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3B20462D">
      <w:pPr>
        <w:pStyle w:val="14"/>
        <w:rPr>
          <w:rFonts w:hint="default"/>
          <w:color w:val="auto"/>
          <w:highlight w:val="none"/>
          <w:lang w:val="en-US" w:eastAsia="zh-CN"/>
        </w:rPr>
      </w:pPr>
    </w:p>
    <w:p w14:paraId="6403B76E">
      <w:pPr>
        <w:pStyle w:val="14"/>
        <w:rPr>
          <w:rFonts w:hint="default"/>
          <w:color w:val="auto"/>
          <w:highlight w:val="none"/>
          <w:lang w:val="en-US" w:eastAsia="zh-CN"/>
        </w:rPr>
      </w:pPr>
    </w:p>
    <w:p w14:paraId="578E8C91">
      <w:pPr>
        <w:pStyle w:val="14"/>
        <w:rPr>
          <w:rFonts w:hint="default"/>
          <w:color w:val="auto"/>
          <w:highlight w:val="none"/>
          <w:lang w:val="en-US" w:eastAsia="zh-CN"/>
        </w:rPr>
      </w:pPr>
    </w:p>
    <w:p w14:paraId="47337B2B">
      <w:pPr>
        <w:pStyle w:val="14"/>
        <w:rPr>
          <w:rFonts w:hint="default"/>
          <w:color w:val="auto"/>
          <w:highlight w:val="none"/>
          <w:lang w:val="en-US" w:eastAsia="zh-CN"/>
        </w:rPr>
      </w:pPr>
    </w:p>
    <w:p w14:paraId="72CA8FBF">
      <w:pPr>
        <w:pStyle w:val="14"/>
        <w:rPr>
          <w:rFonts w:hint="default"/>
          <w:color w:val="auto"/>
          <w:highlight w:val="none"/>
          <w:lang w:val="en-US" w:eastAsia="zh-CN"/>
        </w:rPr>
      </w:pPr>
    </w:p>
    <w:p w14:paraId="58BFB02C">
      <w:pPr>
        <w:pStyle w:val="14"/>
        <w:rPr>
          <w:rFonts w:hint="default"/>
          <w:color w:val="auto"/>
          <w:highlight w:val="none"/>
          <w:lang w:val="en-US" w:eastAsia="zh-CN"/>
        </w:rPr>
      </w:pPr>
    </w:p>
    <w:p w14:paraId="0E9C735F">
      <w:pPr>
        <w:pStyle w:val="14"/>
        <w:rPr>
          <w:rFonts w:hint="default"/>
          <w:color w:val="auto"/>
          <w:highlight w:val="none"/>
          <w:lang w:val="en-US" w:eastAsia="zh-CN"/>
        </w:rPr>
      </w:pPr>
    </w:p>
    <w:p w14:paraId="3DDAF6C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附件七</w:t>
      </w:r>
    </w:p>
    <w:p w14:paraId="7C4642AB">
      <w:pPr>
        <w:pStyle w:val="14"/>
        <w:rPr>
          <w:rFonts w:hint="default"/>
          <w:color w:val="auto"/>
          <w:highlight w:val="none"/>
          <w:lang w:val="en-US" w:eastAsia="zh-CN"/>
        </w:rPr>
      </w:pPr>
    </w:p>
    <w:p w14:paraId="127C045A">
      <w:pPr>
        <w:spacing w:after="156" w:afterLines="50"/>
        <w:ind w:right="0" w:rightChars="0"/>
        <w:jc w:val="center"/>
        <w:outlineLvl w:val="0"/>
        <w:rPr>
          <w:rFonts w:hint="eastAsia" w:ascii="仿宋" w:hAnsi="仿宋" w:eastAsia="仿宋" w:cs="仿宋"/>
          <w:color w:val="auto"/>
          <w:sz w:val="40"/>
          <w:szCs w:val="40"/>
          <w:highlight w:val="none"/>
        </w:rPr>
      </w:pPr>
      <w:bookmarkStart w:id="380" w:name="_Toc24167"/>
      <w:bookmarkStart w:id="381" w:name="_Toc9263"/>
      <w:bookmarkStart w:id="382" w:name="_Toc44"/>
      <w:bookmarkStart w:id="383" w:name="_Toc3881"/>
      <w:r>
        <w:rPr>
          <w:rFonts w:hint="eastAsia" w:ascii="仿宋" w:hAnsi="仿宋" w:eastAsia="仿宋" w:cs="仿宋"/>
          <w:b/>
          <w:bCs/>
          <w:color w:val="auto"/>
          <w:sz w:val="40"/>
          <w:szCs w:val="40"/>
          <w:highlight w:val="none"/>
          <w:lang w:val="en-US" w:eastAsia="zh-CN"/>
        </w:rPr>
        <w:t>分包单位</w:t>
      </w:r>
      <w:r>
        <w:rPr>
          <w:rFonts w:hint="eastAsia" w:ascii="仿宋" w:hAnsi="仿宋" w:eastAsia="仿宋" w:cs="仿宋"/>
          <w:b/>
          <w:bCs/>
          <w:color w:val="auto"/>
          <w:sz w:val="40"/>
          <w:szCs w:val="40"/>
          <w:highlight w:val="none"/>
        </w:rPr>
        <w:t>开工令</w:t>
      </w:r>
      <w:bookmarkEnd w:id="380"/>
      <w:bookmarkEnd w:id="381"/>
      <w:bookmarkEnd w:id="382"/>
      <w:bookmarkEnd w:id="383"/>
    </w:p>
    <w:p w14:paraId="725554D9">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合同名称： </w:t>
      </w:r>
    </w:p>
    <w:p w14:paraId="76D5EB5C">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合同编号：                           </w:t>
      </w:r>
    </w:p>
    <w:p w14:paraId="3C7448A9">
      <w:pPr>
        <w:ind w:right="0" w:rightChars="0"/>
        <w:rPr>
          <w:rFonts w:hint="eastAsia" w:ascii="仿宋" w:hAnsi="仿宋" w:eastAsia="仿宋" w:cs="仿宋"/>
          <w:color w:val="auto"/>
          <w:highlight w:val="none"/>
        </w:rPr>
      </w:pPr>
    </w:p>
    <w:tbl>
      <w:tblPr>
        <w:tblStyle w:val="15"/>
        <w:tblW w:w="5136"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65"/>
      </w:tblGrid>
      <w:tr w14:paraId="09E2D3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3483F9C3">
            <w:pPr>
              <w:ind w:right="0" w:rightChars="0"/>
              <w:rPr>
                <w:rFonts w:hint="eastAsia" w:ascii="仿宋" w:hAnsi="仿宋" w:eastAsia="仿宋" w:cs="仿宋"/>
                <w:color w:val="auto"/>
                <w:sz w:val="22"/>
                <w:szCs w:val="22"/>
                <w:highlight w:val="none"/>
              </w:rPr>
            </w:pPr>
          </w:p>
          <w:p w14:paraId="69984CED">
            <w:pPr>
              <w:spacing w:line="480" w:lineRule="auto"/>
              <w:ind w:right="0" w:rightChars="0"/>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致：（</w:t>
            </w:r>
            <w:r>
              <w:rPr>
                <w:rFonts w:hint="eastAsia" w:ascii="仿宋" w:hAnsi="仿宋" w:eastAsia="仿宋" w:cs="仿宋"/>
                <w:b/>
                <w:bCs/>
                <w:color w:val="auto"/>
                <w:sz w:val="22"/>
                <w:szCs w:val="22"/>
                <w:highlight w:val="none"/>
                <w:lang w:val="en-US" w:eastAsia="zh-CN"/>
              </w:rPr>
              <w:t>分包单位全称</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 xml:space="preserve"> </w:t>
            </w:r>
          </w:p>
          <w:p w14:paraId="62376CB4">
            <w:pPr>
              <w:spacing w:line="480" w:lineRule="auto"/>
              <w:ind w:right="0" w:rightChars="0" w:firstLine="44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你方</w:t>
            </w:r>
            <w:r>
              <w:rPr>
                <w:rFonts w:hint="eastAsia" w:ascii="仿宋" w:hAnsi="仿宋" w:eastAsia="仿宋" w:cs="仿宋"/>
                <w:color w:val="auto"/>
                <w:sz w:val="22"/>
                <w:szCs w:val="22"/>
                <w:highlight w:val="none"/>
                <w:u w:val="none"/>
                <w:lang w:val="en-US" w:eastAsia="zh-CN"/>
              </w:rPr>
              <w:t>承接的</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工程</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分部/项</w:t>
            </w:r>
            <w:r>
              <w:rPr>
                <w:rFonts w:hint="eastAsia" w:ascii="仿宋" w:hAnsi="仿宋" w:eastAsia="仿宋" w:cs="仿宋"/>
                <w:color w:val="auto"/>
                <w:sz w:val="22"/>
                <w:szCs w:val="22"/>
                <w:highlight w:val="none"/>
                <w:lang w:val="en-US" w:eastAsia="zh-CN"/>
              </w:rPr>
              <w:t>工程经审查，已具备</w:t>
            </w:r>
            <w:r>
              <w:rPr>
                <w:rFonts w:hint="eastAsia" w:ascii="仿宋" w:hAnsi="仿宋" w:eastAsia="仿宋" w:cs="仿宋"/>
                <w:color w:val="auto"/>
                <w:sz w:val="22"/>
                <w:szCs w:val="22"/>
                <w:highlight w:val="none"/>
              </w:rPr>
              <w:t>施工合同约定的开工条件，</w:t>
            </w:r>
            <w:r>
              <w:rPr>
                <w:rFonts w:hint="eastAsia" w:ascii="仿宋" w:hAnsi="仿宋" w:eastAsia="仿宋" w:cs="仿宋"/>
                <w:color w:val="auto"/>
                <w:sz w:val="22"/>
                <w:szCs w:val="22"/>
                <w:highlight w:val="none"/>
                <w:lang w:val="en-US" w:eastAsia="zh-CN"/>
              </w:rPr>
              <w:t>现通知你方正式开工</w:t>
            </w:r>
            <w:r>
              <w:rPr>
                <w:rFonts w:hint="eastAsia" w:ascii="仿宋" w:hAnsi="仿宋" w:eastAsia="仿宋" w:cs="仿宋"/>
                <w:color w:val="auto"/>
                <w:sz w:val="22"/>
                <w:szCs w:val="22"/>
                <w:highlight w:val="none"/>
              </w:rPr>
              <w:t>。</w:t>
            </w:r>
          </w:p>
          <w:p w14:paraId="3AAB1148">
            <w:pPr>
              <w:spacing w:line="480" w:lineRule="auto"/>
              <w:ind w:right="0" w:rightChars="0" w:firstLine="44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本开工令确定此合同的实际开工日期为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79FACF8A">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p>
          <w:p w14:paraId="7ABC3FD4">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施工总包单位：</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（全称及</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盖章）</w:t>
            </w:r>
          </w:p>
          <w:p w14:paraId="07715722">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项目负责人：（签名）</w:t>
            </w:r>
          </w:p>
          <w:p w14:paraId="460F823C">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日</w:t>
            </w:r>
          </w:p>
          <w:p w14:paraId="37940FFA">
            <w:pPr>
              <w:ind w:right="0" w:rightChars="0"/>
              <w:rPr>
                <w:rFonts w:hint="eastAsia" w:ascii="仿宋" w:hAnsi="仿宋" w:eastAsia="仿宋" w:cs="仿宋"/>
                <w:color w:val="auto"/>
                <w:sz w:val="22"/>
                <w:szCs w:val="22"/>
                <w:highlight w:val="none"/>
              </w:rPr>
            </w:pPr>
          </w:p>
        </w:tc>
      </w:tr>
      <w:tr w14:paraId="3DFF9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36CC2B67">
            <w:pPr>
              <w:ind w:right="0" w:rightChars="0"/>
              <w:rPr>
                <w:rFonts w:hint="eastAsia" w:ascii="仿宋" w:hAnsi="仿宋" w:eastAsia="仿宋" w:cs="仿宋"/>
                <w:color w:val="auto"/>
                <w:sz w:val="22"/>
                <w:szCs w:val="22"/>
                <w:highlight w:val="none"/>
              </w:rPr>
            </w:pPr>
          </w:p>
          <w:p w14:paraId="26989628">
            <w:pPr>
              <w:pStyle w:val="14"/>
              <w:tabs>
                <w:tab w:val="clear" w:pos="-116"/>
                <w:tab w:val="clear" w:pos="420"/>
              </w:tabs>
              <w:ind w:right="0" w:rightChars="0"/>
              <w:rPr>
                <w:rFonts w:hint="eastAsia" w:ascii="仿宋" w:hAnsi="仿宋" w:eastAsia="仿宋" w:cs="仿宋"/>
                <w:color w:val="auto"/>
                <w:highlight w:val="none"/>
              </w:rPr>
            </w:pPr>
          </w:p>
          <w:p w14:paraId="24332D5D">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今已收到项目的开工令。</w:t>
            </w:r>
          </w:p>
          <w:p w14:paraId="07E29165">
            <w:pPr>
              <w:spacing w:line="360" w:lineRule="auto"/>
              <w:ind w:right="0" w:rightChars="0" w:firstLine="3520" w:firstLineChars="1600"/>
              <w:rPr>
                <w:rFonts w:hint="eastAsia" w:ascii="仿宋" w:hAnsi="仿宋" w:eastAsia="仿宋" w:cs="仿宋"/>
                <w:color w:val="auto"/>
                <w:sz w:val="22"/>
                <w:szCs w:val="22"/>
                <w:highlight w:val="none"/>
              </w:rPr>
            </w:pPr>
          </w:p>
          <w:p w14:paraId="7018ECA4">
            <w:pPr>
              <w:pStyle w:val="14"/>
              <w:tabs>
                <w:tab w:val="clear" w:pos="-116"/>
                <w:tab w:val="clear" w:pos="420"/>
              </w:tabs>
              <w:ind w:right="0" w:rightChars="0"/>
              <w:rPr>
                <w:rFonts w:hint="eastAsia" w:ascii="仿宋" w:hAnsi="仿宋" w:eastAsia="仿宋" w:cs="仿宋"/>
                <w:color w:val="auto"/>
                <w:highlight w:val="none"/>
              </w:rPr>
            </w:pPr>
          </w:p>
          <w:p w14:paraId="55F803ED">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分包单位：（全称及盖章）</w:t>
            </w:r>
          </w:p>
          <w:p w14:paraId="0BAC3B91">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现场</w:t>
            </w:r>
            <w:r>
              <w:rPr>
                <w:rFonts w:hint="eastAsia" w:ascii="仿宋" w:hAnsi="仿宋" w:eastAsia="仿宋" w:cs="仿宋"/>
                <w:color w:val="auto"/>
                <w:sz w:val="22"/>
                <w:szCs w:val="22"/>
                <w:highlight w:val="none"/>
              </w:rPr>
              <w:t>负责人：（签名）</w:t>
            </w:r>
          </w:p>
          <w:p w14:paraId="2C9D7EA3">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w:t>
            </w:r>
            <w:r>
              <w:rPr>
                <w:rFonts w:hint="eastAsia" w:ascii="仿宋" w:hAnsi="仿宋" w:eastAsia="仿宋" w:cs="仿宋"/>
                <w:color w:val="auto"/>
                <w:sz w:val="22"/>
                <w:szCs w:val="22"/>
                <w:highlight w:val="none"/>
                <w:lang w:val="en-US" w:eastAsia="zh-CN"/>
              </w:rPr>
              <w:t>日</w:t>
            </w:r>
          </w:p>
        </w:tc>
      </w:tr>
    </w:tbl>
    <w:p w14:paraId="5C52FBD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ACA4081">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FE53A5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6579B8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DB8BE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5776CD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84" w:name="_Toc6573"/>
      <w:bookmarkStart w:id="385" w:name="_Toc29967"/>
      <w:bookmarkStart w:id="386" w:name="_Toc25793"/>
      <w:bookmarkStart w:id="387" w:name="_Toc7395"/>
    </w:p>
    <w:p w14:paraId="3F0B380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D5479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2313EB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84"/>
      <w:bookmarkEnd w:id="385"/>
      <w:bookmarkEnd w:id="386"/>
      <w:bookmarkEnd w:id="387"/>
      <w:r>
        <w:rPr>
          <w:rFonts w:hint="eastAsia" w:ascii="仿宋" w:hAnsi="仿宋" w:eastAsia="仿宋" w:cs="仿宋"/>
          <w:b/>
          <w:bCs/>
          <w:color w:val="auto"/>
          <w:sz w:val="36"/>
          <w:szCs w:val="36"/>
          <w:highlight w:val="none"/>
          <w:lang w:val="en-US" w:eastAsia="zh-CN"/>
        </w:rPr>
        <w:t>八</w:t>
      </w:r>
    </w:p>
    <w:tbl>
      <w:tblPr>
        <w:tblStyle w:val="15"/>
        <w:tblW w:w="5307" w:type="pct"/>
        <w:jc w:val="center"/>
        <w:tblLayout w:type="fixed"/>
        <w:tblCellMar>
          <w:top w:w="15" w:type="dxa"/>
          <w:left w:w="15" w:type="dxa"/>
          <w:bottom w:w="15" w:type="dxa"/>
          <w:right w:w="15" w:type="dxa"/>
        </w:tblCellMar>
      </w:tblPr>
      <w:tblGrid>
        <w:gridCol w:w="9780"/>
      </w:tblGrid>
      <w:tr w14:paraId="515E5626">
        <w:tblPrEx>
          <w:tblCellMar>
            <w:top w:w="15" w:type="dxa"/>
            <w:left w:w="15" w:type="dxa"/>
            <w:bottom w:w="15" w:type="dxa"/>
            <w:right w:w="15" w:type="dxa"/>
          </w:tblCellMar>
        </w:tblPrEx>
        <w:trPr>
          <w:trHeight w:val="13066" w:hRule="atLeast"/>
          <w:jc w:val="center"/>
        </w:trPr>
        <w:tc>
          <w:tcPr>
            <w:tcW w:w="5000" w:type="pct"/>
            <w:noWrap w:val="0"/>
            <w:vAlign w:val="center"/>
          </w:tcPr>
          <w:p w14:paraId="34992BF3">
            <w:pPr>
              <w:spacing w:before="90" w:line="226" w:lineRule="auto"/>
              <w:ind w:left="3175"/>
              <w:outlineLvl w:val="0"/>
              <w:rPr>
                <w:rFonts w:hint="eastAsia" w:ascii="仿宋" w:hAnsi="仿宋" w:eastAsia="仿宋" w:cs="仿宋"/>
                <w:color w:val="auto"/>
                <w:sz w:val="31"/>
                <w:szCs w:val="31"/>
                <w:highlight w:val="none"/>
              </w:rPr>
            </w:pPr>
            <w:bookmarkStart w:id="388" w:name="_Toc32078"/>
            <w:bookmarkStart w:id="389" w:name="_Toc4496"/>
            <w:bookmarkStart w:id="390" w:name="_Toc24733"/>
            <w:bookmarkStart w:id="391" w:name="_Toc11301"/>
            <w:r>
              <w:rPr>
                <w:rFonts w:hint="eastAsia" w:ascii="仿宋" w:hAnsi="仿宋" w:eastAsia="仿宋" w:cs="仿宋"/>
                <w:color w:val="auto"/>
                <w:spacing w:val="9"/>
                <w:sz w:val="31"/>
                <w:szCs w:val="31"/>
                <w:highlight w:val="none"/>
              </w:rPr>
              <w:t>分</w:t>
            </w:r>
            <w:r>
              <w:rPr>
                <w:rFonts w:hint="eastAsia" w:ascii="仿宋" w:hAnsi="仿宋" w:eastAsia="仿宋" w:cs="仿宋"/>
                <w:color w:val="auto"/>
                <w:spacing w:val="7"/>
                <w:sz w:val="31"/>
                <w:szCs w:val="31"/>
                <w:highlight w:val="none"/>
              </w:rPr>
              <w:t>包签证确认单</w:t>
            </w:r>
            <w:bookmarkEnd w:id="388"/>
            <w:bookmarkEnd w:id="389"/>
            <w:bookmarkEnd w:id="390"/>
            <w:bookmarkEnd w:id="391"/>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1CBB6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7A1BF163">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51577B6F">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5DE39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425AE49F">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6E8DD492">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279F3BE6">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458D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BF96742">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620B3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50373D3E">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778ECFF4">
                  <w:pPr>
                    <w:rPr>
                      <w:rFonts w:hint="eastAsia" w:ascii="仿宋" w:hAnsi="仿宋" w:eastAsia="仿宋" w:cs="仿宋"/>
                      <w:color w:val="auto"/>
                      <w:sz w:val="22"/>
                      <w:szCs w:val="22"/>
                      <w:highlight w:val="none"/>
                    </w:rPr>
                  </w:pPr>
                </w:p>
              </w:tc>
            </w:tr>
            <w:tr w14:paraId="7860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5796215E">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E690353">
                  <w:pPr>
                    <w:rPr>
                      <w:rFonts w:hint="eastAsia" w:ascii="仿宋" w:hAnsi="仿宋" w:eastAsia="仿宋" w:cs="仿宋"/>
                      <w:color w:val="auto"/>
                      <w:sz w:val="22"/>
                      <w:szCs w:val="22"/>
                      <w:highlight w:val="none"/>
                    </w:rPr>
                  </w:pPr>
                </w:p>
              </w:tc>
            </w:tr>
            <w:tr w14:paraId="23F42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1D7175FD">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281C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57F6DF85">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6FC5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42E4FBF">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71B417CF">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2FC0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66FA006E">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57AC6A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0A37FA70">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0F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26F9E9A">
                  <w:pPr>
                    <w:rPr>
                      <w:rFonts w:hint="eastAsia" w:ascii="仿宋" w:hAnsi="仿宋" w:eastAsia="仿宋" w:cs="仿宋"/>
                      <w:color w:val="auto"/>
                      <w:sz w:val="22"/>
                      <w:szCs w:val="22"/>
                      <w:highlight w:val="none"/>
                    </w:rPr>
                  </w:pPr>
                </w:p>
              </w:tc>
              <w:tc>
                <w:tcPr>
                  <w:tcW w:w="4872" w:type="dxa"/>
                  <w:gridSpan w:val="2"/>
                  <w:noWrap w:val="0"/>
                  <w:vAlign w:val="top"/>
                </w:tcPr>
                <w:p w14:paraId="230CE772">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44086C56">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14D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07131A8A">
                  <w:pPr>
                    <w:rPr>
                      <w:rFonts w:hint="eastAsia" w:ascii="仿宋" w:hAnsi="仿宋" w:eastAsia="仿宋" w:cs="仿宋"/>
                      <w:color w:val="auto"/>
                      <w:sz w:val="22"/>
                      <w:szCs w:val="22"/>
                      <w:highlight w:val="none"/>
                    </w:rPr>
                  </w:pPr>
                </w:p>
              </w:tc>
              <w:tc>
                <w:tcPr>
                  <w:tcW w:w="4872" w:type="dxa"/>
                  <w:gridSpan w:val="2"/>
                  <w:noWrap w:val="0"/>
                  <w:vAlign w:val="top"/>
                </w:tcPr>
                <w:p w14:paraId="6C319C0B">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737CA102">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10E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1D0C489C">
                  <w:pPr>
                    <w:rPr>
                      <w:rFonts w:hint="eastAsia" w:ascii="仿宋" w:hAnsi="仿宋" w:eastAsia="仿宋" w:cs="仿宋"/>
                      <w:color w:val="auto"/>
                      <w:sz w:val="22"/>
                      <w:szCs w:val="22"/>
                      <w:highlight w:val="none"/>
                    </w:rPr>
                  </w:pPr>
                </w:p>
              </w:tc>
              <w:tc>
                <w:tcPr>
                  <w:tcW w:w="4872" w:type="dxa"/>
                  <w:gridSpan w:val="2"/>
                  <w:noWrap w:val="0"/>
                  <w:vAlign w:val="top"/>
                </w:tcPr>
                <w:p w14:paraId="04321F97">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7614203E">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00D8E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26E68359">
                  <w:pPr>
                    <w:rPr>
                      <w:rFonts w:hint="eastAsia" w:ascii="仿宋" w:hAnsi="仿宋" w:eastAsia="仿宋" w:cs="仿宋"/>
                      <w:color w:val="auto"/>
                      <w:sz w:val="22"/>
                      <w:szCs w:val="22"/>
                      <w:highlight w:val="none"/>
                    </w:rPr>
                  </w:pPr>
                </w:p>
              </w:tc>
              <w:tc>
                <w:tcPr>
                  <w:tcW w:w="4872" w:type="dxa"/>
                  <w:gridSpan w:val="2"/>
                  <w:noWrap w:val="0"/>
                  <w:vAlign w:val="top"/>
                </w:tcPr>
                <w:p w14:paraId="06C09DE4">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1B50A549">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5B18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1558BC7">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744623E2">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4A8E0965">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89B1C6F">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25153156">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0D6B10E5">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5036732D">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1212BED2">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p>
    <w:p w14:paraId="70FBBEFF">
      <w:pPr>
        <w:pStyle w:val="14"/>
        <w:tabs>
          <w:tab w:val="clear" w:pos="-116"/>
          <w:tab w:val="clear" w:pos="420"/>
        </w:tabs>
        <w:rPr>
          <w:rFonts w:hint="eastAsia" w:ascii="仿宋" w:hAnsi="仿宋" w:eastAsia="仿宋" w:cs="仿宋"/>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6D04EE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0A4C84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450E6116">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2D8830A1">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6984F9A">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67847C4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752AC07E">
            <w:pPr>
              <w:jc w:val="center"/>
              <w:rPr>
                <w:rFonts w:hint="eastAsia" w:ascii="仿宋" w:hAnsi="仿宋" w:eastAsia="仿宋" w:cs="仿宋"/>
                <w:b w:val="0"/>
                <w:bCs/>
                <w:color w:val="auto"/>
                <w:sz w:val="21"/>
                <w:szCs w:val="21"/>
                <w:highlight w:val="none"/>
                <w:lang w:eastAsia="zh-CN"/>
              </w:rPr>
            </w:pPr>
          </w:p>
        </w:tc>
      </w:tr>
      <w:tr w14:paraId="1EDB2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71BA85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6F866CE6">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4111B44">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7A1578A6">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1F33AD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7F9F03ED">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5473FB70">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703698BF">
            <w:pPr>
              <w:jc w:val="center"/>
              <w:rPr>
                <w:rFonts w:hint="eastAsia" w:ascii="仿宋" w:hAnsi="仿宋" w:eastAsia="仿宋" w:cs="仿宋"/>
                <w:b w:val="0"/>
                <w:bCs/>
                <w:color w:val="auto"/>
                <w:sz w:val="21"/>
                <w:szCs w:val="21"/>
                <w:highlight w:val="none"/>
                <w:lang w:eastAsia="zh-CN"/>
              </w:rPr>
            </w:pPr>
          </w:p>
        </w:tc>
      </w:tr>
      <w:tr w14:paraId="6F575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029A8D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29365BDB">
            <w:pPr>
              <w:jc w:val="left"/>
              <w:rPr>
                <w:rFonts w:hint="eastAsia" w:ascii="仿宋" w:hAnsi="仿宋" w:eastAsia="仿宋" w:cs="仿宋"/>
                <w:b w:val="0"/>
                <w:bCs/>
                <w:color w:val="auto"/>
                <w:sz w:val="21"/>
                <w:szCs w:val="21"/>
                <w:highlight w:val="none"/>
                <w:lang w:eastAsia="zh-CN"/>
              </w:rPr>
            </w:pPr>
          </w:p>
        </w:tc>
      </w:tr>
      <w:tr w14:paraId="2CD11D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E9157D5">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7D4166DF">
            <w:pPr>
              <w:jc w:val="left"/>
              <w:rPr>
                <w:rFonts w:hint="eastAsia" w:ascii="仿宋" w:hAnsi="仿宋" w:eastAsia="仿宋" w:cs="仿宋"/>
                <w:b w:val="0"/>
                <w:bCs/>
                <w:color w:val="auto"/>
                <w:sz w:val="21"/>
                <w:szCs w:val="21"/>
                <w:highlight w:val="none"/>
                <w:lang w:eastAsia="zh-CN"/>
              </w:rPr>
            </w:pPr>
          </w:p>
        </w:tc>
      </w:tr>
      <w:tr w14:paraId="281710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BB612CD">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1CB74761">
            <w:pPr>
              <w:jc w:val="left"/>
              <w:rPr>
                <w:rFonts w:hint="eastAsia" w:ascii="仿宋" w:hAnsi="仿宋" w:eastAsia="仿宋" w:cs="仿宋"/>
                <w:b w:val="0"/>
                <w:bCs/>
                <w:color w:val="auto"/>
                <w:sz w:val="21"/>
                <w:szCs w:val="21"/>
                <w:highlight w:val="none"/>
                <w:lang w:eastAsia="zh-CN"/>
              </w:rPr>
            </w:pPr>
          </w:p>
        </w:tc>
      </w:tr>
      <w:tr w14:paraId="577B7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710F017">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7FD3E716">
            <w:pPr>
              <w:jc w:val="left"/>
              <w:rPr>
                <w:rFonts w:hint="eastAsia" w:ascii="仿宋" w:hAnsi="仿宋" w:eastAsia="仿宋" w:cs="仿宋"/>
                <w:b w:val="0"/>
                <w:bCs/>
                <w:color w:val="auto"/>
                <w:sz w:val="21"/>
                <w:szCs w:val="21"/>
                <w:highlight w:val="none"/>
                <w:lang w:eastAsia="zh-CN"/>
              </w:rPr>
            </w:pPr>
          </w:p>
        </w:tc>
      </w:tr>
      <w:tr w14:paraId="259CB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B4C692">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1C2EE6B2">
            <w:pPr>
              <w:jc w:val="left"/>
              <w:rPr>
                <w:rFonts w:hint="eastAsia" w:ascii="仿宋" w:hAnsi="仿宋" w:eastAsia="仿宋" w:cs="仿宋"/>
                <w:b w:val="0"/>
                <w:bCs/>
                <w:color w:val="auto"/>
                <w:sz w:val="21"/>
                <w:szCs w:val="21"/>
                <w:highlight w:val="none"/>
                <w:lang w:eastAsia="zh-CN"/>
              </w:rPr>
            </w:pPr>
          </w:p>
        </w:tc>
      </w:tr>
      <w:tr w14:paraId="174169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59B6D7FD">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00E0F750">
            <w:pPr>
              <w:ind w:right="284"/>
              <w:jc w:val="left"/>
              <w:rPr>
                <w:rFonts w:hint="eastAsia" w:ascii="仿宋" w:hAnsi="仿宋" w:eastAsia="仿宋" w:cs="仿宋"/>
                <w:b w:val="0"/>
                <w:bCs/>
                <w:color w:val="auto"/>
                <w:sz w:val="21"/>
                <w:szCs w:val="21"/>
                <w:highlight w:val="none"/>
              </w:rPr>
            </w:pPr>
          </w:p>
          <w:p w14:paraId="78480B48">
            <w:pPr>
              <w:ind w:right="284"/>
              <w:jc w:val="left"/>
              <w:rPr>
                <w:rFonts w:hint="eastAsia" w:ascii="仿宋" w:hAnsi="仿宋" w:eastAsia="仿宋" w:cs="仿宋"/>
                <w:b w:val="0"/>
                <w:bCs/>
                <w:color w:val="auto"/>
                <w:sz w:val="21"/>
                <w:szCs w:val="21"/>
                <w:highlight w:val="none"/>
              </w:rPr>
            </w:pPr>
          </w:p>
          <w:p w14:paraId="2D786826">
            <w:pPr>
              <w:ind w:right="284"/>
              <w:jc w:val="left"/>
              <w:rPr>
                <w:rFonts w:hint="eastAsia" w:ascii="仿宋" w:hAnsi="仿宋" w:eastAsia="仿宋" w:cs="仿宋"/>
                <w:b w:val="0"/>
                <w:bCs/>
                <w:color w:val="auto"/>
                <w:sz w:val="21"/>
                <w:szCs w:val="21"/>
                <w:highlight w:val="none"/>
              </w:rPr>
            </w:pPr>
          </w:p>
          <w:p w14:paraId="1A0B31DF">
            <w:pPr>
              <w:ind w:right="284"/>
              <w:jc w:val="left"/>
              <w:rPr>
                <w:rFonts w:hint="eastAsia" w:ascii="仿宋" w:hAnsi="仿宋" w:eastAsia="仿宋" w:cs="仿宋"/>
                <w:b w:val="0"/>
                <w:bCs/>
                <w:color w:val="auto"/>
                <w:sz w:val="21"/>
                <w:szCs w:val="21"/>
                <w:highlight w:val="none"/>
              </w:rPr>
            </w:pPr>
          </w:p>
          <w:p w14:paraId="22063F42">
            <w:pPr>
              <w:ind w:right="284"/>
              <w:jc w:val="left"/>
              <w:rPr>
                <w:rFonts w:hint="eastAsia" w:ascii="仿宋" w:hAnsi="仿宋" w:eastAsia="仿宋" w:cs="仿宋"/>
                <w:b w:val="0"/>
                <w:bCs/>
                <w:color w:val="auto"/>
                <w:sz w:val="21"/>
                <w:szCs w:val="21"/>
                <w:highlight w:val="none"/>
              </w:rPr>
            </w:pPr>
          </w:p>
          <w:p w14:paraId="42229F45">
            <w:pPr>
              <w:ind w:right="284"/>
              <w:jc w:val="left"/>
              <w:rPr>
                <w:rFonts w:hint="eastAsia" w:ascii="仿宋" w:hAnsi="仿宋" w:eastAsia="仿宋" w:cs="仿宋"/>
                <w:b w:val="0"/>
                <w:bCs/>
                <w:color w:val="auto"/>
                <w:sz w:val="21"/>
                <w:szCs w:val="21"/>
                <w:highlight w:val="none"/>
              </w:rPr>
            </w:pPr>
          </w:p>
          <w:p w14:paraId="6EACE319">
            <w:pPr>
              <w:ind w:right="284"/>
              <w:jc w:val="left"/>
              <w:rPr>
                <w:rFonts w:hint="eastAsia" w:ascii="仿宋" w:hAnsi="仿宋" w:eastAsia="仿宋" w:cs="仿宋"/>
                <w:b w:val="0"/>
                <w:bCs/>
                <w:color w:val="auto"/>
                <w:sz w:val="21"/>
                <w:szCs w:val="21"/>
                <w:highlight w:val="none"/>
              </w:rPr>
            </w:pPr>
          </w:p>
          <w:p w14:paraId="15A27A54">
            <w:pPr>
              <w:ind w:right="284"/>
              <w:jc w:val="left"/>
              <w:rPr>
                <w:rFonts w:hint="eastAsia" w:ascii="仿宋" w:hAnsi="仿宋" w:eastAsia="仿宋" w:cs="仿宋"/>
                <w:b w:val="0"/>
                <w:bCs/>
                <w:color w:val="auto"/>
                <w:sz w:val="21"/>
                <w:szCs w:val="21"/>
                <w:highlight w:val="none"/>
              </w:rPr>
            </w:pPr>
          </w:p>
          <w:p w14:paraId="3EE9B32D">
            <w:pPr>
              <w:ind w:right="284"/>
              <w:jc w:val="left"/>
              <w:rPr>
                <w:rFonts w:hint="eastAsia" w:ascii="仿宋" w:hAnsi="仿宋" w:eastAsia="仿宋" w:cs="仿宋"/>
                <w:b w:val="0"/>
                <w:bCs/>
                <w:color w:val="auto"/>
                <w:sz w:val="21"/>
                <w:szCs w:val="21"/>
                <w:highlight w:val="none"/>
              </w:rPr>
            </w:pPr>
          </w:p>
          <w:p w14:paraId="408FA85A">
            <w:pPr>
              <w:ind w:right="284"/>
              <w:jc w:val="left"/>
              <w:rPr>
                <w:rFonts w:hint="eastAsia" w:ascii="仿宋" w:hAnsi="仿宋" w:eastAsia="仿宋" w:cs="仿宋"/>
                <w:b w:val="0"/>
                <w:bCs/>
                <w:color w:val="auto"/>
                <w:sz w:val="21"/>
                <w:szCs w:val="21"/>
                <w:highlight w:val="none"/>
              </w:rPr>
            </w:pPr>
          </w:p>
          <w:p w14:paraId="3DC7243D">
            <w:pPr>
              <w:ind w:right="284"/>
              <w:jc w:val="left"/>
              <w:rPr>
                <w:rFonts w:hint="eastAsia" w:ascii="仿宋" w:hAnsi="仿宋" w:eastAsia="仿宋" w:cs="仿宋"/>
                <w:b w:val="0"/>
                <w:bCs/>
                <w:color w:val="auto"/>
                <w:sz w:val="21"/>
                <w:szCs w:val="21"/>
                <w:highlight w:val="none"/>
              </w:rPr>
            </w:pPr>
          </w:p>
          <w:p w14:paraId="0D0B97BC">
            <w:pPr>
              <w:ind w:right="284"/>
              <w:jc w:val="left"/>
              <w:rPr>
                <w:rFonts w:hint="eastAsia" w:ascii="仿宋" w:hAnsi="仿宋" w:eastAsia="仿宋" w:cs="仿宋"/>
                <w:b w:val="0"/>
                <w:bCs/>
                <w:color w:val="auto"/>
                <w:sz w:val="21"/>
                <w:szCs w:val="21"/>
                <w:highlight w:val="none"/>
              </w:rPr>
            </w:pPr>
          </w:p>
          <w:p w14:paraId="25503621">
            <w:pPr>
              <w:ind w:right="284"/>
              <w:jc w:val="left"/>
              <w:rPr>
                <w:rFonts w:hint="eastAsia" w:ascii="仿宋" w:hAnsi="仿宋" w:eastAsia="仿宋" w:cs="仿宋"/>
                <w:b w:val="0"/>
                <w:bCs/>
                <w:color w:val="auto"/>
                <w:sz w:val="21"/>
                <w:szCs w:val="21"/>
                <w:highlight w:val="none"/>
              </w:rPr>
            </w:pPr>
          </w:p>
          <w:p w14:paraId="35013C75">
            <w:pPr>
              <w:ind w:right="284"/>
              <w:jc w:val="left"/>
              <w:rPr>
                <w:rFonts w:hint="eastAsia" w:ascii="仿宋" w:hAnsi="仿宋" w:eastAsia="仿宋" w:cs="仿宋"/>
                <w:b w:val="0"/>
                <w:bCs/>
                <w:color w:val="auto"/>
                <w:sz w:val="21"/>
                <w:szCs w:val="21"/>
                <w:highlight w:val="none"/>
              </w:rPr>
            </w:pPr>
          </w:p>
          <w:p w14:paraId="6B7DB48A">
            <w:pPr>
              <w:ind w:right="284"/>
              <w:jc w:val="left"/>
              <w:rPr>
                <w:rFonts w:hint="eastAsia" w:ascii="仿宋" w:hAnsi="仿宋" w:eastAsia="仿宋" w:cs="仿宋"/>
                <w:b w:val="0"/>
                <w:bCs/>
                <w:color w:val="auto"/>
                <w:sz w:val="21"/>
                <w:szCs w:val="21"/>
                <w:highlight w:val="none"/>
              </w:rPr>
            </w:pPr>
          </w:p>
          <w:p w14:paraId="2989EAEF">
            <w:pPr>
              <w:ind w:right="284"/>
              <w:jc w:val="left"/>
              <w:rPr>
                <w:rFonts w:hint="eastAsia" w:ascii="仿宋" w:hAnsi="仿宋" w:eastAsia="仿宋" w:cs="仿宋"/>
                <w:b w:val="0"/>
                <w:bCs/>
                <w:color w:val="auto"/>
                <w:sz w:val="21"/>
                <w:szCs w:val="21"/>
                <w:highlight w:val="none"/>
              </w:rPr>
            </w:pPr>
          </w:p>
          <w:p w14:paraId="1D8E8B53">
            <w:pPr>
              <w:ind w:right="284"/>
              <w:jc w:val="left"/>
              <w:rPr>
                <w:rFonts w:hint="eastAsia" w:ascii="仿宋" w:hAnsi="仿宋" w:eastAsia="仿宋" w:cs="仿宋"/>
                <w:b w:val="0"/>
                <w:bCs/>
                <w:color w:val="auto"/>
                <w:sz w:val="21"/>
                <w:szCs w:val="21"/>
                <w:highlight w:val="none"/>
              </w:rPr>
            </w:pPr>
          </w:p>
          <w:p w14:paraId="0904A586">
            <w:pPr>
              <w:rPr>
                <w:rFonts w:hint="eastAsia" w:ascii="仿宋" w:hAnsi="仿宋" w:eastAsia="仿宋" w:cs="仿宋"/>
                <w:b w:val="0"/>
                <w:bCs/>
                <w:color w:val="auto"/>
                <w:sz w:val="21"/>
                <w:szCs w:val="21"/>
                <w:highlight w:val="none"/>
              </w:rPr>
            </w:pPr>
          </w:p>
          <w:p w14:paraId="31CE7A2B">
            <w:pPr>
              <w:ind w:right="284"/>
              <w:jc w:val="left"/>
              <w:rPr>
                <w:rFonts w:hint="eastAsia" w:ascii="仿宋" w:hAnsi="仿宋" w:eastAsia="仿宋" w:cs="仿宋"/>
                <w:b w:val="0"/>
                <w:bCs/>
                <w:color w:val="auto"/>
                <w:sz w:val="21"/>
                <w:szCs w:val="21"/>
                <w:highlight w:val="none"/>
              </w:rPr>
            </w:pPr>
          </w:p>
        </w:tc>
      </w:tr>
      <w:tr w14:paraId="6904A1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7D3F0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8D343A5">
            <w:pPr>
              <w:ind w:right="284"/>
              <w:jc w:val="left"/>
              <w:rPr>
                <w:rFonts w:hint="eastAsia" w:ascii="仿宋" w:hAnsi="仿宋" w:eastAsia="仿宋" w:cs="仿宋"/>
                <w:b/>
                <w:color w:val="auto"/>
                <w:sz w:val="21"/>
                <w:szCs w:val="21"/>
                <w:highlight w:val="none"/>
              </w:rPr>
            </w:pPr>
          </w:p>
        </w:tc>
      </w:tr>
      <w:tr w14:paraId="5F973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1A15308">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341E6367">
            <w:pPr>
              <w:ind w:right="284"/>
              <w:jc w:val="left"/>
              <w:rPr>
                <w:rFonts w:hint="eastAsia" w:ascii="仿宋" w:hAnsi="仿宋" w:eastAsia="仿宋" w:cs="仿宋"/>
                <w:b/>
                <w:color w:val="auto"/>
                <w:sz w:val="21"/>
                <w:szCs w:val="21"/>
                <w:highlight w:val="none"/>
              </w:rPr>
            </w:pPr>
          </w:p>
        </w:tc>
      </w:tr>
      <w:tr w14:paraId="409A7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77864BD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BA90BD9">
            <w:pPr>
              <w:ind w:right="284"/>
              <w:jc w:val="left"/>
              <w:rPr>
                <w:rFonts w:hint="eastAsia" w:ascii="仿宋" w:hAnsi="仿宋" w:eastAsia="仿宋" w:cs="仿宋"/>
                <w:b/>
                <w:color w:val="auto"/>
                <w:sz w:val="21"/>
                <w:szCs w:val="21"/>
                <w:highlight w:val="none"/>
              </w:rPr>
            </w:pPr>
          </w:p>
        </w:tc>
      </w:tr>
      <w:tr w14:paraId="184007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5B0C515C">
            <w:pP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29C53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BC27C5C">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673A2AE9">
            <w:pPr>
              <w:ind w:right="284"/>
              <w:jc w:val="left"/>
              <w:rPr>
                <w:rFonts w:hint="eastAsia" w:ascii="仿宋" w:hAnsi="仿宋" w:eastAsia="仿宋" w:cs="仿宋"/>
                <w:b/>
                <w:color w:val="auto"/>
                <w:sz w:val="21"/>
                <w:szCs w:val="21"/>
                <w:highlight w:val="none"/>
              </w:rPr>
            </w:pPr>
          </w:p>
        </w:tc>
      </w:tr>
      <w:tr w14:paraId="3AF045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812C74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2CE70D39">
            <w:pPr>
              <w:ind w:right="284"/>
              <w:jc w:val="left"/>
              <w:rPr>
                <w:rFonts w:hint="eastAsia" w:ascii="仿宋" w:hAnsi="仿宋" w:eastAsia="仿宋" w:cs="仿宋"/>
                <w:b/>
                <w:color w:val="auto"/>
                <w:sz w:val="21"/>
                <w:szCs w:val="21"/>
                <w:highlight w:val="none"/>
              </w:rPr>
            </w:pPr>
          </w:p>
        </w:tc>
      </w:tr>
      <w:tr w14:paraId="1BD8A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4ED17B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D1D056B">
            <w:pPr>
              <w:ind w:right="284"/>
              <w:jc w:val="left"/>
              <w:rPr>
                <w:rFonts w:hint="eastAsia" w:ascii="仿宋" w:hAnsi="仿宋" w:eastAsia="仿宋" w:cs="仿宋"/>
                <w:b/>
                <w:color w:val="auto"/>
                <w:sz w:val="21"/>
                <w:szCs w:val="21"/>
                <w:highlight w:val="none"/>
              </w:rPr>
            </w:pPr>
          </w:p>
        </w:tc>
      </w:tr>
      <w:tr w14:paraId="44F86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0BCAD2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A72DA42">
            <w:pPr>
              <w:ind w:right="284"/>
              <w:jc w:val="left"/>
              <w:rPr>
                <w:rFonts w:hint="eastAsia" w:ascii="仿宋" w:hAnsi="仿宋" w:eastAsia="仿宋" w:cs="仿宋"/>
                <w:b/>
                <w:color w:val="auto"/>
                <w:sz w:val="21"/>
                <w:szCs w:val="21"/>
                <w:highlight w:val="none"/>
              </w:rPr>
            </w:pPr>
          </w:p>
        </w:tc>
      </w:tr>
    </w:tbl>
    <w:p w14:paraId="294969EB">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92" w:name="_Toc31438"/>
      <w:bookmarkStart w:id="393" w:name="_Toc4826"/>
      <w:bookmarkStart w:id="394" w:name="_Toc17624"/>
      <w:bookmarkStart w:id="395" w:name="_Toc12351"/>
      <w:r>
        <w:rPr>
          <w:rFonts w:hint="eastAsia" w:ascii="仿宋" w:hAnsi="仿宋" w:eastAsia="仿宋" w:cs="仿宋"/>
          <w:b/>
          <w:bCs w:val="0"/>
          <w:color w:val="auto"/>
          <w:sz w:val="40"/>
          <w:szCs w:val="40"/>
          <w:highlight w:val="none"/>
          <w:shd w:val="clear" w:color="auto" w:fill="auto"/>
          <w:lang w:val="en-US" w:eastAsia="zh-CN"/>
        </w:rPr>
        <w:t>附件十</w:t>
      </w:r>
      <w:bookmarkEnd w:id="392"/>
      <w:bookmarkEnd w:id="393"/>
      <w:bookmarkEnd w:id="394"/>
      <w:bookmarkEnd w:id="395"/>
    </w:p>
    <w:p w14:paraId="77FF522E">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90D4E2D">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r>
        <w:rPr>
          <w:rFonts w:hint="eastAsia" w:ascii="仿宋" w:hAnsi="仿宋" w:eastAsia="仿宋" w:cs="仿宋"/>
          <w:snapToGrid w:val="0"/>
          <w:color w:val="auto"/>
          <w:spacing w:val="11"/>
          <w:kern w:val="0"/>
          <w:sz w:val="31"/>
          <w:szCs w:val="31"/>
          <w:highlight w:val="none"/>
        </w:rPr>
        <w:t>签</w:t>
      </w:r>
      <w:r>
        <w:rPr>
          <w:rFonts w:hint="eastAsia" w:ascii="仿宋" w:hAnsi="仿宋" w:eastAsia="仿宋" w:cs="仿宋"/>
          <w:snapToGrid w:val="0"/>
          <w:color w:val="auto"/>
          <w:spacing w:val="6"/>
          <w:kern w:val="0"/>
          <w:sz w:val="31"/>
          <w:szCs w:val="31"/>
          <w:highlight w:val="none"/>
        </w:rPr>
        <w:t>证单分包说明</w:t>
      </w:r>
    </w:p>
    <w:p w14:paraId="6FE4E0AE">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p>
    <w:p w14:paraId="35E2BB98">
      <w:pPr>
        <w:widowControl/>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14E7B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068634E5">
            <w:pPr>
              <w:widowControl/>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noWrap w:val="0"/>
            <w:vAlign w:val="top"/>
          </w:tcPr>
          <w:p w14:paraId="5EB1F160">
            <w:pPr>
              <w:widowControl/>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noWrap w:val="0"/>
            <w:vAlign w:val="top"/>
          </w:tcPr>
          <w:p w14:paraId="2A2AF916">
            <w:pPr>
              <w:widowControl/>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noWrap w:val="0"/>
            <w:vAlign w:val="top"/>
          </w:tcPr>
          <w:p w14:paraId="37553771">
            <w:pPr>
              <w:widowControl/>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14:paraId="1A59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5B0D6B36">
            <w:pPr>
              <w:widowControl/>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14:paraId="497D4B9D">
            <w:pPr>
              <w:widowControl/>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14:paraId="4AA0CC0D">
            <w:pPr>
              <w:widowControl/>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7F74CAB">
            <w:pPr>
              <w:widowControl/>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66CEDAC">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14:paraId="2BD8297A">
            <w:pPr>
              <w:widowControl/>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F806567">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14:paraId="0CDE010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02C6A03">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797037C8">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3711411B">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A605C8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1A2632D2">
      <w:pPr>
        <w:widowControl/>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14:paraId="547555C0">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6C21603B">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7E2230C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B4D748D">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8AAF330">
      <w:pPr>
        <w:widowControl/>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14:paraId="316CF2DF">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4908B8E3">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536C6CCB">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964E6A0">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04E2992">
      <w:pPr>
        <w:widowControl/>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14:paraId="2E6296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EBFB86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E1D15D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457D2D">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A5B6CCA">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24DE69">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96" w:name="_Toc8770"/>
      <w:bookmarkStart w:id="397" w:name="_Toc30613"/>
      <w:bookmarkStart w:id="398" w:name="_Toc24467"/>
      <w:bookmarkStart w:id="399" w:name="_Toc25372"/>
      <w:r>
        <w:rPr>
          <w:rFonts w:hint="eastAsia" w:ascii="仿宋" w:hAnsi="仿宋" w:eastAsia="仿宋" w:cs="仿宋"/>
          <w:b/>
          <w:bCs w:val="0"/>
          <w:color w:val="auto"/>
          <w:sz w:val="40"/>
          <w:szCs w:val="40"/>
          <w:highlight w:val="none"/>
          <w:shd w:val="clear" w:color="auto" w:fill="auto"/>
          <w:lang w:val="en-US" w:eastAsia="zh-CN"/>
        </w:rPr>
        <w:t>附件十</w:t>
      </w:r>
      <w:bookmarkEnd w:id="396"/>
      <w:bookmarkEnd w:id="397"/>
      <w:bookmarkEnd w:id="398"/>
      <w:bookmarkEnd w:id="399"/>
      <w:r>
        <w:rPr>
          <w:rFonts w:hint="eastAsia" w:ascii="仿宋" w:hAnsi="仿宋" w:eastAsia="仿宋" w:cs="仿宋"/>
          <w:b/>
          <w:bCs w:val="0"/>
          <w:color w:val="auto"/>
          <w:sz w:val="40"/>
          <w:szCs w:val="40"/>
          <w:highlight w:val="none"/>
          <w:shd w:val="clear" w:color="auto" w:fill="auto"/>
          <w:lang w:val="en-US" w:eastAsia="zh-CN"/>
        </w:rPr>
        <w:t>一</w:t>
      </w:r>
    </w:p>
    <w:p w14:paraId="77C32AD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hint="eastAsia" w:ascii="仿宋" w:hAnsi="仿宋" w:eastAsia="仿宋" w:cs="仿宋"/>
          <w:snapToGrid w:val="0"/>
          <w:color w:val="auto"/>
          <w:spacing w:val="10"/>
          <w:kern w:val="0"/>
          <w:sz w:val="31"/>
          <w:szCs w:val="31"/>
          <w:highlight w:val="none"/>
        </w:rPr>
        <w:t>工</w:t>
      </w:r>
      <w:r>
        <w:rPr>
          <w:rFonts w:hint="eastAsia" w:ascii="仿宋" w:hAnsi="仿宋" w:eastAsia="仿宋" w:cs="仿宋"/>
          <w:snapToGrid w:val="0"/>
          <w:color w:val="auto"/>
          <w:spacing w:val="8"/>
          <w:kern w:val="0"/>
          <w:sz w:val="31"/>
          <w:szCs w:val="31"/>
          <w:highlight w:val="none"/>
        </w:rPr>
        <w:t>程量现场草签记录表</w:t>
      </w:r>
    </w:p>
    <w:p w14:paraId="40B30984">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4E7AF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61C360AA">
            <w:pPr>
              <w:widowControl/>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D43B3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21A2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6265950E">
            <w:pPr>
              <w:widowControl/>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承</w:t>
            </w:r>
            <w:r>
              <w:rPr>
                <w:rFonts w:hint="eastAsia" w:ascii="仿宋" w:hAnsi="仿宋" w:eastAsia="仿宋" w:cs="仿宋"/>
                <w:snapToGrid w:val="0"/>
                <w:color w:val="auto"/>
                <w:spacing w:val="5"/>
                <w:kern w:val="0"/>
                <w:sz w:val="23"/>
                <w:szCs w:val="23"/>
                <w:highlight w:val="none"/>
              </w:rPr>
              <w:t>包方</w:t>
            </w:r>
          </w:p>
        </w:tc>
        <w:tc>
          <w:tcPr>
            <w:tcW w:w="3628" w:type="dxa"/>
            <w:gridSpan w:val="2"/>
            <w:noWrap w:val="0"/>
            <w:vAlign w:val="top"/>
          </w:tcPr>
          <w:p w14:paraId="55DE62D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6A040875">
            <w:pPr>
              <w:widowControl/>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990" w:type="dxa"/>
            <w:gridSpan w:val="3"/>
            <w:noWrap w:val="0"/>
            <w:vAlign w:val="top"/>
          </w:tcPr>
          <w:p w14:paraId="5140AE1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40134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3702D3C2">
            <w:pPr>
              <w:widowControl/>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分</w:t>
            </w:r>
            <w:r>
              <w:rPr>
                <w:rFonts w:hint="eastAsia" w:ascii="仿宋" w:hAnsi="仿宋" w:eastAsia="仿宋" w:cs="仿宋"/>
                <w:snapToGrid w:val="0"/>
                <w:color w:val="auto"/>
                <w:spacing w:val="4"/>
                <w:kern w:val="0"/>
                <w:sz w:val="23"/>
                <w:szCs w:val="23"/>
                <w:highlight w:val="none"/>
              </w:rPr>
              <w:t>包方</w:t>
            </w:r>
          </w:p>
        </w:tc>
        <w:tc>
          <w:tcPr>
            <w:tcW w:w="3628" w:type="dxa"/>
            <w:gridSpan w:val="2"/>
            <w:noWrap w:val="0"/>
            <w:vAlign w:val="top"/>
          </w:tcPr>
          <w:p w14:paraId="35AAAA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4A5102F9">
            <w:pPr>
              <w:widowControl/>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原</w:t>
            </w:r>
            <w:r>
              <w:rPr>
                <w:rFonts w:hint="eastAsia" w:ascii="仿宋" w:hAnsi="仿宋" w:eastAsia="仿宋" w:cs="仿宋"/>
                <w:snapToGrid w:val="0"/>
                <w:color w:val="auto"/>
                <w:kern w:val="0"/>
                <w:sz w:val="23"/>
                <w:szCs w:val="23"/>
                <w:highlight w:val="none"/>
              </w:rPr>
              <w:t>因</w:t>
            </w:r>
          </w:p>
        </w:tc>
        <w:tc>
          <w:tcPr>
            <w:tcW w:w="2990" w:type="dxa"/>
            <w:gridSpan w:val="3"/>
            <w:noWrap w:val="0"/>
            <w:vAlign w:val="top"/>
          </w:tcPr>
          <w:p w14:paraId="17EA338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4CDE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4294AE">
            <w:pPr>
              <w:widowControl/>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noWrap w:val="0"/>
            <w:vAlign w:val="top"/>
          </w:tcPr>
          <w:p w14:paraId="7DC1A615">
            <w:pPr>
              <w:widowControl/>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noWrap w:val="0"/>
            <w:vAlign w:val="top"/>
          </w:tcPr>
          <w:p w14:paraId="40F064E5">
            <w:pPr>
              <w:widowControl/>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noWrap w:val="0"/>
            <w:vAlign w:val="top"/>
          </w:tcPr>
          <w:p w14:paraId="10E88B7F">
            <w:pPr>
              <w:widowControl/>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noWrap w:val="0"/>
            <w:vAlign w:val="top"/>
          </w:tcPr>
          <w:p w14:paraId="50073187">
            <w:pPr>
              <w:widowControl/>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14:paraId="5FFB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951C4F9">
            <w:pPr>
              <w:widowControl/>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noWrap w:val="0"/>
            <w:vAlign w:val="top"/>
          </w:tcPr>
          <w:p w14:paraId="507B42F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9FE73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5B47AD66">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8F2661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1EE50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96E82EB">
            <w:pPr>
              <w:widowControl/>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noWrap w:val="0"/>
            <w:vAlign w:val="top"/>
          </w:tcPr>
          <w:p w14:paraId="55CD993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EC61E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3BBD9B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457DF5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7977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A6BFF27">
            <w:pPr>
              <w:widowControl/>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noWrap w:val="0"/>
            <w:vAlign w:val="top"/>
          </w:tcPr>
          <w:p w14:paraId="3E2B24B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679530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4DCD8A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5B7B94F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ACB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BF8D0B">
            <w:pPr>
              <w:widowControl/>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noWrap w:val="0"/>
            <w:vAlign w:val="top"/>
          </w:tcPr>
          <w:p w14:paraId="6B7EA4F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D51200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1B2B43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598AF0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D13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895B0E">
            <w:pPr>
              <w:widowControl/>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noWrap w:val="0"/>
            <w:vAlign w:val="top"/>
          </w:tcPr>
          <w:p w14:paraId="42A2C1C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002D4E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B09C82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85214C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DE17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02BA1DA">
            <w:pPr>
              <w:widowControl/>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noWrap w:val="0"/>
            <w:vAlign w:val="top"/>
          </w:tcPr>
          <w:p w14:paraId="7271F7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3B1A309">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D44C95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2EAA9B1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466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BCFD64E">
            <w:pPr>
              <w:widowControl/>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noWrap w:val="0"/>
            <w:vAlign w:val="top"/>
          </w:tcPr>
          <w:p w14:paraId="50ADD93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CE924C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643820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45C2BB8E">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406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D0801C">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noWrap w:val="0"/>
            <w:vAlign w:val="top"/>
          </w:tcPr>
          <w:p w14:paraId="62922BA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1268F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582E88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3C1A9C0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DFA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B9E8977">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noWrap w:val="0"/>
            <w:vAlign w:val="top"/>
          </w:tcPr>
          <w:p w14:paraId="27F006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02D2B1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FF1788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7A10B6EA">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3FFB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A71C1C">
            <w:pPr>
              <w:widowControl/>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noWrap w:val="0"/>
            <w:vAlign w:val="top"/>
          </w:tcPr>
          <w:p w14:paraId="5985A41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AF51A7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55DF27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D2BEAF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680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7F11ADD">
            <w:pPr>
              <w:widowControl/>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noWrap w:val="0"/>
            <w:vAlign w:val="top"/>
          </w:tcPr>
          <w:p w14:paraId="7D0243E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80971B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BA50AD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6A4FBD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527C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7F61E36">
            <w:pPr>
              <w:widowControl/>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noWrap w:val="0"/>
            <w:vAlign w:val="top"/>
          </w:tcPr>
          <w:p w14:paraId="08B8C49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D83BC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EE4A52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937F72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56D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270C5C23">
            <w:pPr>
              <w:widowControl/>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分</w:t>
            </w:r>
            <w:r>
              <w:rPr>
                <w:rFonts w:hint="eastAsia"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720633E4">
            <w:pPr>
              <w:widowControl/>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rPr>
              <w:t>承</w:t>
            </w:r>
            <w:r>
              <w:rPr>
                <w:rFonts w:hint="eastAsia"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6F497CA">
            <w:pPr>
              <w:widowControl/>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其它</w:t>
            </w:r>
          </w:p>
        </w:tc>
      </w:tr>
      <w:tr w14:paraId="5349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7B41897">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1F60143">
            <w:pPr>
              <w:widowControl/>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noWrap w:val="0"/>
            <w:vAlign w:val="top"/>
          </w:tcPr>
          <w:p w14:paraId="5D21C256">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8B2860F">
            <w:pPr>
              <w:widowControl/>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14:paraId="04DB0208">
            <w:pPr>
              <w:widowControl/>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14:paraId="4E959302">
            <w:pPr>
              <w:widowControl/>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14:paraId="60A3762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3C1DA6B1">
            <w:pPr>
              <w:widowControl/>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7704EBD5">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0DB2D5F3">
            <w:pPr>
              <w:widowControl/>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14:paraId="572E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9B14C91">
            <w:pPr>
              <w:widowControl/>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0B94FFF7">
            <w:pPr>
              <w:widowControl/>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EAC556E">
            <w:pPr>
              <w:widowControl/>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14:paraId="0766F2A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DD59D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00" w:name="_Toc10964"/>
      <w:bookmarkStart w:id="401" w:name="_Toc28763"/>
      <w:bookmarkStart w:id="402" w:name="_Toc9549"/>
      <w:bookmarkStart w:id="403" w:name="_Toc25617"/>
    </w:p>
    <w:p w14:paraId="196B3CB8">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w:t>
      </w:r>
      <w:bookmarkEnd w:id="400"/>
      <w:bookmarkEnd w:id="401"/>
      <w:bookmarkEnd w:id="402"/>
      <w:bookmarkEnd w:id="403"/>
      <w:r>
        <w:rPr>
          <w:rFonts w:hint="eastAsia" w:ascii="仿宋" w:hAnsi="仿宋" w:eastAsia="仿宋" w:cs="仿宋"/>
          <w:b/>
          <w:bCs w:val="0"/>
          <w:color w:val="auto"/>
          <w:sz w:val="40"/>
          <w:szCs w:val="40"/>
          <w:highlight w:val="none"/>
          <w:shd w:val="clear" w:color="auto" w:fill="auto"/>
          <w:lang w:val="en-US" w:eastAsia="zh-CN"/>
        </w:rPr>
        <w:t>二</w:t>
      </w:r>
    </w:p>
    <w:p w14:paraId="3A52F819">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14:paraId="22035A8D">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14:paraId="09486071">
      <w:pPr>
        <w:jc w:val="center"/>
        <w:rPr>
          <w:rFonts w:hint="eastAsia" w:ascii="仿宋" w:hAnsi="仿宋" w:eastAsia="仿宋" w:cs="仿宋"/>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62E1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7755325">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noWrap w:val="0"/>
            <w:vAlign w:val="top"/>
          </w:tcPr>
          <w:p w14:paraId="5C1E2F80">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14:paraId="2FAB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BAA266D">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noWrap w:val="0"/>
            <w:vAlign w:val="top"/>
          </w:tcPr>
          <w:p w14:paraId="4E169411">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14:paraId="3704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366043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noWrap w:val="0"/>
            <w:vAlign w:val="top"/>
          </w:tcPr>
          <w:p w14:paraId="4AAA8417">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14:paraId="021E3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4232FF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noWrap w:val="0"/>
            <w:vAlign w:val="top"/>
          </w:tcPr>
          <w:p w14:paraId="10CB586D">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14:paraId="3630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A94940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noWrap w:val="0"/>
            <w:vAlign w:val="top"/>
          </w:tcPr>
          <w:p w14:paraId="64222BFC">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14:paraId="24C4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0B9A18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noWrap w:val="0"/>
            <w:vAlign w:val="top"/>
          </w:tcPr>
          <w:p w14:paraId="16070656">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14:paraId="0A6F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04B5EC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noWrap w:val="0"/>
            <w:vAlign w:val="top"/>
          </w:tcPr>
          <w:p w14:paraId="3C017771">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14:paraId="66E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68ADE4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noWrap w:val="0"/>
            <w:vAlign w:val="top"/>
          </w:tcPr>
          <w:p w14:paraId="737DE0D0">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AE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32F653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noWrap w:val="0"/>
            <w:vAlign w:val="top"/>
          </w:tcPr>
          <w:p w14:paraId="2A6DF193">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14:paraId="64653A79">
      <w:pPr>
        <w:jc w:val="center"/>
        <w:rPr>
          <w:rFonts w:hint="eastAsia" w:ascii="仿宋" w:hAnsi="仿宋" w:eastAsia="仿宋" w:cs="仿宋"/>
          <w:color w:val="auto"/>
          <w:sz w:val="36"/>
          <w:szCs w:val="36"/>
          <w:highlight w:val="none"/>
        </w:rPr>
      </w:pPr>
    </w:p>
    <w:p w14:paraId="5776297E">
      <w:pPr>
        <w:jc w:val="center"/>
        <w:rPr>
          <w:rFonts w:hint="eastAsia" w:ascii="仿宋" w:hAnsi="仿宋" w:eastAsia="仿宋" w:cs="仿宋"/>
          <w:color w:val="auto"/>
          <w:sz w:val="28"/>
          <w:szCs w:val="28"/>
          <w:highlight w:val="none"/>
        </w:rPr>
      </w:pPr>
    </w:p>
    <w:p w14:paraId="3DC9B41B">
      <w:pPr>
        <w:jc w:val="center"/>
        <w:rPr>
          <w:rFonts w:hint="eastAsia" w:ascii="仿宋" w:hAnsi="仿宋" w:eastAsia="仿宋" w:cs="仿宋"/>
          <w:color w:val="auto"/>
          <w:sz w:val="28"/>
          <w:szCs w:val="28"/>
          <w:highlight w:val="none"/>
        </w:rPr>
      </w:pPr>
    </w:p>
    <w:p w14:paraId="7FF1C5BC">
      <w:pPr>
        <w:jc w:val="center"/>
        <w:rPr>
          <w:rFonts w:hint="eastAsia" w:ascii="仿宋" w:hAnsi="仿宋" w:eastAsia="仿宋" w:cs="仿宋"/>
          <w:color w:val="auto"/>
          <w:sz w:val="28"/>
          <w:szCs w:val="28"/>
          <w:highlight w:val="none"/>
        </w:rPr>
      </w:pPr>
    </w:p>
    <w:p w14:paraId="34E9751E">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14:paraId="408552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7969AD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04" w:name="_Toc18518"/>
      <w:bookmarkStart w:id="405" w:name="_Toc20382"/>
      <w:bookmarkStart w:id="406" w:name="_Toc5925"/>
      <w:bookmarkStart w:id="407" w:name="_Toc26856"/>
    </w:p>
    <w:p w14:paraId="2EBB30E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178B23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AD95A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966DDE">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08" w:name="_Toc4374"/>
      <w:bookmarkStart w:id="409" w:name="_Toc12674"/>
      <w:bookmarkStart w:id="410" w:name="_Toc31854"/>
      <w:bookmarkStart w:id="411" w:name="_Toc1310"/>
      <w:r>
        <w:rPr>
          <w:rFonts w:hint="eastAsia" w:ascii="仿宋" w:hAnsi="仿宋" w:eastAsia="仿宋" w:cs="仿宋"/>
          <w:b/>
          <w:bCs w:val="0"/>
          <w:color w:val="auto"/>
          <w:sz w:val="40"/>
          <w:szCs w:val="40"/>
          <w:highlight w:val="none"/>
          <w:shd w:val="clear" w:color="auto" w:fill="auto"/>
          <w:lang w:val="en-US" w:eastAsia="zh-CN"/>
        </w:rPr>
        <w:t>附件</w:t>
      </w:r>
      <w:bookmarkEnd w:id="404"/>
      <w:r>
        <w:rPr>
          <w:rFonts w:hint="eastAsia" w:ascii="仿宋" w:hAnsi="仿宋" w:eastAsia="仿宋" w:cs="仿宋"/>
          <w:b/>
          <w:bCs w:val="0"/>
          <w:color w:val="auto"/>
          <w:sz w:val="40"/>
          <w:szCs w:val="40"/>
          <w:highlight w:val="none"/>
          <w:shd w:val="clear" w:color="auto" w:fill="auto"/>
          <w:lang w:val="en-US" w:eastAsia="zh-CN"/>
        </w:rPr>
        <w:t>十</w:t>
      </w:r>
      <w:bookmarkEnd w:id="405"/>
      <w:bookmarkEnd w:id="406"/>
      <w:bookmarkEnd w:id="407"/>
      <w:bookmarkEnd w:id="408"/>
      <w:bookmarkEnd w:id="409"/>
      <w:bookmarkEnd w:id="410"/>
      <w:bookmarkEnd w:id="411"/>
      <w:r>
        <w:rPr>
          <w:rFonts w:hint="eastAsia" w:ascii="仿宋" w:hAnsi="仿宋" w:eastAsia="仿宋" w:cs="仿宋"/>
          <w:b/>
          <w:bCs w:val="0"/>
          <w:color w:val="auto"/>
          <w:sz w:val="40"/>
          <w:szCs w:val="40"/>
          <w:highlight w:val="none"/>
          <w:shd w:val="clear" w:color="auto" w:fill="auto"/>
          <w:lang w:val="en-US" w:eastAsia="zh-CN"/>
        </w:rPr>
        <w:t>三</w:t>
      </w:r>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25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764E4CB3">
            <w:pPr>
              <w:keepNext w:val="0"/>
              <w:keepLines w:val="0"/>
              <w:widowControl/>
              <w:suppressLineNumbers w:val="0"/>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14:paraId="6A04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437A8CC9">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3E38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5BF68A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27383E89">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48158A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66939F2">
            <w:pPr>
              <w:rPr>
                <w:rFonts w:hint="eastAsia" w:ascii="仿宋" w:hAnsi="仿宋" w:eastAsia="仿宋" w:cs="仿宋"/>
                <w:i w:val="0"/>
                <w:iCs w:val="0"/>
                <w:color w:val="auto"/>
                <w:sz w:val="24"/>
                <w:szCs w:val="24"/>
                <w:highlight w:val="none"/>
                <w:u w:val="none"/>
              </w:rPr>
            </w:pPr>
          </w:p>
        </w:tc>
      </w:tr>
      <w:tr w14:paraId="27CA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074962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73C477B6">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78D62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37EF1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3735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C91E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3269AB80">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05F2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D41581">
            <w:pPr>
              <w:jc w:val="center"/>
              <w:rPr>
                <w:rFonts w:hint="eastAsia" w:ascii="仿宋" w:hAnsi="仿宋" w:eastAsia="仿宋" w:cs="仿宋"/>
                <w:i w:val="0"/>
                <w:iCs w:val="0"/>
                <w:color w:val="auto"/>
                <w:sz w:val="24"/>
                <w:szCs w:val="24"/>
                <w:highlight w:val="none"/>
                <w:u w:val="none"/>
              </w:rPr>
            </w:pPr>
          </w:p>
        </w:tc>
      </w:tr>
      <w:tr w14:paraId="4E5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EF350">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A5B0C4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0CA7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F960ABF">
            <w:pPr>
              <w:jc w:val="center"/>
              <w:rPr>
                <w:rFonts w:hint="eastAsia" w:ascii="仿宋" w:hAnsi="仿宋" w:eastAsia="仿宋" w:cs="仿宋"/>
                <w:i w:val="0"/>
                <w:iCs w:val="0"/>
                <w:color w:val="auto"/>
                <w:sz w:val="24"/>
                <w:szCs w:val="24"/>
                <w:highlight w:val="none"/>
                <w:u w:val="none"/>
              </w:rPr>
            </w:pPr>
          </w:p>
        </w:tc>
      </w:tr>
      <w:tr w14:paraId="26EB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D4FD99">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79B47278">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5C33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0CDD422">
            <w:pPr>
              <w:jc w:val="center"/>
              <w:rPr>
                <w:rFonts w:hint="eastAsia" w:ascii="仿宋" w:hAnsi="仿宋" w:eastAsia="仿宋" w:cs="仿宋"/>
                <w:i w:val="0"/>
                <w:iCs w:val="0"/>
                <w:color w:val="auto"/>
                <w:sz w:val="24"/>
                <w:szCs w:val="24"/>
                <w:highlight w:val="none"/>
                <w:u w:val="none"/>
              </w:rPr>
            </w:pPr>
          </w:p>
        </w:tc>
      </w:tr>
      <w:tr w14:paraId="40F1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349AA">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4AB44A3">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1003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8DB8E3A">
            <w:pPr>
              <w:jc w:val="center"/>
              <w:rPr>
                <w:rFonts w:hint="eastAsia" w:ascii="仿宋" w:hAnsi="仿宋" w:eastAsia="仿宋" w:cs="仿宋"/>
                <w:i w:val="0"/>
                <w:iCs w:val="0"/>
                <w:color w:val="auto"/>
                <w:sz w:val="24"/>
                <w:szCs w:val="24"/>
                <w:highlight w:val="none"/>
                <w:u w:val="none"/>
              </w:rPr>
            </w:pPr>
          </w:p>
        </w:tc>
      </w:tr>
      <w:tr w14:paraId="66AB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45D3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929BA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EC8B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31AE499">
            <w:pPr>
              <w:jc w:val="center"/>
              <w:rPr>
                <w:rFonts w:hint="eastAsia" w:ascii="仿宋" w:hAnsi="仿宋" w:eastAsia="仿宋" w:cs="仿宋"/>
                <w:i w:val="0"/>
                <w:iCs w:val="0"/>
                <w:color w:val="auto"/>
                <w:sz w:val="24"/>
                <w:szCs w:val="24"/>
                <w:highlight w:val="none"/>
                <w:u w:val="none"/>
              </w:rPr>
            </w:pPr>
          </w:p>
        </w:tc>
      </w:tr>
      <w:tr w14:paraId="5F55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8F533">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1A2975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5ECC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DE6EA0B">
            <w:pPr>
              <w:jc w:val="center"/>
              <w:rPr>
                <w:rFonts w:hint="eastAsia" w:ascii="仿宋" w:hAnsi="仿宋" w:eastAsia="仿宋" w:cs="仿宋"/>
                <w:i w:val="0"/>
                <w:iCs w:val="0"/>
                <w:color w:val="auto"/>
                <w:sz w:val="24"/>
                <w:szCs w:val="24"/>
                <w:highlight w:val="none"/>
                <w:u w:val="none"/>
              </w:rPr>
            </w:pPr>
          </w:p>
        </w:tc>
      </w:tr>
      <w:tr w14:paraId="55B09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D6E4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22B2CB9A">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702F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E0AD3A1">
            <w:pPr>
              <w:jc w:val="center"/>
              <w:rPr>
                <w:rFonts w:hint="eastAsia" w:ascii="仿宋" w:hAnsi="仿宋" w:eastAsia="仿宋" w:cs="仿宋"/>
                <w:i w:val="0"/>
                <w:iCs w:val="0"/>
                <w:color w:val="auto"/>
                <w:sz w:val="24"/>
                <w:szCs w:val="24"/>
                <w:highlight w:val="none"/>
                <w:u w:val="none"/>
              </w:rPr>
            </w:pPr>
          </w:p>
        </w:tc>
      </w:tr>
      <w:tr w14:paraId="60A71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67B114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0B7C4D4">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B7298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51C21BE">
            <w:pPr>
              <w:jc w:val="center"/>
              <w:rPr>
                <w:rFonts w:hint="eastAsia" w:ascii="仿宋" w:hAnsi="仿宋" w:eastAsia="仿宋" w:cs="仿宋"/>
                <w:i w:val="0"/>
                <w:iCs w:val="0"/>
                <w:color w:val="auto"/>
                <w:sz w:val="24"/>
                <w:szCs w:val="24"/>
                <w:highlight w:val="none"/>
                <w:u w:val="none"/>
              </w:rPr>
            </w:pPr>
          </w:p>
        </w:tc>
      </w:tr>
      <w:tr w14:paraId="4554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C6C5C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37B26152">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38C90A4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1FFB7972">
            <w:pPr>
              <w:jc w:val="center"/>
              <w:rPr>
                <w:rFonts w:hint="eastAsia" w:ascii="仿宋" w:hAnsi="仿宋" w:eastAsia="仿宋" w:cs="仿宋"/>
                <w:i w:val="0"/>
                <w:iCs w:val="0"/>
                <w:color w:val="auto"/>
                <w:sz w:val="24"/>
                <w:szCs w:val="24"/>
                <w:highlight w:val="none"/>
                <w:u w:val="none"/>
              </w:rPr>
            </w:pPr>
          </w:p>
        </w:tc>
      </w:tr>
      <w:tr w14:paraId="7754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469A2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2AD3ACC">
            <w:pPr>
              <w:jc w:val="center"/>
              <w:rPr>
                <w:rFonts w:hint="eastAsia" w:ascii="仿宋" w:hAnsi="仿宋" w:eastAsia="仿宋" w:cs="仿宋"/>
                <w:i w:val="0"/>
                <w:iCs w:val="0"/>
                <w:color w:val="auto"/>
                <w:sz w:val="24"/>
                <w:szCs w:val="24"/>
                <w:highlight w:val="none"/>
                <w:u w:val="none"/>
              </w:rPr>
            </w:pPr>
          </w:p>
        </w:tc>
      </w:tr>
      <w:tr w14:paraId="2B60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7B69FB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7FDF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1D26A558">
            <w:pPr>
              <w:jc w:val="left"/>
              <w:rPr>
                <w:rFonts w:hint="eastAsia" w:ascii="仿宋" w:hAnsi="仿宋" w:eastAsia="仿宋" w:cs="仿宋"/>
                <w:i w:val="0"/>
                <w:iCs w:val="0"/>
                <w:color w:val="auto"/>
                <w:sz w:val="24"/>
                <w:szCs w:val="24"/>
                <w:highlight w:val="none"/>
                <w:u w:val="none"/>
              </w:rPr>
            </w:pPr>
          </w:p>
        </w:tc>
      </w:tr>
    </w:tbl>
    <w:p w14:paraId="4EF32A2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3313E95D">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412" w:name="_Toc5270"/>
      <w:bookmarkStart w:id="413" w:name="_Toc16390"/>
    </w:p>
    <w:bookmarkEnd w:id="412"/>
    <w:bookmarkEnd w:id="413"/>
    <w:p w14:paraId="0B88CB2F">
      <w:pPr>
        <w:pStyle w:val="14"/>
        <w:rPr>
          <w:rFonts w:hint="default" w:ascii="仿宋" w:hAnsi="仿宋" w:eastAsia="仿宋" w:cs="仿宋"/>
          <w:b/>
          <w:bCs/>
          <w:color w:val="auto"/>
          <w:sz w:val="36"/>
          <w:szCs w:val="36"/>
          <w:highlight w:val="none"/>
          <w:lang w:val="en-US" w:eastAsia="zh-CN"/>
        </w:rPr>
      </w:pPr>
    </w:p>
    <w:sectPr>
      <w:footerReference r:id="rId6" w:type="default"/>
      <w:pgSz w:w="11906" w:h="16838"/>
      <w:pgMar w:top="1440" w:right="1361" w:bottom="952" w:left="1361"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0CAEF">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FA38">
    <w:pPr>
      <w:pStyle w:val="8"/>
    </w:pPr>
  </w:p>
  <w:p w14:paraId="6689EE6F">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5C1AE">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14:paraId="27AD74A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0ABC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C7BEE037"/>
    <w:multiLevelType w:val="singleLevel"/>
    <w:tmpl w:val="C7BEE037"/>
    <w:lvl w:ilvl="0" w:tentative="0">
      <w:start w:val="1"/>
      <w:numFmt w:val="decimal"/>
      <w:suff w:val="nothing"/>
      <w:lvlText w:val="（%1）"/>
      <w:lvlJc w:val="left"/>
    </w:lvl>
  </w:abstractNum>
  <w:abstractNum w:abstractNumId="2">
    <w:nsid w:val="EF8D7EDD"/>
    <w:multiLevelType w:val="singleLevel"/>
    <w:tmpl w:val="EF8D7EDD"/>
    <w:lvl w:ilvl="0" w:tentative="0">
      <w:start w:val="1"/>
      <w:numFmt w:val="chineseCounting"/>
      <w:suff w:val="nothing"/>
      <w:lvlText w:val="%1、"/>
      <w:lvlJc w:val="left"/>
      <w:rPr>
        <w:rFonts w:hint="eastAsia"/>
      </w:rPr>
    </w:lvl>
  </w:abstractNum>
  <w:abstractNum w:abstractNumId="3">
    <w:nsid w:val="0EC079B0"/>
    <w:multiLevelType w:val="singleLevel"/>
    <w:tmpl w:val="0EC079B0"/>
    <w:lvl w:ilvl="0" w:tentative="0">
      <w:start w:val="1"/>
      <w:numFmt w:val="decimal"/>
      <w:suff w:val="nothing"/>
      <w:lvlText w:val="%1、"/>
      <w:lvlJc w:val="left"/>
    </w:lvl>
  </w:abstractNum>
  <w:abstractNum w:abstractNumId="4">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072C34"/>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566D5"/>
    <w:rsid w:val="00AE31A0"/>
    <w:rsid w:val="00B16E7B"/>
    <w:rsid w:val="00B35E9C"/>
    <w:rsid w:val="00B970C4"/>
    <w:rsid w:val="00BC3A1F"/>
    <w:rsid w:val="00BF7D50"/>
    <w:rsid w:val="00C01140"/>
    <w:rsid w:val="00C14B6F"/>
    <w:rsid w:val="00C43E19"/>
    <w:rsid w:val="00C70D2C"/>
    <w:rsid w:val="00C94BA8"/>
    <w:rsid w:val="00CA1002"/>
    <w:rsid w:val="00CB30A1"/>
    <w:rsid w:val="00D25D47"/>
    <w:rsid w:val="00DF5360"/>
    <w:rsid w:val="00E1609D"/>
    <w:rsid w:val="00E178E3"/>
    <w:rsid w:val="00E95BC4"/>
    <w:rsid w:val="00ED202F"/>
    <w:rsid w:val="00F30062"/>
    <w:rsid w:val="00F474E7"/>
    <w:rsid w:val="010A1348"/>
    <w:rsid w:val="011E0CCE"/>
    <w:rsid w:val="013730A5"/>
    <w:rsid w:val="0147153B"/>
    <w:rsid w:val="01510F6A"/>
    <w:rsid w:val="015765E3"/>
    <w:rsid w:val="016A1591"/>
    <w:rsid w:val="01813F60"/>
    <w:rsid w:val="01B5752C"/>
    <w:rsid w:val="01B6046E"/>
    <w:rsid w:val="01BF37C7"/>
    <w:rsid w:val="01C04E49"/>
    <w:rsid w:val="01D26D8C"/>
    <w:rsid w:val="01E46229"/>
    <w:rsid w:val="02170349"/>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1B0B"/>
    <w:rsid w:val="032A2EC2"/>
    <w:rsid w:val="0332621A"/>
    <w:rsid w:val="033541AE"/>
    <w:rsid w:val="033E696D"/>
    <w:rsid w:val="034B7BE7"/>
    <w:rsid w:val="03630182"/>
    <w:rsid w:val="036868D0"/>
    <w:rsid w:val="036D65A5"/>
    <w:rsid w:val="03800D34"/>
    <w:rsid w:val="03EE2CEC"/>
    <w:rsid w:val="03F07987"/>
    <w:rsid w:val="040B4A77"/>
    <w:rsid w:val="04277401"/>
    <w:rsid w:val="04332207"/>
    <w:rsid w:val="04340622"/>
    <w:rsid w:val="04665FA8"/>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2A61F4"/>
    <w:rsid w:val="053022E6"/>
    <w:rsid w:val="053F5954"/>
    <w:rsid w:val="05446D44"/>
    <w:rsid w:val="054F4E62"/>
    <w:rsid w:val="05657FDC"/>
    <w:rsid w:val="056B1570"/>
    <w:rsid w:val="059B1E55"/>
    <w:rsid w:val="05A101F3"/>
    <w:rsid w:val="05AB5E10"/>
    <w:rsid w:val="05CD433B"/>
    <w:rsid w:val="05D56967"/>
    <w:rsid w:val="05E732EC"/>
    <w:rsid w:val="05FA2136"/>
    <w:rsid w:val="062A5FEE"/>
    <w:rsid w:val="064A0EA5"/>
    <w:rsid w:val="06530982"/>
    <w:rsid w:val="06706AD8"/>
    <w:rsid w:val="06976105"/>
    <w:rsid w:val="06A66D03"/>
    <w:rsid w:val="06D31393"/>
    <w:rsid w:val="06DC2F7F"/>
    <w:rsid w:val="06ED4932"/>
    <w:rsid w:val="06F832D7"/>
    <w:rsid w:val="071716FC"/>
    <w:rsid w:val="07181283"/>
    <w:rsid w:val="071B1643"/>
    <w:rsid w:val="073F4A62"/>
    <w:rsid w:val="07513FB1"/>
    <w:rsid w:val="07580BE5"/>
    <w:rsid w:val="075D56E6"/>
    <w:rsid w:val="076A3F72"/>
    <w:rsid w:val="07740BAF"/>
    <w:rsid w:val="07B436A2"/>
    <w:rsid w:val="07B9513E"/>
    <w:rsid w:val="07C02047"/>
    <w:rsid w:val="07D478A0"/>
    <w:rsid w:val="07E13D6B"/>
    <w:rsid w:val="07E31891"/>
    <w:rsid w:val="07F41CF0"/>
    <w:rsid w:val="07F61040"/>
    <w:rsid w:val="07FC5C21"/>
    <w:rsid w:val="081B54CF"/>
    <w:rsid w:val="081B70BC"/>
    <w:rsid w:val="083A6C4A"/>
    <w:rsid w:val="084731D1"/>
    <w:rsid w:val="08516213"/>
    <w:rsid w:val="085547A4"/>
    <w:rsid w:val="085C7B8E"/>
    <w:rsid w:val="089112ED"/>
    <w:rsid w:val="08A6123D"/>
    <w:rsid w:val="08AE465C"/>
    <w:rsid w:val="08B374B6"/>
    <w:rsid w:val="08BC34BB"/>
    <w:rsid w:val="08D04EA3"/>
    <w:rsid w:val="08D1580F"/>
    <w:rsid w:val="08F24A3C"/>
    <w:rsid w:val="08FA1588"/>
    <w:rsid w:val="08FB281E"/>
    <w:rsid w:val="090207D6"/>
    <w:rsid w:val="091A7535"/>
    <w:rsid w:val="09616F12"/>
    <w:rsid w:val="09757AB5"/>
    <w:rsid w:val="09760B9C"/>
    <w:rsid w:val="099A1CCF"/>
    <w:rsid w:val="09A56C91"/>
    <w:rsid w:val="09A82D92"/>
    <w:rsid w:val="09C46844"/>
    <w:rsid w:val="09C94AB7"/>
    <w:rsid w:val="09D71542"/>
    <w:rsid w:val="09E22A5D"/>
    <w:rsid w:val="09E87633"/>
    <w:rsid w:val="09FB1114"/>
    <w:rsid w:val="09FB55B8"/>
    <w:rsid w:val="09FB7366"/>
    <w:rsid w:val="09FF6F98"/>
    <w:rsid w:val="0A2118B5"/>
    <w:rsid w:val="0A375EC4"/>
    <w:rsid w:val="0A38348D"/>
    <w:rsid w:val="0A454A85"/>
    <w:rsid w:val="0A5922DF"/>
    <w:rsid w:val="0A60366D"/>
    <w:rsid w:val="0A7964DD"/>
    <w:rsid w:val="0A9A5DF0"/>
    <w:rsid w:val="0ACE6829"/>
    <w:rsid w:val="0AD62B48"/>
    <w:rsid w:val="0AD66408"/>
    <w:rsid w:val="0AE30F3A"/>
    <w:rsid w:val="0AFA3582"/>
    <w:rsid w:val="0B347D7E"/>
    <w:rsid w:val="0B3C1D27"/>
    <w:rsid w:val="0B3D2BA6"/>
    <w:rsid w:val="0B70650A"/>
    <w:rsid w:val="0B7A69B0"/>
    <w:rsid w:val="0BB46A91"/>
    <w:rsid w:val="0BB93035"/>
    <w:rsid w:val="0BD92D6E"/>
    <w:rsid w:val="0BD95485"/>
    <w:rsid w:val="0BDB7D38"/>
    <w:rsid w:val="0BE62E5F"/>
    <w:rsid w:val="0C125258"/>
    <w:rsid w:val="0C167DEB"/>
    <w:rsid w:val="0C177688"/>
    <w:rsid w:val="0C1D2B00"/>
    <w:rsid w:val="0C4D2770"/>
    <w:rsid w:val="0C727688"/>
    <w:rsid w:val="0C8526FD"/>
    <w:rsid w:val="0C8E44C1"/>
    <w:rsid w:val="0C9B273A"/>
    <w:rsid w:val="0CAD19F6"/>
    <w:rsid w:val="0CBC5C8A"/>
    <w:rsid w:val="0CC04DC6"/>
    <w:rsid w:val="0CC9374C"/>
    <w:rsid w:val="0CCA5228"/>
    <w:rsid w:val="0CD137D8"/>
    <w:rsid w:val="0CD94635"/>
    <w:rsid w:val="0CE1709F"/>
    <w:rsid w:val="0CEE0E5C"/>
    <w:rsid w:val="0D006A41"/>
    <w:rsid w:val="0D0522AA"/>
    <w:rsid w:val="0D077DD0"/>
    <w:rsid w:val="0D186481"/>
    <w:rsid w:val="0D4536A9"/>
    <w:rsid w:val="0D6042F4"/>
    <w:rsid w:val="0D723345"/>
    <w:rsid w:val="0D8B6C53"/>
    <w:rsid w:val="0D9553DC"/>
    <w:rsid w:val="0D964F5E"/>
    <w:rsid w:val="0D9C10B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205B9"/>
    <w:rsid w:val="0E575B4B"/>
    <w:rsid w:val="0E590AFF"/>
    <w:rsid w:val="0E753A46"/>
    <w:rsid w:val="0E9E70F0"/>
    <w:rsid w:val="0EA42CBD"/>
    <w:rsid w:val="0EA63619"/>
    <w:rsid w:val="0EC341CA"/>
    <w:rsid w:val="0ED85346"/>
    <w:rsid w:val="0EDD34DE"/>
    <w:rsid w:val="0EFD148A"/>
    <w:rsid w:val="0F0A3692"/>
    <w:rsid w:val="0F0E18EA"/>
    <w:rsid w:val="0F3050A6"/>
    <w:rsid w:val="0F465E76"/>
    <w:rsid w:val="0F56503F"/>
    <w:rsid w:val="0F68771A"/>
    <w:rsid w:val="0F706264"/>
    <w:rsid w:val="0F900551"/>
    <w:rsid w:val="0F9A1418"/>
    <w:rsid w:val="0FA17752"/>
    <w:rsid w:val="0FB22358"/>
    <w:rsid w:val="0FBA2FAC"/>
    <w:rsid w:val="0FDC5544"/>
    <w:rsid w:val="10352EA6"/>
    <w:rsid w:val="105C0433"/>
    <w:rsid w:val="108674CF"/>
    <w:rsid w:val="10922D88"/>
    <w:rsid w:val="109E0A4B"/>
    <w:rsid w:val="10A145F0"/>
    <w:rsid w:val="10A14840"/>
    <w:rsid w:val="10A23752"/>
    <w:rsid w:val="10D80992"/>
    <w:rsid w:val="11126856"/>
    <w:rsid w:val="11243FFF"/>
    <w:rsid w:val="113718BF"/>
    <w:rsid w:val="11407F98"/>
    <w:rsid w:val="114F590B"/>
    <w:rsid w:val="11557E4D"/>
    <w:rsid w:val="11565855"/>
    <w:rsid w:val="115F413D"/>
    <w:rsid w:val="11621A79"/>
    <w:rsid w:val="11621C5E"/>
    <w:rsid w:val="11665A0D"/>
    <w:rsid w:val="11716160"/>
    <w:rsid w:val="1188642D"/>
    <w:rsid w:val="11902C28"/>
    <w:rsid w:val="119B455F"/>
    <w:rsid w:val="119D1F55"/>
    <w:rsid w:val="11D01CF9"/>
    <w:rsid w:val="11EB7CC0"/>
    <w:rsid w:val="11FC60EA"/>
    <w:rsid w:val="12077CFA"/>
    <w:rsid w:val="12105979"/>
    <w:rsid w:val="12111206"/>
    <w:rsid w:val="121B43BF"/>
    <w:rsid w:val="12271A49"/>
    <w:rsid w:val="122907E8"/>
    <w:rsid w:val="124205D1"/>
    <w:rsid w:val="1254057F"/>
    <w:rsid w:val="12613ED3"/>
    <w:rsid w:val="12635AA8"/>
    <w:rsid w:val="12696E37"/>
    <w:rsid w:val="126E62DF"/>
    <w:rsid w:val="127952CC"/>
    <w:rsid w:val="12947933"/>
    <w:rsid w:val="12A30FD7"/>
    <w:rsid w:val="12A64587"/>
    <w:rsid w:val="12AA36D7"/>
    <w:rsid w:val="12B83BBB"/>
    <w:rsid w:val="12CD386A"/>
    <w:rsid w:val="12F901BB"/>
    <w:rsid w:val="130D422A"/>
    <w:rsid w:val="130F3E82"/>
    <w:rsid w:val="13151D97"/>
    <w:rsid w:val="13165211"/>
    <w:rsid w:val="132E143F"/>
    <w:rsid w:val="13471AD0"/>
    <w:rsid w:val="134753CA"/>
    <w:rsid w:val="134C478E"/>
    <w:rsid w:val="135B5878"/>
    <w:rsid w:val="13781A27"/>
    <w:rsid w:val="13826402"/>
    <w:rsid w:val="13845E89"/>
    <w:rsid w:val="13877EBC"/>
    <w:rsid w:val="13985C26"/>
    <w:rsid w:val="13B14F39"/>
    <w:rsid w:val="13BA3DEE"/>
    <w:rsid w:val="13D11138"/>
    <w:rsid w:val="13E97B32"/>
    <w:rsid w:val="14092680"/>
    <w:rsid w:val="14226B92"/>
    <w:rsid w:val="142D412F"/>
    <w:rsid w:val="14301B15"/>
    <w:rsid w:val="14530591"/>
    <w:rsid w:val="14564D5E"/>
    <w:rsid w:val="14661880"/>
    <w:rsid w:val="14726477"/>
    <w:rsid w:val="14870CC8"/>
    <w:rsid w:val="1492781C"/>
    <w:rsid w:val="1499025C"/>
    <w:rsid w:val="149B6797"/>
    <w:rsid w:val="14B678F8"/>
    <w:rsid w:val="14C41530"/>
    <w:rsid w:val="14C9686C"/>
    <w:rsid w:val="14E07884"/>
    <w:rsid w:val="14F15522"/>
    <w:rsid w:val="150337D5"/>
    <w:rsid w:val="1504174F"/>
    <w:rsid w:val="15084B3F"/>
    <w:rsid w:val="152135DE"/>
    <w:rsid w:val="15243815"/>
    <w:rsid w:val="152F6751"/>
    <w:rsid w:val="1553452D"/>
    <w:rsid w:val="15542020"/>
    <w:rsid w:val="156F29B6"/>
    <w:rsid w:val="157E0E4B"/>
    <w:rsid w:val="158263AD"/>
    <w:rsid w:val="158F501B"/>
    <w:rsid w:val="159452FD"/>
    <w:rsid w:val="15A9794A"/>
    <w:rsid w:val="15B036FB"/>
    <w:rsid w:val="15B14B22"/>
    <w:rsid w:val="15BA33B1"/>
    <w:rsid w:val="15BF39E8"/>
    <w:rsid w:val="15CD0276"/>
    <w:rsid w:val="15E16D7A"/>
    <w:rsid w:val="15E46F00"/>
    <w:rsid w:val="15FE0734"/>
    <w:rsid w:val="16041350"/>
    <w:rsid w:val="16151C72"/>
    <w:rsid w:val="161A23FF"/>
    <w:rsid w:val="161F43DC"/>
    <w:rsid w:val="1622233E"/>
    <w:rsid w:val="16290B92"/>
    <w:rsid w:val="16297009"/>
    <w:rsid w:val="16411B20"/>
    <w:rsid w:val="165C2217"/>
    <w:rsid w:val="167069E6"/>
    <w:rsid w:val="167D7D71"/>
    <w:rsid w:val="169F1079"/>
    <w:rsid w:val="16A3500D"/>
    <w:rsid w:val="16A362C6"/>
    <w:rsid w:val="16B36AE1"/>
    <w:rsid w:val="16C15493"/>
    <w:rsid w:val="16DC051F"/>
    <w:rsid w:val="16E42F30"/>
    <w:rsid w:val="16ED4897"/>
    <w:rsid w:val="16FE0496"/>
    <w:rsid w:val="17067FC0"/>
    <w:rsid w:val="172A0C99"/>
    <w:rsid w:val="174C7453"/>
    <w:rsid w:val="174D0264"/>
    <w:rsid w:val="17822E75"/>
    <w:rsid w:val="179A1DCD"/>
    <w:rsid w:val="17A15E0B"/>
    <w:rsid w:val="17A31394"/>
    <w:rsid w:val="17AF1790"/>
    <w:rsid w:val="17B402E8"/>
    <w:rsid w:val="17BD0D2F"/>
    <w:rsid w:val="17C400EA"/>
    <w:rsid w:val="17DE3E23"/>
    <w:rsid w:val="17E53404"/>
    <w:rsid w:val="17EC5092"/>
    <w:rsid w:val="1811244B"/>
    <w:rsid w:val="18187335"/>
    <w:rsid w:val="181D494B"/>
    <w:rsid w:val="183C2E3A"/>
    <w:rsid w:val="183D3240"/>
    <w:rsid w:val="18416A30"/>
    <w:rsid w:val="185B7321"/>
    <w:rsid w:val="186E09C7"/>
    <w:rsid w:val="18886814"/>
    <w:rsid w:val="18937310"/>
    <w:rsid w:val="189664AC"/>
    <w:rsid w:val="189E4F3F"/>
    <w:rsid w:val="18C0248B"/>
    <w:rsid w:val="18EA2938"/>
    <w:rsid w:val="18F224FA"/>
    <w:rsid w:val="18FC77C6"/>
    <w:rsid w:val="190D49C0"/>
    <w:rsid w:val="191D4341"/>
    <w:rsid w:val="19206CA1"/>
    <w:rsid w:val="19265A82"/>
    <w:rsid w:val="1938288F"/>
    <w:rsid w:val="193C37AA"/>
    <w:rsid w:val="193D3C3C"/>
    <w:rsid w:val="193E360F"/>
    <w:rsid w:val="19513DF1"/>
    <w:rsid w:val="19576FA0"/>
    <w:rsid w:val="19597C05"/>
    <w:rsid w:val="195C7136"/>
    <w:rsid w:val="197762DD"/>
    <w:rsid w:val="19786A87"/>
    <w:rsid w:val="19877546"/>
    <w:rsid w:val="198B5F6F"/>
    <w:rsid w:val="19A05834"/>
    <w:rsid w:val="19A1648E"/>
    <w:rsid w:val="19AE6C9F"/>
    <w:rsid w:val="19B1359D"/>
    <w:rsid w:val="19B24E93"/>
    <w:rsid w:val="19B25567"/>
    <w:rsid w:val="19B7455F"/>
    <w:rsid w:val="19DB4ABE"/>
    <w:rsid w:val="1A015E61"/>
    <w:rsid w:val="1A0667DD"/>
    <w:rsid w:val="1A1B00A3"/>
    <w:rsid w:val="1A2A15A2"/>
    <w:rsid w:val="1A366BD3"/>
    <w:rsid w:val="1A402B73"/>
    <w:rsid w:val="1A8A62F3"/>
    <w:rsid w:val="1A903AFB"/>
    <w:rsid w:val="1AA475A6"/>
    <w:rsid w:val="1AC11F06"/>
    <w:rsid w:val="1ACC0721"/>
    <w:rsid w:val="1AE91E6A"/>
    <w:rsid w:val="1B022F94"/>
    <w:rsid w:val="1B16140A"/>
    <w:rsid w:val="1B2B4344"/>
    <w:rsid w:val="1B310517"/>
    <w:rsid w:val="1B3C1FFD"/>
    <w:rsid w:val="1B6A60FA"/>
    <w:rsid w:val="1B9118D8"/>
    <w:rsid w:val="1BA16335"/>
    <w:rsid w:val="1BA57132"/>
    <w:rsid w:val="1BA6218E"/>
    <w:rsid w:val="1BAD5FE6"/>
    <w:rsid w:val="1BB13D28"/>
    <w:rsid w:val="1BC13DCC"/>
    <w:rsid w:val="1BDA4C79"/>
    <w:rsid w:val="1BDF0508"/>
    <w:rsid w:val="1BE177E6"/>
    <w:rsid w:val="1BEE6D2B"/>
    <w:rsid w:val="1BF5598D"/>
    <w:rsid w:val="1C0148AF"/>
    <w:rsid w:val="1C116575"/>
    <w:rsid w:val="1C305105"/>
    <w:rsid w:val="1C485D0F"/>
    <w:rsid w:val="1C4A1A87"/>
    <w:rsid w:val="1C547B70"/>
    <w:rsid w:val="1C700BEF"/>
    <w:rsid w:val="1C7B17FA"/>
    <w:rsid w:val="1C896A53"/>
    <w:rsid w:val="1C972259"/>
    <w:rsid w:val="1C9D20E2"/>
    <w:rsid w:val="1CA05B4B"/>
    <w:rsid w:val="1CA6603E"/>
    <w:rsid w:val="1CAF0157"/>
    <w:rsid w:val="1CB11B06"/>
    <w:rsid w:val="1CBF2781"/>
    <w:rsid w:val="1CC306E9"/>
    <w:rsid w:val="1CD70D11"/>
    <w:rsid w:val="1CDD0EA4"/>
    <w:rsid w:val="1CDF09E4"/>
    <w:rsid w:val="1CF42E6E"/>
    <w:rsid w:val="1CF70848"/>
    <w:rsid w:val="1D085BCA"/>
    <w:rsid w:val="1D0D1432"/>
    <w:rsid w:val="1D104A7F"/>
    <w:rsid w:val="1D1074B6"/>
    <w:rsid w:val="1D444728"/>
    <w:rsid w:val="1D52005B"/>
    <w:rsid w:val="1D752B34"/>
    <w:rsid w:val="1D7711E5"/>
    <w:rsid w:val="1D7E60AC"/>
    <w:rsid w:val="1D8D5398"/>
    <w:rsid w:val="1DC36C05"/>
    <w:rsid w:val="1DD2442A"/>
    <w:rsid w:val="1DD26A50"/>
    <w:rsid w:val="1DDC6DCF"/>
    <w:rsid w:val="1DEB0CCB"/>
    <w:rsid w:val="1DFB128B"/>
    <w:rsid w:val="1E052B8D"/>
    <w:rsid w:val="1E0D7210"/>
    <w:rsid w:val="1E2A7D44"/>
    <w:rsid w:val="1E611A53"/>
    <w:rsid w:val="1E641526"/>
    <w:rsid w:val="1E67154A"/>
    <w:rsid w:val="1E6B19BE"/>
    <w:rsid w:val="1E8A02A3"/>
    <w:rsid w:val="1E933BB9"/>
    <w:rsid w:val="1E9E3807"/>
    <w:rsid w:val="1EB853CE"/>
    <w:rsid w:val="1ECE2E43"/>
    <w:rsid w:val="1EE518CA"/>
    <w:rsid w:val="1EF1268E"/>
    <w:rsid w:val="1EFE4EDD"/>
    <w:rsid w:val="1F026649"/>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1FF64400"/>
    <w:rsid w:val="201C6394"/>
    <w:rsid w:val="202076CF"/>
    <w:rsid w:val="202D3B9A"/>
    <w:rsid w:val="20305F21"/>
    <w:rsid w:val="203B28A1"/>
    <w:rsid w:val="204A474C"/>
    <w:rsid w:val="20542ED4"/>
    <w:rsid w:val="2063580D"/>
    <w:rsid w:val="20644136"/>
    <w:rsid w:val="20695B32"/>
    <w:rsid w:val="207B343E"/>
    <w:rsid w:val="20801F1B"/>
    <w:rsid w:val="209677A6"/>
    <w:rsid w:val="20994D8B"/>
    <w:rsid w:val="20B35E4D"/>
    <w:rsid w:val="20BB73F7"/>
    <w:rsid w:val="20CF6A27"/>
    <w:rsid w:val="20D364EF"/>
    <w:rsid w:val="20DB1848"/>
    <w:rsid w:val="20DE6C42"/>
    <w:rsid w:val="20E95E3C"/>
    <w:rsid w:val="20EC75B1"/>
    <w:rsid w:val="20EF2BFD"/>
    <w:rsid w:val="210539C6"/>
    <w:rsid w:val="21260D15"/>
    <w:rsid w:val="212C2C54"/>
    <w:rsid w:val="212C428E"/>
    <w:rsid w:val="212E52ED"/>
    <w:rsid w:val="214327CB"/>
    <w:rsid w:val="2144119B"/>
    <w:rsid w:val="21447C5E"/>
    <w:rsid w:val="215727DE"/>
    <w:rsid w:val="215D109F"/>
    <w:rsid w:val="215E090F"/>
    <w:rsid w:val="21613AFB"/>
    <w:rsid w:val="2164771A"/>
    <w:rsid w:val="216A13BE"/>
    <w:rsid w:val="21735A99"/>
    <w:rsid w:val="2177331E"/>
    <w:rsid w:val="21837F15"/>
    <w:rsid w:val="219A78C7"/>
    <w:rsid w:val="21A8557E"/>
    <w:rsid w:val="21BE2E1C"/>
    <w:rsid w:val="21CE3BBD"/>
    <w:rsid w:val="21D02A2F"/>
    <w:rsid w:val="21E55344"/>
    <w:rsid w:val="21E9116B"/>
    <w:rsid w:val="21EF4546"/>
    <w:rsid w:val="220B1CB9"/>
    <w:rsid w:val="220B2782"/>
    <w:rsid w:val="220F05CF"/>
    <w:rsid w:val="220F17A9"/>
    <w:rsid w:val="22205764"/>
    <w:rsid w:val="22381FC6"/>
    <w:rsid w:val="225275BA"/>
    <w:rsid w:val="225E003A"/>
    <w:rsid w:val="227B299A"/>
    <w:rsid w:val="227E692E"/>
    <w:rsid w:val="228E4923"/>
    <w:rsid w:val="228F6446"/>
    <w:rsid w:val="22910410"/>
    <w:rsid w:val="22A363ED"/>
    <w:rsid w:val="22AE65BE"/>
    <w:rsid w:val="22B63195"/>
    <w:rsid w:val="22B86A0B"/>
    <w:rsid w:val="22BC4220"/>
    <w:rsid w:val="22C17D82"/>
    <w:rsid w:val="22E5250A"/>
    <w:rsid w:val="22F369D5"/>
    <w:rsid w:val="22F616B5"/>
    <w:rsid w:val="22FD0E5C"/>
    <w:rsid w:val="23040BE2"/>
    <w:rsid w:val="230778C7"/>
    <w:rsid w:val="231A510B"/>
    <w:rsid w:val="23331187"/>
    <w:rsid w:val="233E29FF"/>
    <w:rsid w:val="23452CBC"/>
    <w:rsid w:val="235F1197"/>
    <w:rsid w:val="235F406A"/>
    <w:rsid w:val="236A7616"/>
    <w:rsid w:val="236F7F68"/>
    <w:rsid w:val="2374647C"/>
    <w:rsid w:val="237C3267"/>
    <w:rsid w:val="239C706C"/>
    <w:rsid w:val="23A21A79"/>
    <w:rsid w:val="23A36A35"/>
    <w:rsid w:val="23BC326A"/>
    <w:rsid w:val="23BD72DF"/>
    <w:rsid w:val="23DA1E7B"/>
    <w:rsid w:val="23E629DD"/>
    <w:rsid w:val="23E6478B"/>
    <w:rsid w:val="23E7405F"/>
    <w:rsid w:val="23EA5501"/>
    <w:rsid w:val="24156E1F"/>
    <w:rsid w:val="2437353F"/>
    <w:rsid w:val="243E45C7"/>
    <w:rsid w:val="2475240E"/>
    <w:rsid w:val="247955FF"/>
    <w:rsid w:val="24961E78"/>
    <w:rsid w:val="249B5576"/>
    <w:rsid w:val="24A26904"/>
    <w:rsid w:val="24AD5A93"/>
    <w:rsid w:val="24B56686"/>
    <w:rsid w:val="24BD3F2F"/>
    <w:rsid w:val="24D50656"/>
    <w:rsid w:val="24D665AE"/>
    <w:rsid w:val="251D5372"/>
    <w:rsid w:val="25201F1F"/>
    <w:rsid w:val="25207829"/>
    <w:rsid w:val="25275932"/>
    <w:rsid w:val="254C15F2"/>
    <w:rsid w:val="256A6BDA"/>
    <w:rsid w:val="256E456D"/>
    <w:rsid w:val="257D3EAF"/>
    <w:rsid w:val="258A399C"/>
    <w:rsid w:val="259C15A5"/>
    <w:rsid w:val="25B34B41"/>
    <w:rsid w:val="25EC0125"/>
    <w:rsid w:val="26086C3B"/>
    <w:rsid w:val="261920D8"/>
    <w:rsid w:val="261B0492"/>
    <w:rsid w:val="26254703"/>
    <w:rsid w:val="262D7F52"/>
    <w:rsid w:val="26415CA9"/>
    <w:rsid w:val="26492DAF"/>
    <w:rsid w:val="264D0AF2"/>
    <w:rsid w:val="26571970"/>
    <w:rsid w:val="26655E3B"/>
    <w:rsid w:val="268044B5"/>
    <w:rsid w:val="26B172D2"/>
    <w:rsid w:val="26CA40F7"/>
    <w:rsid w:val="26E641FB"/>
    <w:rsid w:val="26E75394"/>
    <w:rsid w:val="26EF4335"/>
    <w:rsid w:val="26F27C1B"/>
    <w:rsid w:val="270B4948"/>
    <w:rsid w:val="27215AAC"/>
    <w:rsid w:val="2723400E"/>
    <w:rsid w:val="273E668C"/>
    <w:rsid w:val="274041B2"/>
    <w:rsid w:val="27594AEA"/>
    <w:rsid w:val="27764078"/>
    <w:rsid w:val="27767BD4"/>
    <w:rsid w:val="27871DE1"/>
    <w:rsid w:val="27873B8F"/>
    <w:rsid w:val="27A5262E"/>
    <w:rsid w:val="27B8643F"/>
    <w:rsid w:val="27C132F1"/>
    <w:rsid w:val="27CB7D80"/>
    <w:rsid w:val="27CD1F54"/>
    <w:rsid w:val="27D85841"/>
    <w:rsid w:val="27D86AE1"/>
    <w:rsid w:val="27DD7C53"/>
    <w:rsid w:val="27E014F2"/>
    <w:rsid w:val="281F201A"/>
    <w:rsid w:val="283F090E"/>
    <w:rsid w:val="2844798D"/>
    <w:rsid w:val="28620E6F"/>
    <w:rsid w:val="28691716"/>
    <w:rsid w:val="287C56BE"/>
    <w:rsid w:val="28C12115"/>
    <w:rsid w:val="28C45AE6"/>
    <w:rsid w:val="28C64B8B"/>
    <w:rsid w:val="28CD5F1A"/>
    <w:rsid w:val="28D366FF"/>
    <w:rsid w:val="28D76D98"/>
    <w:rsid w:val="28D9669A"/>
    <w:rsid w:val="28DF697D"/>
    <w:rsid w:val="28F90ABD"/>
    <w:rsid w:val="291458F7"/>
    <w:rsid w:val="297B7724"/>
    <w:rsid w:val="29826D04"/>
    <w:rsid w:val="29B6075C"/>
    <w:rsid w:val="29CE79D6"/>
    <w:rsid w:val="29D532D8"/>
    <w:rsid w:val="29EE6148"/>
    <w:rsid w:val="29FB219D"/>
    <w:rsid w:val="2A157B78"/>
    <w:rsid w:val="2A5A558B"/>
    <w:rsid w:val="2A6B59EA"/>
    <w:rsid w:val="2A6C2FBF"/>
    <w:rsid w:val="2A7D127A"/>
    <w:rsid w:val="2A8D5961"/>
    <w:rsid w:val="2A957654"/>
    <w:rsid w:val="2AD91A82"/>
    <w:rsid w:val="2AD92954"/>
    <w:rsid w:val="2AEA2DB3"/>
    <w:rsid w:val="2AEC6B2B"/>
    <w:rsid w:val="2B0B4446"/>
    <w:rsid w:val="2B0B5F38"/>
    <w:rsid w:val="2B230BF3"/>
    <w:rsid w:val="2B380B20"/>
    <w:rsid w:val="2B460B2E"/>
    <w:rsid w:val="2B471FB3"/>
    <w:rsid w:val="2B88437A"/>
    <w:rsid w:val="2B88534B"/>
    <w:rsid w:val="2BB4516F"/>
    <w:rsid w:val="2BCD2F8E"/>
    <w:rsid w:val="2BE27F2E"/>
    <w:rsid w:val="2BE55328"/>
    <w:rsid w:val="2BFF463C"/>
    <w:rsid w:val="2C047EA4"/>
    <w:rsid w:val="2C0E487F"/>
    <w:rsid w:val="2C161986"/>
    <w:rsid w:val="2C180916"/>
    <w:rsid w:val="2C1E35F3"/>
    <w:rsid w:val="2C35005E"/>
    <w:rsid w:val="2C443DD3"/>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3635B"/>
    <w:rsid w:val="2CEB1DDF"/>
    <w:rsid w:val="2CF00E40"/>
    <w:rsid w:val="2CF43CB8"/>
    <w:rsid w:val="2CF96C08"/>
    <w:rsid w:val="2CFF066C"/>
    <w:rsid w:val="2D2360D5"/>
    <w:rsid w:val="2D2E08B5"/>
    <w:rsid w:val="2D3575D7"/>
    <w:rsid w:val="2D392A9A"/>
    <w:rsid w:val="2D3D2AEB"/>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5D477B"/>
    <w:rsid w:val="2E630C84"/>
    <w:rsid w:val="2E641B42"/>
    <w:rsid w:val="2E8157DC"/>
    <w:rsid w:val="2E837111"/>
    <w:rsid w:val="2E84600A"/>
    <w:rsid w:val="2E956466"/>
    <w:rsid w:val="2EAB0AAB"/>
    <w:rsid w:val="2EBF37A7"/>
    <w:rsid w:val="2EBF4B0B"/>
    <w:rsid w:val="2ED26038"/>
    <w:rsid w:val="2ED86F63"/>
    <w:rsid w:val="2EED10C4"/>
    <w:rsid w:val="2EF7784D"/>
    <w:rsid w:val="2EFA10EB"/>
    <w:rsid w:val="2EFB21A9"/>
    <w:rsid w:val="2F1A353B"/>
    <w:rsid w:val="2F1A79DF"/>
    <w:rsid w:val="2F1F5FD6"/>
    <w:rsid w:val="2F2230FD"/>
    <w:rsid w:val="2F2C45A3"/>
    <w:rsid w:val="2F3C1703"/>
    <w:rsid w:val="2F407445"/>
    <w:rsid w:val="2F544C9F"/>
    <w:rsid w:val="2F5702EB"/>
    <w:rsid w:val="2F6F0666"/>
    <w:rsid w:val="2F860BD0"/>
    <w:rsid w:val="2F861416"/>
    <w:rsid w:val="2F927575"/>
    <w:rsid w:val="2FAC1422"/>
    <w:rsid w:val="2FC27288"/>
    <w:rsid w:val="2FF574A1"/>
    <w:rsid w:val="300246FB"/>
    <w:rsid w:val="301D42EF"/>
    <w:rsid w:val="30250D25"/>
    <w:rsid w:val="3025488D"/>
    <w:rsid w:val="3044084D"/>
    <w:rsid w:val="304E5F54"/>
    <w:rsid w:val="30515682"/>
    <w:rsid w:val="30644D23"/>
    <w:rsid w:val="30776BDB"/>
    <w:rsid w:val="30894E1C"/>
    <w:rsid w:val="3091142D"/>
    <w:rsid w:val="30B05F05"/>
    <w:rsid w:val="30CD3408"/>
    <w:rsid w:val="30CF4EA4"/>
    <w:rsid w:val="30F57DBC"/>
    <w:rsid w:val="30FA3624"/>
    <w:rsid w:val="31002A27"/>
    <w:rsid w:val="310A4AEB"/>
    <w:rsid w:val="310D2023"/>
    <w:rsid w:val="313308E4"/>
    <w:rsid w:val="314D7BF8"/>
    <w:rsid w:val="3163741B"/>
    <w:rsid w:val="31662CD4"/>
    <w:rsid w:val="318111E9"/>
    <w:rsid w:val="31857392"/>
    <w:rsid w:val="318E1BB8"/>
    <w:rsid w:val="319475D5"/>
    <w:rsid w:val="319976C6"/>
    <w:rsid w:val="319A711F"/>
    <w:rsid w:val="31A15954"/>
    <w:rsid w:val="31E22A36"/>
    <w:rsid w:val="31E75151"/>
    <w:rsid w:val="320643AF"/>
    <w:rsid w:val="32130E41"/>
    <w:rsid w:val="322841C1"/>
    <w:rsid w:val="322D6302"/>
    <w:rsid w:val="32562ADC"/>
    <w:rsid w:val="32632A63"/>
    <w:rsid w:val="326F46E0"/>
    <w:rsid w:val="32735F2E"/>
    <w:rsid w:val="327A3BC6"/>
    <w:rsid w:val="327D450D"/>
    <w:rsid w:val="327F745D"/>
    <w:rsid w:val="328225C5"/>
    <w:rsid w:val="3284589B"/>
    <w:rsid w:val="328E671A"/>
    <w:rsid w:val="32962C35"/>
    <w:rsid w:val="32983DAD"/>
    <w:rsid w:val="32990C1B"/>
    <w:rsid w:val="32C24615"/>
    <w:rsid w:val="32C65567"/>
    <w:rsid w:val="32CB013A"/>
    <w:rsid w:val="32D3412D"/>
    <w:rsid w:val="32DA017D"/>
    <w:rsid w:val="32E40E0C"/>
    <w:rsid w:val="32E4458C"/>
    <w:rsid w:val="32E8120D"/>
    <w:rsid w:val="32F347CF"/>
    <w:rsid w:val="32F848CB"/>
    <w:rsid w:val="33007B2E"/>
    <w:rsid w:val="330306C4"/>
    <w:rsid w:val="330B1B18"/>
    <w:rsid w:val="331134D2"/>
    <w:rsid w:val="331D1161"/>
    <w:rsid w:val="33372EAB"/>
    <w:rsid w:val="3341378C"/>
    <w:rsid w:val="334C66DF"/>
    <w:rsid w:val="335C4122"/>
    <w:rsid w:val="335D1989"/>
    <w:rsid w:val="336F1756"/>
    <w:rsid w:val="33786E01"/>
    <w:rsid w:val="337A0A4C"/>
    <w:rsid w:val="338056EA"/>
    <w:rsid w:val="33911204"/>
    <w:rsid w:val="33AF3D68"/>
    <w:rsid w:val="33AF6666"/>
    <w:rsid w:val="33B645E2"/>
    <w:rsid w:val="33BE6F4E"/>
    <w:rsid w:val="33C63C91"/>
    <w:rsid w:val="33CB572B"/>
    <w:rsid w:val="33CD2D9E"/>
    <w:rsid w:val="33CE657B"/>
    <w:rsid w:val="33EA3E24"/>
    <w:rsid w:val="33EC7B9C"/>
    <w:rsid w:val="33FB0977"/>
    <w:rsid w:val="34034EE6"/>
    <w:rsid w:val="340842AA"/>
    <w:rsid w:val="341C53BA"/>
    <w:rsid w:val="342C131A"/>
    <w:rsid w:val="34312EC5"/>
    <w:rsid w:val="344841F0"/>
    <w:rsid w:val="344A041F"/>
    <w:rsid w:val="347C39A8"/>
    <w:rsid w:val="34847DD4"/>
    <w:rsid w:val="34853B4C"/>
    <w:rsid w:val="3493296C"/>
    <w:rsid w:val="349A316D"/>
    <w:rsid w:val="34AE30A3"/>
    <w:rsid w:val="34B34723"/>
    <w:rsid w:val="34BC0331"/>
    <w:rsid w:val="34DF2CBA"/>
    <w:rsid w:val="34E41339"/>
    <w:rsid w:val="34EB6364"/>
    <w:rsid w:val="34F565DC"/>
    <w:rsid w:val="35132F06"/>
    <w:rsid w:val="35373099"/>
    <w:rsid w:val="3538296D"/>
    <w:rsid w:val="353F42E9"/>
    <w:rsid w:val="354B444E"/>
    <w:rsid w:val="354E440C"/>
    <w:rsid w:val="355E1771"/>
    <w:rsid w:val="356B4AF0"/>
    <w:rsid w:val="356F6F29"/>
    <w:rsid w:val="358A766C"/>
    <w:rsid w:val="358B2CE3"/>
    <w:rsid w:val="358C26FA"/>
    <w:rsid w:val="358E09E6"/>
    <w:rsid w:val="359C4C4F"/>
    <w:rsid w:val="35BE2E72"/>
    <w:rsid w:val="35C32BDC"/>
    <w:rsid w:val="35D5640E"/>
    <w:rsid w:val="35EC0748"/>
    <w:rsid w:val="364610BA"/>
    <w:rsid w:val="36724494"/>
    <w:rsid w:val="3679649B"/>
    <w:rsid w:val="367D0F7F"/>
    <w:rsid w:val="36826C31"/>
    <w:rsid w:val="368F0CBF"/>
    <w:rsid w:val="36916FED"/>
    <w:rsid w:val="36A469C4"/>
    <w:rsid w:val="36A521D9"/>
    <w:rsid w:val="36F55EAA"/>
    <w:rsid w:val="370F0532"/>
    <w:rsid w:val="37195AD1"/>
    <w:rsid w:val="372B09DB"/>
    <w:rsid w:val="3748158D"/>
    <w:rsid w:val="37763F45"/>
    <w:rsid w:val="3784095E"/>
    <w:rsid w:val="37895E9F"/>
    <w:rsid w:val="37A87D97"/>
    <w:rsid w:val="37E40B8A"/>
    <w:rsid w:val="37EA2644"/>
    <w:rsid w:val="37EB1F18"/>
    <w:rsid w:val="38044D88"/>
    <w:rsid w:val="3806031D"/>
    <w:rsid w:val="382C513A"/>
    <w:rsid w:val="38417D8A"/>
    <w:rsid w:val="3842422E"/>
    <w:rsid w:val="3847643D"/>
    <w:rsid w:val="38526F7A"/>
    <w:rsid w:val="387A2F34"/>
    <w:rsid w:val="387C555A"/>
    <w:rsid w:val="387E2D8D"/>
    <w:rsid w:val="389C521D"/>
    <w:rsid w:val="38E52970"/>
    <w:rsid w:val="38EA21D0"/>
    <w:rsid w:val="38F24DE8"/>
    <w:rsid w:val="38F372D7"/>
    <w:rsid w:val="38F65019"/>
    <w:rsid w:val="38FB43DD"/>
    <w:rsid w:val="39224CF6"/>
    <w:rsid w:val="3946752A"/>
    <w:rsid w:val="39641F82"/>
    <w:rsid w:val="39684912"/>
    <w:rsid w:val="396B0466"/>
    <w:rsid w:val="397441F3"/>
    <w:rsid w:val="398919E9"/>
    <w:rsid w:val="39A16C97"/>
    <w:rsid w:val="39A24859"/>
    <w:rsid w:val="39A56B84"/>
    <w:rsid w:val="39A77BB2"/>
    <w:rsid w:val="39AD5743"/>
    <w:rsid w:val="39BE5B37"/>
    <w:rsid w:val="39CD1EE3"/>
    <w:rsid w:val="39CD78A2"/>
    <w:rsid w:val="39D1471A"/>
    <w:rsid w:val="39ED6FF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AB0DAA"/>
    <w:rsid w:val="3BD80550"/>
    <w:rsid w:val="3BD80ACD"/>
    <w:rsid w:val="3BE56E1B"/>
    <w:rsid w:val="3BED2DB3"/>
    <w:rsid w:val="3C215F09"/>
    <w:rsid w:val="3C4075D1"/>
    <w:rsid w:val="3C436B55"/>
    <w:rsid w:val="3C595E61"/>
    <w:rsid w:val="3C622D83"/>
    <w:rsid w:val="3C7324DC"/>
    <w:rsid w:val="3C920830"/>
    <w:rsid w:val="3CAA7145"/>
    <w:rsid w:val="3CB74ABF"/>
    <w:rsid w:val="3CBC6D81"/>
    <w:rsid w:val="3CC0618E"/>
    <w:rsid w:val="3CC35212"/>
    <w:rsid w:val="3CC828E4"/>
    <w:rsid w:val="3CD14C56"/>
    <w:rsid w:val="3CD25455"/>
    <w:rsid w:val="3CD87391"/>
    <w:rsid w:val="3D1D70A7"/>
    <w:rsid w:val="3D2263DC"/>
    <w:rsid w:val="3D2736E7"/>
    <w:rsid w:val="3D2C1009"/>
    <w:rsid w:val="3D3C1DEC"/>
    <w:rsid w:val="3D3E7E89"/>
    <w:rsid w:val="3D502922"/>
    <w:rsid w:val="3D5D7415"/>
    <w:rsid w:val="3D605157"/>
    <w:rsid w:val="3D631F35"/>
    <w:rsid w:val="3DC96584"/>
    <w:rsid w:val="3DE042EE"/>
    <w:rsid w:val="3DE60DD6"/>
    <w:rsid w:val="3DF00D93"/>
    <w:rsid w:val="3E004349"/>
    <w:rsid w:val="3E0F7B1D"/>
    <w:rsid w:val="3E234AB8"/>
    <w:rsid w:val="3E2A5EBF"/>
    <w:rsid w:val="3E4009FD"/>
    <w:rsid w:val="3E444130"/>
    <w:rsid w:val="3E4C5C06"/>
    <w:rsid w:val="3E5C1BAD"/>
    <w:rsid w:val="3E60064C"/>
    <w:rsid w:val="3E9230EE"/>
    <w:rsid w:val="3E9F6F17"/>
    <w:rsid w:val="3EA37CD2"/>
    <w:rsid w:val="3EB36F85"/>
    <w:rsid w:val="3EDF3E59"/>
    <w:rsid w:val="3EE06168"/>
    <w:rsid w:val="3EE85404"/>
    <w:rsid w:val="3F141725"/>
    <w:rsid w:val="3F1B1335"/>
    <w:rsid w:val="3F200257"/>
    <w:rsid w:val="3F286DBF"/>
    <w:rsid w:val="3F4028FA"/>
    <w:rsid w:val="3F5F03B4"/>
    <w:rsid w:val="3F892743"/>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67D4F"/>
    <w:rsid w:val="4022565B"/>
    <w:rsid w:val="402266F3"/>
    <w:rsid w:val="40290AEF"/>
    <w:rsid w:val="403629A3"/>
    <w:rsid w:val="403B122D"/>
    <w:rsid w:val="404B007A"/>
    <w:rsid w:val="405A7C3B"/>
    <w:rsid w:val="405B7334"/>
    <w:rsid w:val="405C70C5"/>
    <w:rsid w:val="40646D0C"/>
    <w:rsid w:val="406B3BF6"/>
    <w:rsid w:val="40875F80"/>
    <w:rsid w:val="409505DD"/>
    <w:rsid w:val="40C31C84"/>
    <w:rsid w:val="40CD2BBC"/>
    <w:rsid w:val="40CE74E8"/>
    <w:rsid w:val="40D55514"/>
    <w:rsid w:val="40D7128C"/>
    <w:rsid w:val="40F96B4C"/>
    <w:rsid w:val="40FE0F0E"/>
    <w:rsid w:val="41107AF2"/>
    <w:rsid w:val="4135211F"/>
    <w:rsid w:val="41390199"/>
    <w:rsid w:val="4151076B"/>
    <w:rsid w:val="41561B7B"/>
    <w:rsid w:val="415B430F"/>
    <w:rsid w:val="415D5C35"/>
    <w:rsid w:val="415F2382"/>
    <w:rsid w:val="41644CA3"/>
    <w:rsid w:val="417C604D"/>
    <w:rsid w:val="418238EE"/>
    <w:rsid w:val="41876D28"/>
    <w:rsid w:val="41DF75B5"/>
    <w:rsid w:val="41E64E09"/>
    <w:rsid w:val="41E81646"/>
    <w:rsid w:val="421568CA"/>
    <w:rsid w:val="422229DB"/>
    <w:rsid w:val="422F2C0A"/>
    <w:rsid w:val="424B287B"/>
    <w:rsid w:val="42731F37"/>
    <w:rsid w:val="427A77FA"/>
    <w:rsid w:val="427C658F"/>
    <w:rsid w:val="42997141"/>
    <w:rsid w:val="42997BDD"/>
    <w:rsid w:val="42AC4D28"/>
    <w:rsid w:val="42B60CBA"/>
    <w:rsid w:val="42BA4570"/>
    <w:rsid w:val="42C43A92"/>
    <w:rsid w:val="42DB62DB"/>
    <w:rsid w:val="42EB3F94"/>
    <w:rsid w:val="42F40D87"/>
    <w:rsid w:val="43157031"/>
    <w:rsid w:val="431F6F1A"/>
    <w:rsid w:val="43204D6E"/>
    <w:rsid w:val="4329111F"/>
    <w:rsid w:val="433E0C67"/>
    <w:rsid w:val="434171A0"/>
    <w:rsid w:val="434F476D"/>
    <w:rsid w:val="43661D30"/>
    <w:rsid w:val="436C09A1"/>
    <w:rsid w:val="436E0D52"/>
    <w:rsid w:val="436F047F"/>
    <w:rsid w:val="436F39FE"/>
    <w:rsid w:val="436F7EA2"/>
    <w:rsid w:val="4379759E"/>
    <w:rsid w:val="437B082C"/>
    <w:rsid w:val="43863FBF"/>
    <w:rsid w:val="439E18DD"/>
    <w:rsid w:val="43B835F7"/>
    <w:rsid w:val="43BA63BC"/>
    <w:rsid w:val="43BD6A6D"/>
    <w:rsid w:val="43E56FFE"/>
    <w:rsid w:val="43E77A38"/>
    <w:rsid w:val="44033175"/>
    <w:rsid w:val="44071DF4"/>
    <w:rsid w:val="440C749E"/>
    <w:rsid w:val="441912DB"/>
    <w:rsid w:val="442347E8"/>
    <w:rsid w:val="442567B2"/>
    <w:rsid w:val="44384517"/>
    <w:rsid w:val="445B2639"/>
    <w:rsid w:val="446056EA"/>
    <w:rsid w:val="446948F1"/>
    <w:rsid w:val="44894274"/>
    <w:rsid w:val="44894414"/>
    <w:rsid w:val="44C77869"/>
    <w:rsid w:val="44D51F86"/>
    <w:rsid w:val="44E70410"/>
    <w:rsid w:val="451720F2"/>
    <w:rsid w:val="452B604A"/>
    <w:rsid w:val="453C0257"/>
    <w:rsid w:val="45406B12"/>
    <w:rsid w:val="455A06DD"/>
    <w:rsid w:val="455F7AA2"/>
    <w:rsid w:val="45667082"/>
    <w:rsid w:val="458F482B"/>
    <w:rsid w:val="45DA2E00"/>
    <w:rsid w:val="45EC42D6"/>
    <w:rsid w:val="45ED3300"/>
    <w:rsid w:val="45EF1111"/>
    <w:rsid w:val="460C7409"/>
    <w:rsid w:val="460D74FE"/>
    <w:rsid w:val="4636593F"/>
    <w:rsid w:val="464A2500"/>
    <w:rsid w:val="464C0026"/>
    <w:rsid w:val="465D4CB9"/>
    <w:rsid w:val="46957C1F"/>
    <w:rsid w:val="46B207DF"/>
    <w:rsid w:val="46B86825"/>
    <w:rsid w:val="46EA07B2"/>
    <w:rsid w:val="46F506BE"/>
    <w:rsid w:val="46F82CC1"/>
    <w:rsid w:val="4703337B"/>
    <w:rsid w:val="470E1780"/>
    <w:rsid w:val="47150D60"/>
    <w:rsid w:val="471E65B1"/>
    <w:rsid w:val="471F1784"/>
    <w:rsid w:val="47242D51"/>
    <w:rsid w:val="473311E6"/>
    <w:rsid w:val="47347438"/>
    <w:rsid w:val="474074AC"/>
    <w:rsid w:val="475A2341"/>
    <w:rsid w:val="4760647F"/>
    <w:rsid w:val="476C689D"/>
    <w:rsid w:val="478571E7"/>
    <w:rsid w:val="47A72EC9"/>
    <w:rsid w:val="47B71E17"/>
    <w:rsid w:val="47CA7D9C"/>
    <w:rsid w:val="47CC40D8"/>
    <w:rsid w:val="48082673"/>
    <w:rsid w:val="480B5E01"/>
    <w:rsid w:val="480E3260"/>
    <w:rsid w:val="48480CC1"/>
    <w:rsid w:val="485458B8"/>
    <w:rsid w:val="48597B07"/>
    <w:rsid w:val="48691B36"/>
    <w:rsid w:val="48741AB6"/>
    <w:rsid w:val="487910EC"/>
    <w:rsid w:val="487B1097"/>
    <w:rsid w:val="48877A3B"/>
    <w:rsid w:val="48886A56"/>
    <w:rsid w:val="488C0CE1"/>
    <w:rsid w:val="489C2DB7"/>
    <w:rsid w:val="489E1D09"/>
    <w:rsid w:val="48A028AB"/>
    <w:rsid w:val="48AA237C"/>
    <w:rsid w:val="48BD520B"/>
    <w:rsid w:val="48C1039E"/>
    <w:rsid w:val="48EB1D78"/>
    <w:rsid w:val="490023BE"/>
    <w:rsid w:val="49023B00"/>
    <w:rsid w:val="491A265E"/>
    <w:rsid w:val="491D285B"/>
    <w:rsid w:val="491D3EFC"/>
    <w:rsid w:val="491F1A22"/>
    <w:rsid w:val="493666B5"/>
    <w:rsid w:val="494877A6"/>
    <w:rsid w:val="49550062"/>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25785"/>
    <w:rsid w:val="4A372D9B"/>
    <w:rsid w:val="4A38723F"/>
    <w:rsid w:val="4A5676C5"/>
    <w:rsid w:val="4A5A4C2D"/>
    <w:rsid w:val="4A622805"/>
    <w:rsid w:val="4A791606"/>
    <w:rsid w:val="4A7A54B2"/>
    <w:rsid w:val="4A83500A"/>
    <w:rsid w:val="4A842484"/>
    <w:rsid w:val="4A995804"/>
    <w:rsid w:val="4AA246B9"/>
    <w:rsid w:val="4AA541A9"/>
    <w:rsid w:val="4AAF6399"/>
    <w:rsid w:val="4AB27C27"/>
    <w:rsid w:val="4AC24D5B"/>
    <w:rsid w:val="4AD3077D"/>
    <w:rsid w:val="4AD67A86"/>
    <w:rsid w:val="4B0F3D9B"/>
    <w:rsid w:val="4B1F5D09"/>
    <w:rsid w:val="4B21248D"/>
    <w:rsid w:val="4B2B3A38"/>
    <w:rsid w:val="4B313C8F"/>
    <w:rsid w:val="4B6C61E6"/>
    <w:rsid w:val="4B6D633F"/>
    <w:rsid w:val="4B6E1340"/>
    <w:rsid w:val="4B797CFE"/>
    <w:rsid w:val="4B7A6071"/>
    <w:rsid w:val="4B80662D"/>
    <w:rsid w:val="4B96714B"/>
    <w:rsid w:val="4BA95F1B"/>
    <w:rsid w:val="4BB16CD5"/>
    <w:rsid w:val="4BB5666E"/>
    <w:rsid w:val="4BB723FD"/>
    <w:rsid w:val="4BEE2F77"/>
    <w:rsid w:val="4BF73906"/>
    <w:rsid w:val="4C0F1BEA"/>
    <w:rsid w:val="4C3A2445"/>
    <w:rsid w:val="4C3C28EB"/>
    <w:rsid w:val="4C5C727E"/>
    <w:rsid w:val="4C7223A4"/>
    <w:rsid w:val="4C87625C"/>
    <w:rsid w:val="4C8D6053"/>
    <w:rsid w:val="4C942D3E"/>
    <w:rsid w:val="4CA24E44"/>
    <w:rsid w:val="4CA56323"/>
    <w:rsid w:val="4CF66F3E"/>
    <w:rsid w:val="4D0478AD"/>
    <w:rsid w:val="4D0A4797"/>
    <w:rsid w:val="4D0C6761"/>
    <w:rsid w:val="4D0D5086"/>
    <w:rsid w:val="4D187642"/>
    <w:rsid w:val="4D2553D4"/>
    <w:rsid w:val="4D2F41FE"/>
    <w:rsid w:val="4D56422A"/>
    <w:rsid w:val="4D6F3B43"/>
    <w:rsid w:val="4D706155"/>
    <w:rsid w:val="4D712FDA"/>
    <w:rsid w:val="4D746E8E"/>
    <w:rsid w:val="4D800456"/>
    <w:rsid w:val="4D862070"/>
    <w:rsid w:val="4D92310A"/>
    <w:rsid w:val="4D9D385D"/>
    <w:rsid w:val="4DA4572D"/>
    <w:rsid w:val="4DAD086E"/>
    <w:rsid w:val="4DC4703C"/>
    <w:rsid w:val="4DCD7C9F"/>
    <w:rsid w:val="4DE17BEE"/>
    <w:rsid w:val="4E1C02AE"/>
    <w:rsid w:val="4E1E6324"/>
    <w:rsid w:val="4E226070"/>
    <w:rsid w:val="4E4F4B57"/>
    <w:rsid w:val="4E5C1A72"/>
    <w:rsid w:val="4E615284"/>
    <w:rsid w:val="4EA64556"/>
    <w:rsid w:val="4EAD29E4"/>
    <w:rsid w:val="4EC310A1"/>
    <w:rsid w:val="4EEA2AD2"/>
    <w:rsid w:val="4F043B94"/>
    <w:rsid w:val="4F1A55F3"/>
    <w:rsid w:val="4F1B205A"/>
    <w:rsid w:val="4F2A7373"/>
    <w:rsid w:val="4F2E5442"/>
    <w:rsid w:val="4F2F1144"/>
    <w:rsid w:val="4F30313F"/>
    <w:rsid w:val="4F52580A"/>
    <w:rsid w:val="4F691C49"/>
    <w:rsid w:val="4F6A776F"/>
    <w:rsid w:val="4F702FD7"/>
    <w:rsid w:val="4F707F08"/>
    <w:rsid w:val="4F9273F2"/>
    <w:rsid w:val="4FD277EE"/>
    <w:rsid w:val="4FDA7D75"/>
    <w:rsid w:val="4FF57980"/>
    <w:rsid w:val="501E6ED7"/>
    <w:rsid w:val="50395ABF"/>
    <w:rsid w:val="50461F8A"/>
    <w:rsid w:val="50787096"/>
    <w:rsid w:val="507C775A"/>
    <w:rsid w:val="508D5E0B"/>
    <w:rsid w:val="508F1B83"/>
    <w:rsid w:val="50B25281"/>
    <w:rsid w:val="50E579F5"/>
    <w:rsid w:val="50E87836"/>
    <w:rsid w:val="50EA500B"/>
    <w:rsid w:val="50F83282"/>
    <w:rsid w:val="50FB4B23"/>
    <w:rsid w:val="51173459"/>
    <w:rsid w:val="511E2B79"/>
    <w:rsid w:val="51265C7E"/>
    <w:rsid w:val="514814EC"/>
    <w:rsid w:val="51484635"/>
    <w:rsid w:val="5153670D"/>
    <w:rsid w:val="515E4990"/>
    <w:rsid w:val="515F1555"/>
    <w:rsid w:val="519C765E"/>
    <w:rsid w:val="51A83B47"/>
    <w:rsid w:val="51AC22C1"/>
    <w:rsid w:val="51B17E6B"/>
    <w:rsid w:val="51CB2747"/>
    <w:rsid w:val="51DB032E"/>
    <w:rsid w:val="51EB4B97"/>
    <w:rsid w:val="51EE6435"/>
    <w:rsid w:val="5201260D"/>
    <w:rsid w:val="52072F1E"/>
    <w:rsid w:val="5217644D"/>
    <w:rsid w:val="523D6181"/>
    <w:rsid w:val="523F4EE3"/>
    <w:rsid w:val="524620FA"/>
    <w:rsid w:val="5274360D"/>
    <w:rsid w:val="52756B57"/>
    <w:rsid w:val="52972F71"/>
    <w:rsid w:val="52BF7DD2"/>
    <w:rsid w:val="52DA5E34"/>
    <w:rsid w:val="52EC1919"/>
    <w:rsid w:val="530A3743"/>
    <w:rsid w:val="530D2815"/>
    <w:rsid w:val="532145E9"/>
    <w:rsid w:val="53395DD6"/>
    <w:rsid w:val="5347038D"/>
    <w:rsid w:val="534A6CD4"/>
    <w:rsid w:val="534E7AD3"/>
    <w:rsid w:val="536553EF"/>
    <w:rsid w:val="536D1CDA"/>
    <w:rsid w:val="538B4884"/>
    <w:rsid w:val="53980D4F"/>
    <w:rsid w:val="53A3143D"/>
    <w:rsid w:val="53A63921"/>
    <w:rsid w:val="53AC47FA"/>
    <w:rsid w:val="53CC5791"/>
    <w:rsid w:val="53D95D45"/>
    <w:rsid w:val="53DA1367"/>
    <w:rsid w:val="53E23AD8"/>
    <w:rsid w:val="53E2646E"/>
    <w:rsid w:val="53EB53BD"/>
    <w:rsid w:val="53F8359B"/>
    <w:rsid w:val="542216C6"/>
    <w:rsid w:val="54505185"/>
    <w:rsid w:val="545671EC"/>
    <w:rsid w:val="54611097"/>
    <w:rsid w:val="54684BC5"/>
    <w:rsid w:val="5487370E"/>
    <w:rsid w:val="54915C10"/>
    <w:rsid w:val="54C735ED"/>
    <w:rsid w:val="54CD4A28"/>
    <w:rsid w:val="54D15F1A"/>
    <w:rsid w:val="54D264E2"/>
    <w:rsid w:val="54D647BE"/>
    <w:rsid w:val="54D65699"/>
    <w:rsid w:val="54E01D6C"/>
    <w:rsid w:val="54E47B17"/>
    <w:rsid w:val="54E754F3"/>
    <w:rsid w:val="54E9481D"/>
    <w:rsid w:val="54F226E1"/>
    <w:rsid w:val="55046B0A"/>
    <w:rsid w:val="55094443"/>
    <w:rsid w:val="55173007"/>
    <w:rsid w:val="554127C0"/>
    <w:rsid w:val="55560EC1"/>
    <w:rsid w:val="5579695E"/>
    <w:rsid w:val="557A0C4C"/>
    <w:rsid w:val="557D19A9"/>
    <w:rsid w:val="55AF118E"/>
    <w:rsid w:val="55B87486"/>
    <w:rsid w:val="55C470D8"/>
    <w:rsid w:val="55CD41D9"/>
    <w:rsid w:val="55CE6CAA"/>
    <w:rsid w:val="55DF5DA8"/>
    <w:rsid w:val="55EF136D"/>
    <w:rsid w:val="55F55C55"/>
    <w:rsid w:val="56156687"/>
    <w:rsid w:val="56177EC9"/>
    <w:rsid w:val="5635492A"/>
    <w:rsid w:val="563F0838"/>
    <w:rsid w:val="566E6859"/>
    <w:rsid w:val="5684052B"/>
    <w:rsid w:val="56893B3D"/>
    <w:rsid w:val="56921A85"/>
    <w:rsid w:val="56927CD7"/>
    <w:rsid w:val="569976E5"/>
    <w:rsid w:val="56E16569"/>
    <w:rsid w:val="56ED542D"/>
    <w:rsid w:val="56EE460E"/>
    <w:rsid w:val="56F25D16"/>
    <w:rsid w:val="56F72230"/>
    <w:rsid w:val="56F770C8"/>
    <w:rsid w:val="56F95FA8"/>
    <w:rsid w:val="57087F99"/>
    <w:rsid w:val="570A5ABF"/>
    <w:rsid w:val="570F0DAD"/>
    <w:rsid w:val="57136DC9"/>
    <w:rsid w:val="571C1C97"/>
    <w:rsid w:val="57280A9C"/>
    <w:rsid w:val="57342B3C"/>
    <w:rsid w:val="57394670"/>
    <w:rsid w:val="57443D1C"/>
    <w:rsid w:val="575738E1"/>
    <w:rsid w:val="5769056B"/>
    <w:rsid w:val="57715B3F"/>
    <w:rsid w:val="577949F3"/>
    <w:rsid w:val="579068FA"/>
    <w:rsid w:val="579730CB"/>
    <w:rsid w:val="579B705F"/>
    <w:rsid w:val="57F02C2A"/>
    <w:rsid w:val="57F246BE"/>
    <w:rsid w:val="57F648EB"/>
    <w:rsid w:val="5809221B"/>
    <w:rsid w:val="5814296E"/>
    <w:rsid w:val="582A3F3F"/>
    <w:rsid w:val="582B03E3"/>
    <w:rsid w:val="582F35B7"/>
    <w:rsid w:val="5839262E"/>
    <w:rsid w:val="58465229"/>
    <w:rsid w:val="585F0D52"/>
    <w:rsid w:val="586525C2"/>
    <w:rsid w:val="586557AC"/>
    <w:rsid w:val="5867455C"/>
    <w:rsid w:val="58684D84"/>
    <w:rsid w:val="587A5C94"/>
    <w:rsid w:val="588B42F5"/>
    <w:rsid w:val="588D4BFA"/>
    <w:rsid w:val="58A81A34"/>
    <w:rsid w:val="58C139D3"/>
    <w:rsid w:val="58C93758"/>
    <w:rsid w:val="58D72319"/>
    <w:rsid w:val="58DE5456"/>
    <w:rsid w:val="5939268C"/>
    <w:rsid w:val="594C6725"/>
    <w:rsid w:val="59617E35"/>
    <w:rsid w:val="596E25BB"/>
    <w:rsid w:val="59722042"/>
    <w:rsid w:val="59777658"/>
    <w:rsid w:val="59796F2C"/>
    <w:rsid w:val="598F6769"/>
    <w:rsid w:val="599E0ACF"/>
    <w:rsid w:val="59AD3D34"/>
    <w:rsid w:val="59B03888"/>
    <w:rsid w:val="59C503C4"/>
    <w:rsid w:val="59EC76FE"/>
    <w:rsid w:val="59F91818"/>
    <w:rsid w:val="5A172243"/>
    <w:rsid w:val="5A196ED2"/>
    <w:rsid w:val="5A3317D1"/>
    <w:rsid w:val="5A395B76"/>
    <w:rsid w:val="5A3C781D"/>
    <w:rsid w:val="5A432F55"/>
    <w:rsid w:val="5A5878B5"/>
    <w:rsid w:val="5A636344"/>
    <w:rsid w:val="5AA2093F"/>
    <w:rsid w:val="5AA95EA4"/>
    <w:rsid w:val="5AAF59A9"/>
    <w:rsid w:val="5AD63E09"/>
    <w:rsid w:val="5AE40D1D"/>
    <w:rsid w:val="5AFF3461"/>
    <w:rsid w:val="5B0945C9"/>
    <w:rsid w:val="5B123195"/>
    <w:rsid w:val="5B223606"/>
    <w:rsid w:val="5B266C40"/>
    <w:rsid w:val="5B2E6FAA"/>
    <w:rsid w:val="5B4332B6"/>
    <w:rsid w:val="5B4B66A7"/>
    <w:rsid w:val="5B5E0F00"/>
    <w:rsid w:val="5B7420A1"/>
    <w:rsid w:val="5B972453"/>
    <w:rsid w:val="5B9E7C72"/>
    <w:rsid w:val="5BA87F9D"/>
    <w:rsid w:val="5BAF4E87"/>
    <w:rsid w:val="5BDE39BF"/>
    <w:rsid w:val="5BE65C1B"/>
    <w:rsid w:val="5BFD68E7"/>
    <w:rsid w:val="5C0B7B76"/>
    <w:rsid w:val="5C1271C4"/>
    <w:rsid w:val="5C675762"/>
    <w:rsid w:val="5C682BEC"/>
    <w:rsid w:val="5C9A1694"/>
    <w:rsid w:val="5C9D1184"/>
    <w:rsid w:val="5C9D480A"/>
    <w:rsid w:val="5CA7123C"/>
    <w:rsid w:val="5CAE15E3"/>
    <w:rsid w:val="5CC42BB4"/>
    <w:rsid w:val="5CC826A5"/>
    <w:rsid w:val="5CDC7EFE"/>
    <w:rsid w:val="5CF77950"/>
    <w:rsid w:val="5D101956"/>
    <w:rsid w:val="5D441D14"/>
    <w:rsid w:val="5D4A542D"/>
    <w:rsid w:val="5D7F228B"/>
    <w:rsid w:val="5D972077"/>
    <w:rsid w:val="5DAE426C"/>
    <w:rsid w:val="5DAF467E"/>
    <w:rsid w:val="5DCD04E0"/>
    <w:rsid w:val="5DD03A54"/>
    <w:rsid w:val="5DD15BF4"/>
    <w:rsid w:val="5DD25BBB"/>
    <w:rsid w:val="5DD4615C"/>
    <w:rsid w:val="5DDE1134"/>
    <w:rsid w:val="5DE66B5A"/>
    <w:rsid w:val="5E1D1CEB"/>
    <w:rsid w:val="5E23390B"/>
    <w:rsid w:val="5E311C0C"/>
    <w:rsid w:val="5E3C66E4"/>
    <w:rsid w:val="5E895C8E"/>
    <w:rsid w:val="5ED510A9"/>
    <w:rsid w:val="5ED57321"/>
    <w:rsid w:val="5F20216B"/>
    <w:rsid w:val="5F36439B"/>
    <w:rsid w:val="5F5A15AE"/>
    <w:rsid w:val="5F755A2A"/>
    <w:rsid w:val="5F814D8D"/>
    <w:rsid w:val="5F8328B3"/>
    <w:rsid w:val="5F8959EF"/>
    <w:rsid w:val="5F920D48"/>
    <w:rsid w:val="5FA40A7B"/>
    <w:rsid w:val="5FA930CA"/>
    <w:rsid w:val="5FB07420"/>
    <w:rsid w:val="5FC04410"/>
    <w:rsid w:val="5FC652C4"/>
    <w:rsid w:val="5FC845C3"/>
    <w:rsid w:val="5FCB6F0A"/>
    <w:rsid w:val="5FD56738"/>
    <w:rsid w:val="5FE62E42"/>
    <w:rsid w:val="6016735B"/>
    <w:rsid w:val="601C6864"/>
    <w:rsid w:val="601F4747"/>
    <w:rsid w:val="602D6CC3"/>
    <w:rsid w:val="602F6597"/>
    <w:rsid w:val="6052321D"/>
    <w:rsid w:val="60696BC9"/>
    <w:rsid w:val="606D699C"/>
    <w:rsid w:val="608508AD"/>
    <w:rsid w:val="609A3376"/>
    <w:rsid w:val="60A42170"/>
    <w:rsid w:val="60CF38D6"/>
    <w:rsid w:val="60E5134B"/>
    <w:rsid w:val="60FD45FF"/>
    <w:rsid w:val="611A0FF5"/>
    <w:rsid w:val="61220F29"/>
    <w:rsid w:val="612B3202"/>
    <w:rsid w:val="616008F1"/>
    <w:rsid w:val="61847169"/>
    <w:rsid w:val="618625DD"/>
    <w:rsid w:val="61903065"/>
    <w:rsid w:val="61932B55"/>
    <w:rsid w:val="61AB53ED"/>
    <w:rsid w:val="61B7149D"/>
    <w:rsid w:val="61B9080E"/>
    <w:rsid w:val="61CA1C79"/>
    <w:rsid w:val="61D61932"/>
    <w:rsid w:val="61EB00B2"/>
    <w:rsid w:val="61FB44F2"/>
    <w:rsid w:val="620852F1"/>
    <w:rsid w:val="621048C9"/>
    <w:rsid w:val="6210694A"/>
    <w:rsid w:val="621231A6"/>
    <w:rsid w:val="621641CF"/>
    <w:rsid w:val="62210161"/>
    <w:rsid w:val="62861F1F"/>
    <w:rsid w:val="629139EC"/>
    <w:rsid w:val="62917095"/>
    <w:rsid w:val="62A16A87"/>
    <w:rsid w:val="62CF7FE7"/>
    <w:rsid w:val="62D94CCA"/>
    <w:rsid w:val="63141A74"/>
    <w:rsid w:val="631D2A8C"/>
    <w:rsid w:val="63462575"/>
    <w:rsid w:val="63493E13"/>
    <w:rsid w:val="634D013B"/>
    <w:rsid w:val="635A1B7D"/>
    <w:rsid w:val="63666773"/>
    <w:rsid w:val="638B7F88"/>
    <w:rsid w:val="63931444"/>
    <w:rsid w:val="63936E3D"/>
    <w:rsid w:val="639B087E"/>
    <w:rsid w:val="63A64DC2"/>
    <w:rsid w:val="63A90E76"/>
    <w:rsid w:val="63B55005"/>
    <w:rsid w:val="63BA6D0B"/>
    <w:rsid w:val="63CB5CCC"/>
    <w:rsid w:val="63DF65BB"/>
    <w:rsid w:val="63EB4ECB"/>
    <w:rsid w:val="63F975E8"/>
    <w:rsid w:val="63FA3360"/>
    <w:rsid w:val="640B731B"/>
    <w:rsid w:val="641745A0"/>
    <w:rsid w:val="642479C1"/>
    <w:rsid w:val="645C36D2"/>
    <w:rsid w:val="64657739"/>
    <w:rsid w:val="64754794"/>
    <w:rsid w:val="64824B18"/>
    <w:rsid w:val="64881976"/>
    <w:rsid w:val="64942E6C"/>
    <w:rsid w:val="64AE3CB5"/>
    <w:rsid w:val="64AF6674"/>
    <w:rsid w:val="64B90B25"/>
    <w:rsid w:val="64CD637E"/>
    <w:rsid w:val="64CF659A"/>
    <w:rsid w:val="64DC03FF"/>
    <w:rsid w:val="64F425BA"/>
    <w:rsid w:val="65071890"/>
    <w:rsid w:val="650D6603"/>
    <w:rsid w:val="65202952"/>
    <w:rsid w:val="65210C32"/>
    <w:rsid w:val="652225D5"/>
    <w:rsid w:val="652F2B95"/>
    <w:rsid w:val="65311E05"/>
    <w:rsid w:val="65451957"/>
    <w:rsid w:val="65623E76"/>
    <w:rsid w:val="65744201"/>
    <w:rsid w:val="659770B8"/>
    <w:rsid w:val="65995BCE"/>
    <w:rsid w:val="65B46366"/>
    <w:rsid w:val="65BD63F3"/>
    <w:rsid w:val="65D025CA"/>
    <w:rsid w:val="65F570CF"/>
    <w:rsid w:val="66002CD4"/>
    <w:rsid w:val="660364FC"/>
    <w:rsid w:val="6624387D"/>
    <w:rsid w:val="662824C8"/>
    <w:rsid w:val="66320B8F"/>
    <w:rsid w:val="663E7534"/>
    <w:rsid w:val="664B6B47"/>
    <w:rsid w:val="66661757"/>
    <w:rsid w:val="66763171"/>
    <w:rsid w:val="667C005C"/>
    <w:rsid w:val="66976C44"/>
    <w:rsid w:val="669B7B39"/>
    <w:rsid w:val="669D7D90"/>
    <w:rsid w:val="66AC7A81"/>
    <w:rsid w:val="66AE4D0B"/>
    <w:rsid w:val="66B5494D"/>
    <w:rsid w:val="66B84695"/>
    <w:rsid w:val="66C917CD"/>
    <w:rsid w:val="66D103A8"/>
    <w:rsid w:val="66DE0D17"/>
    <w:rsid w:val="66EF6A80"/>
    <w:rsid w:val="66F978FF"/>
    <w:rsid w:val="66FB71D3"/>
    <w:rsid w:val="670523DE"/>
    <w:rsid w:val="670C0755"/>
    <w:rsid w:val="670C5884"/>
    <w:rsid w:val="670D5158"/>
    <w:rsid w:val="67461D48"/>
    <w:rsid w:val="67472418"/>
    <w:rsid w:val="67486190"/>
    <w:rsid w:val="674A6CAF"/>
    <w:rsid w:val="6753133A"/>
    <w:rsid w:val="676034DA"/>
    <w:rsid w:val="67664F8C"/>
    <w:rsid w:val="67694A84"/>
    <w:rsid w:val="67784F2E"/>
    <w:rsid w:val="678A67A9"/>
    <w:rsid w:val="678F1925"/>
    <w:rsid w:val="67942577"/>
    <w:rsid w:val="67A92539"/>
    <w:rsid w:val="67C31BF5"/>
    <w:rsid w:val="67CA4EF1"/>
    <w:rsid w:val="67DF6AF4"/>
    <w:rsid w:val="67E20393"/>
    <w:rsid w:val="67F76A7E"/>
    <w:rsid w:val="67F86871"/>
    <w:rsid w:val="681D13CB"/>
    <w:rsid w:val="684352D5"/>
    <w:rsid w:val="684D1CB0"/>
    <w:rsid w:val="686F772B"/>
    <w:rsid w:val="686F7E78"/>
    <w:rsid w:val="687E455F"/>
    <w:rsid w:val="687E630D"/>
    <w:rsid w:val="688B0A2A"/>
    <w:rsid w:val="68A5389A"/>
    <w:rsid w:val="68AF3CA2"/>
    <w:rsid w:val="68B86B08"/>
    <w:rsid w:val="68BB130F"/>
    <w:rsid w:val="68CB0E27"/>
    <w:rsid w:val="68CC560D"/>
    <w:rsid w:val="68E97265"/>
    <w:rsid w:val="68EF0FB9"/>
    <w:rsid w:val="691105D4"/>
    <w:rsid w:val="691668C0"/>
    <w:rsid w:val="691E189E"/>
    <w:rsid w:val="692635EB"/>
    <w:rsid w:val="69342E70"/>
    <w:rsid w:val="693B41FE"/>
    <w:rsid w:val="6951757E"/>
    <w:rsid w:val="69561384"/>
    <w:rsid w:val="69775165"/>
    <w:rsid w:val="69807E63"/>
    <w:rsid w:val="699F02F4"/>
    <w:rsid w:val="69B230A2"/>
    <w:rsid w:val="69CB3977"/>
    <w:rsid w:val="69DA3A17"/>
    <w:rsid w:val="69E2224C"/>
    <w:rsid w:val="69F819AA"/>
    <w:rsid w:val="6A136F29"/>
    <w:rsid w:val="6A187723"/>
    <w:rsid w:val="6A1D1B56"/>
    <w:rsid w:val="6A1D2B18"/>
    <w:rsid w:val="6A3B3FBC"/>
    <w:rsid w:val="6A595414"/>
    <w:rsid w:val="6A5A4A67"/>
    <w:rsid w:val="6A6E7FF3"/>
    <w:rsid w:val="6A700C09"/>
    <w:rsid w:val="6A82630A"/>
    <w:rsid w:val="6A8E3BBF"/>
    <w:rsid w:val="6AA67D9D"/>
    <w:rsid w:val="6AAD2EDA"/>
    <w:rsid w:val="6AAD6A36"/>
    <w:rsid w:val="6AC57AA5"/>
    <w:rsid w:val="6ADD3291"/>
    <w:rsid w:val="6AE66C85"/>
    <w:rsid w:val="6B0A70A4"/>
    <w:rsid w:val="6B3B6738"/>
    <w:rsid w:val="6B3D24B0"/>
    <w:rsid w:val="6B685053"/>
    <w:rsid w:val="6B747DD8"/>
    <w:rsid w:val="6B7B4D86"/>
    <w:rsid w:val="6B7F4739"/>
    <w:rsid w:val="6B8A4FC9"/>
    <w:rsid w:val="6B9A5FD4"/>
    <w:rsid w:val="6BA75B7B"/>
    <w:rsid w:val="6BD36970"/>
    <w:rsid w:val="6C042FCD"/>
    <w:rsid w:val="6C186A79"/>
    <w:rsid w:val="6C20148A"/>
    <w:rsid w:val="6C44786E"/>
    <w:rsid w:val="6C5A2C3C"/>
    <w:rsid w:val="6C9431CC"/>
    <w:rsid w:val="6CAB1AEE"/>
    <w:rsid w:val="6CAE2F39"/>
    <w:rsid w:val="6CAF10DA"/>
    <w:rsid w:val="6CB513FE"/>
    <w:rsid w:val="6CDA06B8"/>
    <w:rsid w:val="6CEA2E79"/>
    <w:rsid w:val="6D0715F8"/>
    <w:rsid w:val="6D0B213A"/>
    <w:rsid w:val="6D30394E"/>
    <w:rsid w:val="6D413DAD"/>
    <w:rsid w:val="6D426B56"/>
    <w:rsid w:val="6D505108"/>
    <w:rsid w:val="6D77297F"/>
    <w:rsid w:val="6D8238F3"/>
    <w:rsid w:val="6D8617C0"/>
    <w:rsid w:val="6D920165"/>
    <w:rsid w:val="6DBB5AC1"/>
    <w:rsid w:val="6DCF4F15"/>
    <w:rsid w:val="6E0468F3"/>
    <w:rsid w:val="6E0F7A08"/>
    <w:rsid w:val="6E2A3DDE"/>
    <w:rsid w:val="6E38263C"/>
    <w:rsid w:val="6E526272"/>
    <w:rsid w:val="6E573B2B"/>
    <w:rsid w:val="6E94481B"/>
    <w:rsid w:val="6EA2373C"/>
    <w:rsid w:val="6EDF387E"/>
    <w:rsid w:val="6EEB5F06"/>
    <w:rsid w:val="6EF34718"/>
    <w:rsid w:val="6F0357BE"/>
    <w:rsid w:val="6F0B01CF"/>
    <w:rsid w:val="6F241291"/>
    <w:rsid w:val="6F4066AD"/>
    <w:rsid w:val="6F4A1C6F"/>
    <w:rsid w:val="6F573660"/>
    <w:rsid w:val="6F6955AC"/>
    <w:rsid w:val="6F6F075E"/>
    <w:rsid w:val="6F7658CB"/>
    <w:rsid w:val="6F976FBE"/>
    <w:rsid w:val="6FA359EB"/>
    <w:rsid w:val="6FA6381A"/>
    <w:rsid w:val="6FB42615"/>
    <w:rsid w:val="6FC36CFC"/>
    <w:rsid w:val="6FCA63E4"/>
    <w:rsid w:val="6FD26F3F"/>
    <w:rsid w:val="6FF218DD"/>
    <w:rsid w:val="6FF42BE0"/>
    <w:rsid w:val="6FFC41AF"/>
    <w:rsid w:val="6FFF339E"/>
    <w:rsid w:val="700C0A1A"/>
    <w:rsid w:val="70187191"/>
    <w:rsid w:val="701B08E6"/>
    <w:rsid w:val="704C4F43"/>
    <w:rsid w:val="705A531C"/>
    <w:rsid w:val="705D4A5A"/>
    <w:rsid w:val="706804A2"/>
    <w:rsid w:val="706C2EEF"/>
    <w:rsid w:val="70761F1B"/>
    <w:rsid w:val="708C1ED2"/>
    <w:rsid w:val="70C44966"/>
    <w:rsid w:val="70CB230C"/>
    <w:rsid w:val="70E32593"/>
    <w:rsid w:val="70E801A2"/>
    <w:rsid w:val="7104581E"/>
    <w:rsid w:val="710B6BAC"/>
    <w:rsid w:val="71132E62"/>
    <w:rsid w:val="711D41EA"/>
    <w:rsid w:val="71222297"/>
    <w:rsid w:val="71231438"/>
    <w:rsid w:val="714348B5"/>
    <w:rsid w:val="71504B10"/>
    <w:rsid w:val="71554590"/>
    <w:rsid w:val="715A0F06"/>
    <w:rsid w:val="715C38D8"/>
    <w:rsid w:val="715D01AD"/>
    <w:rsid w:val="716C2775"/>
    <w:rsid w:val="7175165A"/>
    <w:rsid w:val="719941B8"/>
    <w:rsid w:val="719E357C"/>
    <w:rsid w:val="71A87F57"/>
    <w:rsid w:val="71BD1788"/>
    <w:rsid w:val="71C50B09"/>
    <w:rsid w:val="71FB452B"/>
    <w:rsid w:val="722515A8"/>
    <w:rsid w:val="723979C9"/>
    <w:rsid w:val="72465471"/>
    <w:rsid w:val="725E7ADD"/>
    <w:rsid w:val="727265AC"/>
    <w:rsid w:val="727B1B10"/>
    <w:rsid w:val="727D13E4"/>
    <w:rsid w:val="729C3F60"/>
    <w:rsid w:val="729D54E7"/>
    <w:rsid w:val="72A526E9"/>
    <w:rsid w:val="72D71070"/>
    <w:rsid w:val="72EC1039"/>
    <w:rsid w:val="72F13B80"/>
    <w:rsid w:val="72FF57F4"/>
    <w:rsid w:val="73004C2C"/>
    <w:rsid w:val="7304330F"/>
    <w:rsid w:val="73085A6A"/>
    <w:rsid w:val="732E5FCC"/>
    <w:rsid w:val="73337CF4"/>
    <w:rsid w:val="733817AF"/>
    <w:rsid w:val="73412411"/>
    <w:rsid w:val="73440778"/>
    <w:rsid w:val="734463A5"/>
    <w:rsid w:val="73520AC2"/>
    <w:rsid w:val="7358775B"/>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574FA"/>
    <w:rsid w:val="74566390"/>
    <w:rsid w:val="745E0F4B"/>
    <w:rsid w:val="74714F78"/>
    <w:rsid w:val="74805D4F"/>
    <w:rsid w:val="749F595E"/>
    <w:rsid w:val="74AA2238"/>
    <w:rsid w:val="74DF0134"/>
    <w:rsid w:val="74F87650"/>
    <w:rsid w:val="75054390"/>
    <w:rsid w:val="75114065"/>
    <w:rsid w:val="751A5610"/>
    <w:rsid w:val="7539539D"/>
    <w:rsid w:val="754805A5"/>
    <w:rsid w:val="75695C4F"/>
    <w:rsid w:val="757B0B57"/>
    <w:rsid w:val="759248B8"/>
    <w:rsid w:val="759C7DD3"/>
    <w:rsid w:val="75A153E9"/>
    <w:rsid w:val="75A2017C"/>
    <w:rsid w:val="75CB6E7D"/>
    <w:rsid w:val="75E32C67"/>
    <w:rsid w:val="75EA3234"/>
    <w:rsid w:val="75ED3231"/>
    <w:rsid w:val="75FC2C73"/>
    <w:rsid w:val="75FD5C4B"/>
    <w:rsid w:val="76047756"/>
    <w:rsid w:val="76155660"/>
    <w:rsid w:val="761B33ED"/>
    <w:rsid w:val="761E5D99"/>
    <w:rsid w:val="761F03BE"/>
    <w:rsid w:val="762B1157"/>
    <w:rsid w:val="76315A85"/>
    <w:rsid w:val="764A5A81"/>
    <w:rsid w:val="764C7A4B"/>
    <w:rsid w:val="766111DA"/>
    <w:rsid w:val="76612DCA"/>
    <w:rsid w:val="766528BB"/>
    <w:rsid w:val="766E040B"/>
    <w:rsid w:val="767B20DE"/>
    <w:rsid w:val="767B7C93"/>
    <w:rsid w:val="768C42EB"/>
    <w:rsid w:val="7694586D"/>
    <w:rsid w:val="76B4739E"/>
    <w:rsid w:val="76C75323"/>
    <w:rsid w:val="76D1655C"/>
    <w:rsid w:val="76D25D41"/>
    <w:rsid w:val="76E666DE"/>
    <w:rsid w:val="76E72AA0"/>
    <w:rsid w:val="76EC6353"/>
    <w:rsid w:val="7701090C"/>
    <w:rsid w:val="771A711A"/>
    <w:rsid w:val="771D4F43"/>
    <w:rsid w:val="772A600E"/>
    <w:rsid w:val="77336515"/>
    <w:rsid w:val="77362975"/>
    <w:rsid w:val="77422BFC"/>
    <w:rsid w:val="77444BC6"/>
    <w:rsid w:val="77577349"/>
    <w:rsid w:val="775972A4"/>
    <w:rsid w:val="775A6197"/>
    <w:rsid w:val="77634A70"/>
    <w:rsid w:val="776D7992"/>
    <w:rsid w:val="7772349F"/>
    <w:rsid w:val="777A3677"/>
    <w:rsid w:val="777C4360"/>
    <w:rsid w:val="778238FB"/>
    <w:rsid w:val="77955421"/>
    <w:rsid w:val="77A411C1"/>
    <w:rsid w:val="77B238DE"/>
    <w:rsid w:val="77DC6BAC"/>
    <w:rsid w:val="77F71C38"/>
    <w:rsid w:val="77F90661"/>
    <w:rsid w:val="7808174F"/>
    <w:rsid w:val="780D57F6"/>
    <w:rsid w:val="78106856"/>
    <w:rsid w:val="781E4FE7"/>
    <w:rsid w:val="783764D9"/>
    <w:rsid w:val="7840256B"/>
    <w:rsid w:val="78657AAC"/>
    <w:rsid w:val="786B45A0"/>
    <w:rsid w:val="7884096A"/>
    <w:rsid w:val="78850FF2"/>
    <w:rsid w:val="788E0A67"/>
    <w:rsid w:val="789524E8"/>
    <w:rsid w:val="78B611AB"/>
    <w:rsid w:val="78CA10FB"/>
    <w:rsid w:val="78E03E67"/>
    <w:rsid w:val="78E51A91"/>
    <w:rsid w:val="78EA52F9"/>
    <w:rsid w:val="78F06D68"/>
    <w:rsid w:val="78F55DA6"/>
    <w:rsid w:val="790E548B"/>
    <w:rsid w:val="79236E7C"/>
    <w:rsid w:val="792A1B99"/>
    <w:rsid w:val="793D1B4C"/>
    <w:rsid w:val="794013BD"/>
    <w:rsid w:val="796B1B89"/>
    <w:rsid w:val="797B008A"/>
    <w:rsid w:val="797B7D48"/>
    <w:rsid w:val="798516DF"/>
    <w:rsid w:val="798C015E"/>
    <w:rsid w:val="79921C19"/>
    <w:rsid w:val="79A46F00"/>
    <w:rsid w:val="79C618C2"/>
    <w:rsid w:val="79D73ACF"/>
    <w:rsid w:val="79DA78DA"/>
    <w:rsid w:val="79E46056"/>
    <w:rsid w:val="7A0C534E"/>
    <w:rsid w:val="7A222CE3"/>
    <w:rsid w:val="7A247526"/>
    <w:rsid w:val="7A2921ED"/>
    <w:rsid w:val="7A735C4D"/>
    <w:rsid w:val="7A8C2B0C"/>
    <w:rsid w:val="7A8E7C8A"/>
    <w:rsid w:val="7A9F01F0"/>
    <w:rsid w:val="7AAA6765"/>
    <w:rsid w:val="7AAF24AB"/>
    <w:rsid w:val="7ABB7B5C"/>
    <w:rsid w:val="7AD87AFF"/>
    <w:rsid w:val="7B0152A5"/>
    <w:rsid w:val="7B02692A"/>
    <w:rsid w:val="7B112B38"/>
    <w:rsid w:val="7B2A5E81"/>
    <w:rsid w:val="7B2C7E4B"/>
    <w:rsid w:val="7B2F16E9"/>
    <w:rsid w:val="7B4056A4"/>
    <w:rsid w:val="7B7567C0"/>
    <w:rsid w:val="7B7B66DC"/>
    <w:rsid w:val="7B7D2454"/>
    <w:rsid w:val="7B845591"/>
    <w:rsid w:val="7B9072BC"/>
    <w:rsid w:val="7B944A08"/>
    <w:rsid w:val="7B960850"/>
    <w:rsid w:val="7B9F57C7"/>
    <w:rsid w:val="7BF97C74"/>
    <w:rsid w:val="7C1245E3"/>
    <w:rsid w:val="7C19584E"/>
    <w:rsid w:val="7C266648"/>
    <w:rsid w:val="7C2823C0"/>
    <w:rsid w:val="7C354382"/>
    <w:rsid w:val="7C563402"/>
    <w:rsid w:val="7C5E2286"/>
    <w:rsid w:val="7C686C61"/>
    <w:rsid w:val="7C765D1B"/>
    <w:rsid w:val="7C7B659E"/>
    <w:rsid w:val="7C7E0232"/>
    <w:rsid w:val="7C831CEC"/>
    <w:rsid w:val="7C9712F4"/>
    <w:rsid w:val="7C9B0FDB"/>
    <w:rsid w:val="7CBA4D6C"/>
    <w:rsid w:val="7CC85951"/>
    <w:rsid w:val="7CCC5441"/>
    <w:rsid w:val="7CD23C7F"/>
    <w:rsid w:val="7CD24BAE"/>
    <w:rsid w:val="7CE56503"/>
    <w:rsid w:val="7D033147"/>
    <w:rsid w:val="7D1066E2"/>
    <w:rsid w:val="7D1B3CD3"/>
    <w:rsid w:val="7D227CB6"/>
    <w:rsid w:val="7D2E2566"/>
    <w:rsid w:val="7D300C5A"/>
    <w:rsid w:val="7D40198C"/>
    <w:rsid w:val="7D4C0330"/>
    <w:rsid w:val="7D811B7B"/>
    <w:rsid w:val="7D836171"/>
    <w:rsid w:val="7DAB2803"/>
    <w:rsid w:val="7DBA0B43"/>
    <w:rsid w:val="7DF47503"/>
    <w:rsid w:val="7E186464"/>
    <w:rsid w:val="7E3E4800"/>
    <w:rsid w:val="7E696CC0"/>
    <w:rsid w:val="7E7B41B8"/>
    <w:rsid w:val="7E7F0292"/>
    <w:rsid w:val="7E835AFC"/>
    <w:rsid w:val="7E851714"/>
    <w:rsid w:val="7E88060D"/>
    <w:rsid w:val="7E966D9F"/>
    <w:rsid w:val="7EA45F4A"/>
    <w:rsid w:val="7EBA4F0B"/>
    <w:rsid w:val="7ECA197C"/>
    <w:rsid w:val="7ED26AAB"/>
    <w:rsid w:val="7EDF79CA"/>
    <w:rsid w:val="7EE02B0F"/>
    <w:rsid w:val="7EF16259"/>
    <w:rsid w:val="7EF163A6"/>
    <w:rsid w:val="7EFD72F6"/>
    <w:rsid w:val="7EFE1AFE"/>
    <w:rsid w:val="7F0D7FB9"/>
    <w:rsid w:val="7F2B0D53"/>
    <w:rsid w:val="7F306899"/>
    <w:rsid w:val="7F4E65E2"/>
    <w:rsid w:val="7F6A7194"/>
    <w:rsid w:val="7F714152"/>
    <w:rsid w:val="7F7A02F5"/>
    <w:rsid w:val="7F7F5D50"/>
    <w:rsid w:val="7F9A5B2F"/>
    <w:rsid w:val="7F9B559F"/>
    <w:rsid w:val="7FA0125F"/>
    <w:rsid w:val="7FA043A1"/>
    <w:rsid w:val="7FD12D6F"/>
    <w:rsid w:val="7FD44B5D"/>
    <w:rsid w:val="7FE50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61</Pages>
  <Words>34505</Words>
  <Characters>36608</Characters>
  <Lines>1</Lines>
  <Paragraphs>1</Paragraphs>
  <TotalTime>9</TotalTime>
  <ScaleCrop>false</ScaleCrop>
  <LinksUpToDate>false</LinksUpToDate>
  <CharactersWithSpaces>37068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2025-04-08T01:40:00Z</cp:lastPrinted>
  <dcterms:modified xsi:type="dcterms:W3CDTF">2025-10-11T03:27:58Z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26C1378FE7F344D68768283AEC28AF18_13</vt:lpwstr>
  </property>
  <property fmtid="{D5CDD505-2E9C-101B-9397-08002B2CF9AE}" pid="4" name="commondata">
    <vt:lpwstr>eyJoZGlkIjoiZDJiMzdlZTkyZWRmN2IzYzY2ZmI2ZTBlN2MyMWRiOWEifQ==</vt:lpwstr>
  </property>
  <property fmtid="{D5CDD505-2E9C-101B-9397-08002B2CF9AE}" pid="5" name="KSOTemplateDocerSaveRecord">
    <vt:lpwstr>eyJoZGlkIjoiODhjOGVjNTk4ZTYxYzgzZGFiNTgwOGRhMGUwNjQ1NDQiLCJ1c2VySWQiOiIzMjYyOTIwOTcifQ==</vt:lpwstr>
  </property>
</Properties>
</file>