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center"/>
        <w:textAlignment w:val="auto"/>
        <w:rPr>
          <w:rFonts w:hint="eastAsia" w:ascii="宋体" w:hAnsi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南峰中心六、七层公共区域装修升级改造工程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招标要求</w:t>
      </w:r>
      <w:r>
        <w:rPr>
          <w:rFonts w:hint="eastAsia" w:ascii="宋体" w:hAnsi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center"/>
        <w:textAlignment w:val="auto"/>
        <w:rPr>
          <w:rFonts w:hint="eastAsia" w:ascii="宋体" w:hAnsi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补充通知（一）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center"/>
        <w:textAlignment w:val="auto"/>
        <w:rPr>
          <w:rFonts w:hint="default" w:ascii="宋体" w:hAnsi="宋体" w:cs="宋体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</w:p>
    <w:p>
      <w:pPr>
        <w:numPr>
          <w:ilvl w:val="0"/>
          <w:numId w:val="1"/>
        </w:numPr>
        <w:spacing w:line="360" w:lineRule="auto"/>
        <w:textAlignment w:val="baseline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  <w:lang w:val="en-US" w:eastAsia="zh-CN"/>
        </w:rPr>
        <w:t>请报价单位务必按本通知附件的清单投标报价（即对两个方案均须报价），不得自行编制报价清单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right="-3" w:firstLine="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招标答疑：报价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单位须在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20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12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日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时前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将对招标文件的疑问和建议向招标单位书面提出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instrText xml:space="preserve"> HYPERLINK "mailto:zhaocai@nanfeng.cn。招标单位将于2023年" </w:instrTex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。招标单位将于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20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12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6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日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</w:rPr>
        <w:t>时前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统一公开答复有关疑问，如有必要，招标单位可酌情调整答复时间。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答疑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>联系人：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雷蕾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eastAsia="zh-CN"/>
        </w:rPr>
        <w:t>，联系电话：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  <w:t>13590526162。</w:t>
      </w:r>
    </w:p>
    <w:p>
      <w:pPr>
        <w:numPr>
          <w:ilvl w:val="0"/>
          <w:numId w:val="1"/>
        </w:numPr>
        <w:spacing w:line="360" w:lineRule="auto"/>
        <w:ind w:left="0" w:leftChars="0" w:right="-3" w:firstLine="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u w:val="none"/>
          <w:lang w:val="en-US" w:eastAsia="zh-CN"/>
        </w:rPr>
        <w:t>我司之前发布的《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  <w:lang w:val="en-US" w:eastAsia="zh-CN"/>
        </w:rPr>
        <w:t>南峰中心六、七层公共区域装修升级改造工程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</w:rPr>
        <w:t>合同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4"/>
          <w:highlight w:val="none"/>
          <w:lang w:val="en-US" w:eastAsia="zh-CN"/>
        </w:rPr>
        <w:t>作废，代之以本通知附件的版本为准。</w:t>
      </w:r>
    </w:p>
    <w:p>
      <w:pPr>
        <w:numPr>
          <w:ilvl w:val="0"/>
          <w:numId w:val="1"/>
        </w:numPr>
        <w:spacing w:line="360" w:lineRule="auto"/>
        <w:ind w:left="0" w:leftChars="0" w:right="-3" w:firstLine="0" w:firstLineChars="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none"/>
          <w:lang w:val="en-US" w:eastAsia="zh-CN"/>
        </w:rPr>
        <w:t>我司之前发布的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《南峰中心六、七层公共区域装修升级改造工程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招标要求》《南峰中心 6楼、7楼公共区域装修要求》等相关文件与本通知不一致之处，以本通知内容为准。</w:t>
      </w:r>
    </w:p>
    <w:p>
      <w:pPr>
        <w:numPr>
          <w:ilvl w:val="0"/>
          <w:numId w:val="0"/>
        </w:numPr>
        <w:spacing w:line="360" w:lineRule="auto"/>
        <w:ind w:leftChars="0" w:right="-3" w:rightChars="0"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特此通知！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</w:pPr>
    </w:p>
    <w:p>
      <w:pPr>
        <w:pStyle w:val="5"/>
        <w:ind w:left="0" w:leftChars="0" w:firstLine="0" w:firstLineChars="0"/>
        <w:rPr>
          <w:rFonts w:hint="eastAsia" w:ascii="宋体" w:hAnsi="宋体" w:cs="宋体"/>
          <w:color w:val="auto"/>
          <w:kern w:val="2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  <w:t>附件</w:t>
      </w: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  <w:t>：</w:t>
      </w: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《报价清单》格式。</w:t>
      </w:r>
    </w:p>
    <w:p>
      <w:pPr>
        <w:pStyle w:val="5"/>
        <w:ind w:left="0" w:leftChars="0" w:firstLine="0" w:firstLineChars="0"/>
        <w:rPr>
          <w:rFonts w:hint="default" w:ascii="仿宋" w:hAnsi="仿宋" w:eastAsia="仿宋" w:cs="仿宋"/>
          <w:b/>
          <w:bCs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附件二：《南峰中心六、七层公共区域装修升级改造工程合同（第二版）》。</w:t>
      </w:r>
    </w:p>
    <w:p>
      <w:pPr>
        <w:pStyle w:val="5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</w:pPr>
    </w:p>
    <w:p>
      <w:pPr>
        <w:pStyle w:val="5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  <w:t>广东南峰集团有限公司</w:t>
      </w:r>
    </w:p>
    <w:p>
      <w:pPr>
        <w:pStyle w:val="5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default" w:ascii="宋体" w:hAnsi="宋体" w:eastAsia="宋体" w:cs="宋体"/>
          <w:color w:val="auto"/>
          <w:kern w:val="2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  <w:t>2023年 12 月</w:t>
      </w: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5日</w:t>
      </w:r>
    </w:p>
    <w:p/>
    <w:sectPr>
      <w:footerReference r:id="rId3" w:type="default"/>
      <w:pgSz w:w="11900" w:h="16820"/>
      <w:pgMar w:top="998" w:right="936" w:bottom="677" w:left="884" w:header="720" w:footer="30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ascii="Times New Roman" w:hAnsi="Times New Roman" w:eastAsia="宋体" w:cs="Times New Roman"/>
      </w:rPr>
    </w:pPr>
    <w:r>
      <w:rPr>
        <w:rFonts w:ascii="Times New Roman" w:hAnsi="Times New Roman" w:eastAsia="宋体" w:cs="Times New Roman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align>top</wp:align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pBdr>
                              <w:between w:val="none" w:color="auto" w:sz="0" w:space="0"/>
                            </w:pBdr>
                            <w:rPr>
                              <w:rFonts w:ascii="Times New Roman" w:hAnsi="Times New Roman" w:eastAsia="宋体" w:cs="Times New Roman"/>
                            </w:rPr>
                          </w:pPr>
                          <w:r>
                            <w:rPr>
                              <w:rStyle w:val="8"/>
                              <w:rFonts w:hint="eastAsia" w:ascii="Times New Roman" w:hAnsi="Times New Roman" w:eastAsia="宋体" w:cs="Times New Roman"/>
                              <w:sz w:val="21"/>
                            </w:rPr>
                            <w:t>第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Times New Roman" w:hAnsi="Times New Roman" w:eastAsia="宋体" w:cs="Times New Roman"/>
                              <w:sz w:val="21"/>
                            </w:rPr>
                            <w:instrText xml:space="preserve"> PAGE 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Times New Roman" w:hAnsi="Times New Roman" w:eastAsia="宋体" w:cs="Times New Roman"/>
                              <w:sz w:val="21"/>
                            </w:rPr>
                            <w:t>6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 w:ascii="Times New Roman" w:hAnsi="Times New Roman" w:eastAsia="宋体" w:cs="Times New Roman"/>
                              <w:sz w:val="21"/>
                            </w:rPr>
                            <w:t xml:space="preserve">页  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height:144pt;width:144pt;mso-position-horizontal:center;mso-position-horizontal-relative:margin;mso-position-vertical:top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pBdr>
                        <w:between w:val="none" w:color="auto" w:sz="0" w:space="0"/>
                      </w:pBdr>
                      <w:rPr>
                        <w:rFonts w:ascii="Times New Roman" w:hAnsi="Times New Roman" w:eastAsia="宋体" w:cs="Times New Roman"/>
                      </w:rPr>
                    </w:pPr>
                    <w:r>
                      <w:rPr>
                        <w:rStyle w:val="8"/>
                        <w:rFonts w:hint="eastAsia" w:ascii="Times New Roman" w:hAnsi="Times New Roman" w:eastAsia="宋体" w:cs="Times New Roman"/>
                        <w:sz w:val="21"/>
                      </w:rPr>
                      <w:t>第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Style w:val="8"/>
                        <w:rFonts w:ascii="Times New Roman" w:hAnsi="Times New Roman" w:eastAsia="宋体" w:cs="Times New Roman"/>
                        <w:sz w:val="21"/>
                      </w:rPr>
                      <w:instrText xml:space="preserve"> PAGE  </w:instrTex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Style w:val="8"/>
                        <w:rFonts w:ascii="Times New Roman" w:hAnsi="Times New Roman" w:eastAsia="宋体" w:cs="Times New Roman"/>
                        <w:sz w:val="21"/>
                      </w:rPr>
                      <w:t>6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end"/>
                    </w:r>
                    <w:r>
                      <w:rPr>
                        <w:rStyle w:val="8"/>
                        <w:rFonts w:hint="eastAsia" w:ascii="Times New Roman" w:hAnsi="Times New Roman" w:eastAsia="宋体" w:cs="Times New Roman"/>
                        <w:sz w:val="21"/>
                      </w:rPr>
                      <w:t xml:space="preserve">页  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eastAsia="宋体" w:cs="Times New Roman"/>
      </w:rPr>
      <w:t xml:space="preserve">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7E3C1492"/>
    <w:rsid w:val="5F0C27D0"/>
    <w:rsid w:val="7E3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Times New Roman"/>
      <w:kern w:val="0"/>
      <w:sz w:val="24"/>
      <w:lang w:val="en-US" w:eastAsia="zh-CN" w:bidi="ar-SA"/>
    </w:rPr>
  </w:style>
  <w:style w:type="paragraph" w:styleId="5">
    <w:name w:val="Body Text First Indent"/>
    <w:qFormat/>
    <w:uiPriority w:val="0"/>
    <w:pPr>
      <w:widowControl w:val="0"/>
      <w:spacing w:after="120" w:line="240" w:lineRule="auto"/>
      <w:ind w:left="0" w:right="0"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8">
    <w:name w:val="page number"/>
    <w:qFormat/>
    <w:uiPriority w:val="0"/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paragraph" w:customStyle="1" w:styleId="10">
    <w:name w:val="_Style 14"/>
    <w:qFormat/>
    <w:uiPriority w:val="0"/>
    <w:pPr>
      <w:widowControl w:val="0"/>
      <w:spacing w:line="240" w:lineRule="atLeast"/>
      <w:ind w:left="420"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2023-12-05T09:55:00Z</dcterms:created>
  <dc:creator>招采中心2</dc:creator>
  <cp:lastModifiedBy>招采中心2</cp:lastModifiedBy>
  <dcterms:modified xsi:type="dcterms:W3CDTF">2023-12-05T10:11:29Z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E002D28E49764408B8B572F335F47188_13</vt:lpwstr>
  </property>
</Properties>
</file>