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DBAD725">
      <w:pPr>
        <w:shd w:val="clear"/>
        <w:spacing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xml:space="preserve">                               </w:t>
      </w:r>
    </w:p>
    <w:p w14:paraId="64638AF4">
      <w:pPr>
        <w:shd w:val="clear"/>
        <w:spacing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0570290D">
      <w:pPr>
        <w:shd w:val="clear"/>
        <w:spacing w:line="360" w:lineRule="auto"/>
        <w:jc w:val="center"/>
        <w:rPr>
          <w:rFonts w:hint="eastAsia" w:ascii="宋体" w:hAnsi="宋体" w:eastAsia="宋体" w:cs="宋体"/>
          <w:b/>
          <w:bCs/>
          <w:color w:val="auto"/>
          <w:sz w:val="36"/>
          <w:szCs w:val="36"/>
          <w:highlight w:val="none"/>
          <w:lang w:val="en-US" w:eastAsia="zh-CN"/>
        </w:rPr>
      </w:pPr>
    </w:p>
    <w:p w14:paraId="18357CA3">
      <w:pPr>
        <w:shd w:val="clear"/>
        <w:spacing w:line="360" w:lineRule="auto"/>
        <w:jc w:val="center"/>
        <w:outlineLvl w:val="0"/>
        <w:rPr>
          <w:rFonts w:hint="eastAsia" w:ascii="宋体" w:hAnsi="宋体" w:eastAsia="宋体" w:cs="宋体"/>
          <w:b/>
          <w:bCs/>
          <w:color w:val="auto"/>
          <w:sz w:val="44"/>
          <w:szCs w:val="44"/>
          <w:highlight w:val="none"/>
          <w:lang w:val="en-US" w:eastAsia="zh-CN"/>
        </w:rPr>
      </w:pPr>
      <w:bookmarkStart w:id="0" w:name="_Toc13725"/>
      <w:r>
        <w:rPr>
          <w:rFonts w:hint="eastAsia" w:ascii="宋体" w:hAnsi="宋体" w:eastAsia="宋体" w:cs="宋体"/>
          <w:b/>
          <w:bCs/>
          <w:color w:val="auto"/>
          <w:sz w:val="44"/>
          <w:szCs w:val="44"/>
          <w:highlight w:val="none"/>
          <w:lang w:val="en-US" w:eastAsia="zh-CN"/>
        </w:rPr>
        <w:t>长沙柏宁地王广场锅炉</w:t>
      </w:r>
      <w:bookmarkEnd w:id="0"/>
    </w:p>
    <w:p w14:paraId="3A57AB1A">
      <w:pPr>
        <w:shd w:val="clear"/>
        <w:spacing w:line="360" w:lineRule="auto"/>
        <w:jc w:val="center"/>
        <w:rPr>
          <w:rFonts w:hint="eastAsia" w:ascii="宋体" w:hAnsi="宋体" w:eastAsia="宋体" w:cs="宋体"/>
          <w:b/>
          <w:bCs/>
          <w:color w:val="auto"/>
          <w:sz w:val="44"/>
          <w:szCs w:val="44"/>
          <w:highlight w:val="none"/>
          <w:lang w:val="en-US" w:eastAsia="zh-CN"/>
        </w:rPr>
      </w:pPr>
    </w:p>
    <w:p w14:paraId="231E5B43">
      <w:pPr>
        <w:shd w:val="clear"/>
        <w:spacing w:line="360" w:lineRule="auto"/>
        <w:jc w:val="center"/>
        <w:rPr>
          <w:rFonts w:hint="eastAsia" w:ascii="宋体" w:hAnsi="宋体" w:eastAsia="宋体" w:cs="宋体"/>
          <w:b/>
          <w:bCs/>
          <w:color w:val="auto"/>
          <w:sz w:val="44"/>
          <w:szCs w:val="44"/>
          <w:highlight w:val="none"/>
          <w:lang w:val="en-US" w:eastAsia="zh-CN"/>
        </w:rPr>
      </w:pPr>
    </w:p>
    <w:p w14:paraId="1194DB2B">
      <w:pPr>
        <w:shd w:val="clear"/>
        <w:spacing w:line="360" w:lineRule="auto"/>
        <w:jc w:val="center"/>
        <w:outlineLvl w:val="0"/>
        <w:rPr>
          <w:rFonts w:hint="eastAsia" w:ascii="宋体" w:hAnsi="宋体" w:eastAsia="宋体" w:cs="宋体"/>
          <w:b/>
          <w:bCs/>
          <w:color w:val="auto"/>
          <w:sz w:val="44"/>
          <w:szCs w:val="44"/>
          <w:highlight w:val="none"/>
          <w:lang w:val="en-US" w:eastAsia="zh-CN"/>
        </w:rPr>
      </w:pPr>
      <w:bookmarkStart w:id="1" w:name="_Toc9417"/>
      <w:r>
        <w:rPr>
          <w:rFonts w:hint="eastAsia" w:ascii="宋体" w:hAnsi="宋体" w:eastAsia="宋体" w:cs="宋体"/>
          <w:b/>
          <w:bCs/>
          <w:color w:val="auto"/>
          <w:sz w:val="44"/>
          <w:szCs w:val="44"/>
          <w:highlight w:val="none"/>
          <w:lang w:val="en-US" w:eastAsia="zh-CN"/>
        </w:rPr>
        <w:t>维</w:t>
      </w:r>
      <w:bookmarkEnd w:id="1"/>
    </w:p>
    <w:p w14:paraId="08EF9C99">
      <w:pPr>
        <w:shd w:val="clear"/>
        <w:spacing w:line="360" w:lineRule="auto"/>
        <w:jc w:val="center"/>
        <w:outlineLvl w:val="0"/>
        <w:rPr>
          <w:rFonts w:hint="eastAsia" w:ascii="宋体" w:hAnsi="宋体" w:eastAsia="宋体" w:cs="宋体"/>
          <w:b/>
          <w:bCs/>
          <w:color w:val="auto"/>
          <w:sz w:val="44"/>
          <w:szCs w:val="44"/>
          <w:highlight w:val="none"/>
          <w:lang w:val="en-US" w:eastAsia="zh-CN"/>
        </w:rPr>
      </w:pPr>
      <w:bookmarkStart w:id="2" w:name="_Toc6366"/>
      <w:r>
        <w:rPr>
          <w:rFonts w:hint="eastAsia" w:ascii="宋体" w:hAnsi="宋体" w:eastAsia="宋体" w:cs="宋体"/>
          <w:b/>
          <w:bCs/>
          <w:color w:val="auto"/>
          <w:sz w:val="44"/>
          <w:szCs w:val="44"/>
          <w:highlight w:val="none"/>
          <w:lang w:val="en-US" w:eastAsia="zh-CN"/>
        </w:rPr>
        <w:t>保</w:t>
      </w:r>
      <w:bookmarkEnd w:id="2"/>
    </w:p>
    <w:p w14:paraId="2DE3F9A2">
      <w:pPr>
        <w:shd w:val="clear"/>
        <w:spacing w:line="360" w:lineRule="auto"/>
        <w:jc w:val="center"/>
        <w:outlineLvl w:val="0"/>
        <w:rPr>
          <w:rFonts w:hint="eastAsia" w:ascii="宋体" w:hAnsi="宋体" w:eastAsia="宋体" w:cs="宋体"/>
          <w:b/>
          <w:bCs/>
          <w:color w:val="auto"/>
          <w:sz w:val="44"/>
          <w:szCs w:val="44"/>
          <w:highlight w:val="none"/>
          <w:lang w:val="en-US" w:eastAsia="zh-CN"/>
        </w:rPr>
      </w:pPr>
      <w:bookmarkStart w:id="3" w:name="_Toc15811"/>
      <w:r>
        <w:rPr>
          <w:rFonts w:hint="eastAsia" w:ascii="宋体" w:hAnsi="宋体" w:eastAsia="宋体" w:cs="宋体"/>
          <w:b/>
          <w:bCs/>
          <w:color w:val="auto"/>
          <w:sz w:val="44"/>
          <w:szCs w:val="44"/>
          <w:highlight w:val="none"/>
          <w:lang w:val="en-US" w:eastAsia="zh-CN"/>
        </w:rPr>
        <w:t>服</w:t>
      </w:r>
      <w:bookmarkEnd w:id="3"/>
    </w:p>
    <w:p w14:paraId="2B210CA9">
      <w:pPr>
        <w:shd w:val="clear"/>
        <w:spacing w:line="360" w:lineRule="auto"/>
        <w:jc w:val="center"/>
        <w:outlineLvl w:val="0"/>
        <w:rPr>
          <w:rFonts w:hint="eastAsia" w:ascii="宋体" w:hAnsi="宋体" w:eastAsia="宋体" w:cs="宋体"/>
          <w:b/>
          <w:bCs/>
          <w:color w:val="auto"/>
          <w:sz w:val="44"/>
          <w:szCs w:val="44"/>
          <w:highlight w:val="none"/>
          <w:lang w:val="en-US" w:eastAsia="zh-CN"/>
        </w:rPr>
      </w:pPr>
      <w:bookmarkStart w:id="4" w:name="_Toc14803"/>
      <w:r>
        <w:rPr>
          <w:rFonts w:hint="eastAsia" w:ascii="宋体" w:hAnsi="宋体" w:eastAsia="宋体" w:cs="宋体"/>
          <w:b/>
          <w:bCs/>
          <w:color w:val="auto"/>
          <w:sz w:val="44"/>
          <w:szCs w:val="44"/>
          <w:highlight w:val="none"/>
          <w:lang w:val="en-US" w:eastAsia="zh-CN"/>
        </w:rPr>
        <w:t>务</w:t>
      </w:r>
      <w:bookmarkEnd w:id="4"/>
    </w:p>
    <w:p w14:paraId="41B8FA84">
      <w:pPr>
        <w:shd w:val="clear"/>
        <w:spacing w:line="360" w:lineRule="auto"/>
        <w:jc w:val="center"/>
        <w:outlineLvl w:val="0"/>
        <w:rPr>
          <w:rFonts w:hint="eastAsia" w:ascii="宋体" w:hAnsi="宋体" w:eastAsia="宋体" w:cs="宋体"/>
          <w:b/>
          <w:bCs/>
          <w:color w:val="auto"/>
          <w:sz w:val="44"/>
          <w:szCs w:val="44"/>
          <w:highlight w:val="none"/>
        </w:rPr>
      </w:pPr>
      <w:bookmarkStart w:id="5" w:name="_Toc31448"/>
      <w:r>
        <w:rPr>
          <w:rFonts w:hint="eastAsia" w:ascii="宋体" w:hAnsi="宋体" w:eastAsia="宋体" w:cs="宋体"/>
          <w:b/>
          <w:bCs/>
          <w:color w:val="auto"/>
          <w:sz w:val="44"/>
          <w:szCs w:val="44"/>
          <w:highlight w:val="none"/>
        </w:rPr>
        <w:t>合</w:t>
      </w:r>
      <w:bookmarkEnd w:id="5"/>
    </w:p>
    <w:p w14:paraId="24B451E8">
      <w:pPr>
        <w:shd w:val="clear"/>
        <w:spacing w:line="360" w:lineRule="auto"/>
        <w:jc w:val="center"/>
        <w:outlineLvl w:val="0"/>
        <w:rPr>
          <w:rFonts w:hint="eastAsia" w:ascii="宋体" w:hAnsi="宋体" w:eastAsia="宋体" w:cs="宋体"/>
          <w:b/>
          <w:bCs/>
          <w:color w:val="auto"/>
          <w:sz w:val="44"/>
          <w:szCs w:val="44"/>
          <w:highlight w:val="none"/>
        </w:rPr>
      </w:pPr>
      <w:bookmarkStart w:id="6" w:name="_Toc30683"/>
      <w:r>
        <w:rPr>
          <w:rFonts w:hint="eastAsia" w:ascii="宋体" w:hAnsi="宋体" w:eastAsia="宋体" w:cs="宋体"/>
          <w:b/>
          <w:bCs/>
          <w:color w:val="auto"/>
          <w:sz w:val="44"/>
          <w:szCs w:val="44"/>
          <w:highlight w:val="none"/>
        </w:rPr>
        <w:t>同</w:t>
      </w:r>
      <w:bookmarkEnd w:id="6"/>
    </w:p>
    <w:p w14:paraId="54067642">
      <w:pPr>
        <w:shd w:val="clea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6F117447">
      <w:pPr>
        <w:shd w:val="clear"/>
        <w:spacing w:line="440" w:lineRule="exact"/>
        <w:rPr>
          <w:rFonts w:hint="eastAsia" w:ascii="宋体" w:hAnsi="宋体" w:eastAsia="宋体" w:cs="宋体"/>
          <w:color w:val="auto"/>
          <w:sz w:val="24"/>
          <w:szCs w:val="24"/>
          <w:highlight w:val="none"/>
        </w:rPr>
      </w:pPr>
    </w:p>
    <w:p w14:paraId="06259559">
      <w:pPr>
        <w:shd w:val="clear"/>
        <w:spacing w:line="440" w:lineRule="exact"/>
        <w:rPr>
          <w:rFonts w:hint="eastAsia" w:ascii="宋体" w:hAnsi="宋体" w:eastAsia="宋体" w:cs="宋体"/>
          <w:color w:val="auto"/>
          <w:sz w:val="24"/>
          <w:szCs w:val="24"/>
          <w:highlight w:val="none"/>
        </w:rPr>
      </w:pPr>
    </w:p>
    <w:p w14:paraId="61A6C559">
      <w:pPr>
        <w:shd w:val="clear"/>
        <w:spacing w:line="440" w:lineRule="exact"/>
        <w:rPr>
          <w:rFonts w:hint="eastAsia" w:ascii="宋体" w:hAnsi="宋体" w:eastAsia="宋体" w:cs="宋体"/>
          <w:color w:val="auto"/>
          <w:sz w:val="24"/>
          <w:szCs w:val="24"/>
          <w:highlight w:val="none"/>
        </w:rPr>
      </w:pPr>
    </w:p>
    <w:p w14:paraId="21431B29">
      <w:pPr>
        <w:shd w:val="clea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39A8499F">
      <w:pPr>
        <w:spacing w:after="312" w:afterLines="100" w:line="360" w:lineRule="auto"/>
        <w:ind w:left="0" w:leftChars="0" w:firstLine="641" w:firstLineChars="213"/>
        <w:rPr>
          <w:rFonts w:hint="eastAsia" w:ascii="宋体" w:hAnsi="宋体" w:eastAsia="宋体" w:cs="宋体"/>
          <w:b/>
          <w:bCs/>
          <w:color w:val="auto"/>
          <w:sz w:val="30"/>
          <w:szCs w:val="30"/>
          <w:highlight w:val="none"/>
          <w:lang w:val="en-US"/>
        </w:rPr>
      </w:pPr>
      <w:r>
        <w:rPr>
          <w:rFonts w:hint="eastAsia" w:ascii="宋体" w:hAnsi="宋体" w:eastAsia="宋体" w:cs="宋体"/>
          <w:b/>
          <w:bCs/>
          <w:color w:val="auto"/>
          <w:sz w:val="30"/>
          <w:szCs w:val="30"/>
          <w:highlight w:val="none"/>
          <w:lang w:eastAsia="zh-CN"/>
        </w:rPr>
        <w:t>合</w:t>
      </w:r>
      <w:r>
        <w:rPr>
          <w:rFonts w:hint="eastAsia" w:ascii="宋体" w:hAnsi="宋体" w:eastAsia="宋体" w:cs="宋体"/>
          <w:b/>
          <w:bCs/>
          <w:color w:val="auto"/>
          <w:sz w:val="30"/>
          <w:szCs w:val="30"/>
          <w:highlight w:val="none"/>
          <w:lang w:val="en-US" w:eastAsia="zh-CN"/>
        </w:rPr>
        <w:t xml:space="preserve">  </w:t>
      </w:r>
      <w:r>
        <w:rPr>
          <w:rFonts w:hint="eastAsia" w:ascii="宋体" w:hAnsi="宋体" w:eastAsia="宋体" w:cs="宋体"/>
          <w:b/>
          <w:bCs/>
          <w:color w:val="auto"/>
          <w:sz w:val="30"/>
          <w:szCs w:val="30"/>
          <w:highlight w:val="none"/>
          <w:lang w:eastAsia="zh-CN"/>
        </w:rPr>
        <w:t>同</w:t>
      </w:r>
      <w:r>
        <w:rPr>
          <w:rFonts w:hint="eastAsia" w:ascii="宋体" w:hAnsi="宋体" w:eastAsia="宋体" w:cs="宋体"/>
          <w:b/>
          <w:bCs/>
          <w:color w:val="auto"/>
          <w:sz w:val="30"/>
          <w:szCs w:val="30"/>
          <w:highlight w:val="none"/>
          <w:lang w:val="en-US" w:eastAsia="zh-CN"/>
        </w:rPr>
        <w:t xml:space="preserve">  </w:t>
      </w:r>
      <w:r>
        <w:rPr>
          <w:rFonts w:hint="eastAsia" w:ascii="宋体" w:hAnsi="宋体" w:eastAsia="宋体" w:cs="宋体"/>
          <w:b/>
          <w:bCs/>
          <w:color w:val="auto"/>
          <w:sz w:val="30"/>
          <w:szCs w:val="30"/>
          <w:highlight w:val="none"/>
          <w:lang w:eastAsia="zh-CN"/>
        </w:rPr>
        <w:t>编</w:t>
      </w:r>
      <w:r>
        <w:rPr>
          <w:rFonts w:hint="eastAsia" w:ascii="宋体" w:hAnsi="宋体" w:eastAsia="宋体" w:cs="宋体"/>
          <w:b/>
          <w:bCs/>
          <w:color w:val="auto"/>
          <w:sz w:val="30"/>
          <w:szCs w:val="30"/>
          <w:highlight w:val="none"/>
          <w:lang w:val="en-US" w:eastAsia="zh-CN"/>
        </w:rPr>
        <w:t xml:space="preserve">  </w:t>
      </w:r>
      <w:r>
        <w:rPr>
          <w:rFonts w:hint="eastAsia" w:ascii="宋体" w:hAnsi="宋体" w:eastAsia="宋体" w:cs="宋体"/>
          <w:b/>
          <w:bCs/>
          <w:color w:val="auto"/>
          <w:sz w:val="30"/>
          <w:szCs w:val="30"/>
          <w:highlight w:val="none"/>
          <w:lang w:eastAsia="zh-CN"/>
        </w:rPr>
        <w:t>号</w:t>
      </w:r>
      <w:r>
        <w:rPr>
          <w:rFonts w:hint="eastAsia" w:ascii="宋体" w:hAnsi="宋体" w:eastAsia="宋体" w:cs="宋体"/>
          <w:b/>
          <w:bCs/>
          <w:color w:val="auto"/>
          <w:sz w:val="30"/>
          <w:szCs w:val="30"/>
          <w:highlight w:val="none"/>
        </w:rPr>
        <w:t>：</w:t>
      </w:r>
      <w:r>
        <w:rPr>
          <w:rFonts w:hint="eastAsia" w:ascii="宋体" w:hAnsi="宋体" w:eastAsia="宋体" w:cs="宋体"/>
          <w:b/>
          <w:bCs/>
          <w:color w:val="auto"/>
          <w:sz w:val="28"/>
          <w:szCs w:val="28"/>
          <w:highlight w:val="none"/>
          <w:u w:val="single"/>
          <w:lang w:val="en-US" w:eastAsia="zh-CN"/>
        </w:rPr>
        <w:t xml:space="preserve">                                        </w:t>
      </w:r>
    </w:p>
    <w:p w14:paraId="51366FCF">
      <w:pPr>
        <w:spacing w:after="312" w:afterLines="100" w:line="360" w:lineRule="auto"/>
        <w:ind w:left="0" w:leftChars="0" w:firstLine="641" w:firstLineChars="213"/>
        <w:rPr>
          <w:rFonts w:hint="default" w:ascii="宋体" w:hAnsi="宋体" w:eastAsia="宋体" w:cs="宋体"/>
          <w:b/>
          <w:bCs/>
          <w:color w:val="auto"/>
          <w:sz w:val="30"/>
          <w:szCs w:val="30"/>
          <w:highlight w:val="none"/>
          <w:u w:val="single"/>
          <w:lang w:val="en-US" w:eastAsia="zh-CN"/>
        </w:rPr>
      </w:pPr>
      <w:r>
        <w:rPr>
          <w:rFonts w:hint="eastAsia" w:ascii="宋体" w:hAnsi="宋体" w:eastAsia="宋体" w:cs="宋体"/>
          <w:b/>
          <w:bCs/>
          <w:color w:val="auto"/>
          <w:sz w:val="30"/>
          <w:szCs w:val="30"/>
          <w:highlight w:val="none"/>
          <w:lang w:eastAsia="zh-CN"/>
        </w:rPr>
        <w:t>发包</w:t>
      </w:r>
      <w:r>
        <w:rPr>
          <w:rFonts w:hint="eastAsia" w:ascii="宋体" w:hAnsi="宋体" w:eastAsia="宋体" w:cs="宋体"/>
          <w:b/>
          <w:bCs/>
          <w:color w:val="auto"/>
          <w:sz w:val="30"/>
          <w:szCs w:val="30"/>
          <w:highlight w:val="none"/>
        </w:rPr>
        <w:t>单位（甲方）：</w:t>
      </w:r>
      <w:r>
        <w:rPr>
          <w:rFonts w:hint="eastAsia" w:ascii="宋体" w:hAnsi="宋体" w:eastAsia="宋体" w:cs="宋体"/>
          <w:b/>
          <w:bCs/>
          <w:color w:val="auto"/>
          <w:sz w:val="30"/>
          <w:szCs w:val="30"/>
          <w:highlight w:val="none"/>
          <w:u w:val="single"/>
          <w:lang w:val="en-US" w:eastAsia="zh-CN"/>
        </w:rPr>
        <w:t xml:space="preserve"> 东莞市南峰物业管理有限公司长沙分公司 </w:t>
      </w:r>
    </w:p>
    <w:p w14:paraId="04A37124">
      <w:pPr>
        <w:shd w:val="clear"/>
        <w:tabs>
          <w:tab w:val="left" w:pos="6780"/>
        </w:tabs>
        <w:snapToGrid w:val="0"/>
        <w:spacing w:line="440" w:lineRule="exact"/>
        <w:ind w:firstLine="602" w:firstLineChars="200"/>
        <w:rPr>
          <w:rFonts w:hint="eastAsia" w:ascii="宋体" w:hAnsi="宋体" w:eastAsia="宋体" w:cs="宋体"/>
          <w:b/>
          <w:bCs/>
          <w:color w:val="auto"/>
          <w:sz w:val="30"/>
          <w:szCs w:val="30"/>
          <w:highlight w:val="none"/>
          <w:u w:val="none"/>
          <w:lang w:val="en-US" w:eastAsia="zh-CN"/>
        </w:rPr>
      </w:pPr>
      <w:r>
        <w:rPr>
          <w:rFonts w:hint="eastAsia" w:ascii="宋体" w:hAnsi="宋体" w:eastAsia="宋体" w:cs="宋体"/>
          <w:b/>
          <w:bCs/>
          <w:color w:val="auto"/>
          <w:sz w:val="30"/>
          <w:szCs w:val="30"/>
          <w:highlight w:val="none"/>
          <w:lang w:eastAsia="zh-CN"/>
        </w:rPr>
        <w:t>承包</w:t>
      </w:r>
      <w:r>
        <w:rPr>
          <w:rFonts w:hint="eastAsia" w:ascii="宋体" w:hAnsi="宋体" w:eastAsia="宋体" w:cs="宋体"/>
          <w:b/>
          <w:bCs/>
          <w:color w:val="auto"/>
          <w:sz w:val="30"/>
          <w:szCs w:val="30"/>
          <w:highlight w:val="none"/>
        </w:rPr>
        <w:t>单位（乙方）：</w:t>
      </w:r>
      <w:r>
        <w:rPr>
          <w:rFonts w:hint="eastAsia" w:ascii="宋体" w:hAnsi="宋体" w:eastAsia="宋体" w:cs="宋体"/>
          <w:b/>
          <w:bCs/>
          <w:color w:val="auto"/>
          <w:sz w:val="28"/>
          <w:szCs w:val="28"/>
          <w:highlight w:val="none"/>
          <w:u w:val="single"/>
          <w:lang w:val="en-US" w:eastAsia="zh-CN"/>
        </w:rPr>
        <w:t xml:space="preserve">                                      </w:t>
      </w:r>
      <w:r>
        <w:rPr>
          <w:rFonts w:hint="eastAsia" w:ascii="宋体" w:hAnsi="宋体" w:eastAsia="宋体" w:cs="宋体"/>
          <w:b/>
          <w:bCs/>
          <w:color w:val="auto"/>
          <w:sz w:val="30"/>
          <w:szCs w:val="30"/>
          <w:highlight w:val="none"/>
          <w:u w:val="none"/>
          <w:lang w:val="en-US" w:eastAsia="zh-CN"/>
        </w:rPr>
        <w:t xml:space="preserve"> </w:t>
      </w:r>
    </w:p>
    <w:p w14:paraId="2B3D5F28">
      <w:pPr>
        <w:shd w:val="clear"/>
        <w:tabs>
          <w:tab w:val="left" w:pos="6780"/>
        </w:tabs>
        <w:snapToGrid w:val="0"/>
        <w:spacing w:line="440" w:lineRule="exact"/>
        <w:ind w:firstLine="602" w:firstLineChars="200"/>
        <w:rPr>
          <w:rFonts w:hint="eastAsia" w:ascii="宋体" w:hAnsi="宋体" w:eastAsia="宋体" w:cs="宋体"/>
          <w:b/>
          <w:bCs/>
          <w:color w:val="auto"/>
          <w:sz w:val="30"/>
          <w:szCs w:val="30"/>
          <w:highlight w:val="none"/>
          <w:u w:val="none"/>
          <w:lang w:val="en-US" w:eastAsia="zh-CN"/>
        </w:rPr>
      </w:pPr>
    </w:p>
    <w:p w14:paraId="5C81DACB">
      <w:pPr>
        <w:shd w:val="clear"/>
        <w:tabs>
          <w:tab w:val="left" w:pos="6780"/>
        </w:tabs>
        <w:snapToGrid w:val="0"/>
        <w:spacing w:line="440" w:lineRule="exact"/>
        <w:ind w:firstLine="602" w:firstLineChars="200"/>
        <w:rPr>
          <w:rFonts w:hint="eastAsia" w:ascii="宋体" w:hAnsi="宋体" w:eastAsia="宋体" w:cs="宋体"/>
          <w:b/>
          <w:bCs/>
          <w:color w:val="auto"/>
          <w:sz w:val="30"/>
          <w:szCs w:val="30"/>
          <w:highlight w:val="none"/>
          <w:u w:val="none"/>
          <w:lang w:val="en-US" w:eastAsia="zh-CN"/>
        </w:rPr>
      </w:pPr>
    </w:p>
    <w:p w14:paraId="076948D2">
      <w:pPr>
        <w:shd w:val="clear"/>
        <w:tabs>
          <w:tab w:val="left" w:pos="6780"/>
        </w:tabs>
        <w:snapToGrid w:val="0"/>
        <w:spacing w:line="440" w:lineRule="exact"/>
        <w:ind w:firstLine="602" w:firstLineChars="200"/>
        <w:rPr>
          <w:rFonts w:hint="eastAsia" w:ascii="宋体" w:hAnsi="宋体" w:eastAsia="宋体" w:cs="宋体"/>
          <w:b/>
          <w:bCs/>
          <w:color w:val="auto"/>
          <w:sz w:val="30"/>
          <w:szCs w:val="30"/>
          <w:highlight w:val="none"/>
          <w:u w:val="none"/>
          <w:lang w:val="en-US" w:eastAsia="zh-CN"/>
        </w:rPr>
      </w:pPr>
    </w:p>
    <w:p w14:paraId="09AF7A73">
      <w:pPr>
        <w:shd w:val="clear"/>
        <w:tabs>
          <w:tab w:val="left" w:pos="6780"/>
        </w:tabs>
        <w:snapToGrid w:val="0"/>
        <w:spacing w:line="440" w:lineRule="exact"/>
        <w:ind w:firstLine="602" w:firstLineChars="200"/>
        <w:rPr>
          <w:rFonts w:hint="eastAsia" w:ascii="宋体" w:hAnsi="宋体" w:eastAsia="宋体" w:cs="宋体"/>
          <w:b/>
          <w:bCs/>
          <w:color w:val="auto"/>
          <w:sz w:val="30"/>
          <w:szCs w:val="30"/>
          <w:highlight w:val="none"/>
          <w:u w:val="none"/>
          <w:lang w:val="en-US" w:eastAsia="zh-CN"/>
        </w:rPr>
      </w:pPr>
    </w:p>
    <w:p w14:paraId="02197398">
      <w:pPr>
        <w:shd w:val="clear"/>
        <w:tabs>
          <w:tab w:val="left" w:pos="6780"/>
        </w:tabs>
        <w:snapToGrid w:val="0"/>
        <w:spacing w:line="440" w:lineRule="exact"/>
        <w:ind w:firstLine="602" w:firstLineChars="200"/>
        <w:rPr>
          <w:rFonts w:hint="eastAsia" w:ascii="宋体" w:hAnsi="宋体" w:eastAsia="宋体" w:cs="宋体"/>
          <w:b/>
          <w:bCs/>
          <w:color w:val="auto"/>
          <w:sz w:val="30"/>
          <w:szCs w:val="30"/>
          <w:highlight w:val="none"/>
          <w:u w:val="none"/>
          <w:lang w:val="en-US" w:eastAsia="zh-CN"/>
        </w:rPr>
      </w:pPr>
    </w:p>
    <w:p w14:paraId="70E6979B">
      <w:pPr>
        <w:shd w:val="clear"/>
        <w:tabs>
          <w:tab w:val="left" w:pos="6780"/>
        </w:tabs>
        <w:snapToGrid w:val="0"/>
        <w:spacing w:line="440" w:lineRule="exact"/>
        <w:ind w:firstLine="602" w:firstLineChars="200"/>
        <w:rPr>
          <w:rFonts w:hint="eastAsia" w:ascii="宋体" w:hAnsi="宋体" w:eastAsia="宋体" w:cs="宋体"/>
          <w:b/>
          <w:bCs/>
          <w:color w:val="auto"/>
          <w:sz w:val="30"/>
          <w:szCs w:val="30"/>
          <w:highlight w:val="none"/>
          <w:u w:val="none"/>
          <w:lang w:val="en-US" w:eastAsia="zh-CN"/>
        </w:rPr>
      </w:pPr>
    </w:p>
    <w:p w14:paraId="159B30A6">
      <w:pPr>
        <w:shd w:val="clear"/>
        <w:tabs>
          <w:tab w:val="left" w:pos="6780"/>
        </w:tabs>
        <w:snapToGrid w:val="0"/>
        <w:spacing w:line="440" w:lineRule="exact"/>
        <w:ind w:firstLine="602" w:firstLineChars="200"/>
        <w:rPr>
          <w:rFonts w:hint="eastAsia" w:ascii="宋体" w:hAnsi="宋体" w:eastAsia="宋体" w:cs="宋体"/>
          <w:b/>
          <w:bCs/>
          <w:color w:val="auto"/>
          <w:sz w:val="30"/>
          <w:szCs w:val="30"/>
          <w:highlight w:val="none"/>
          <w:u w:val="none"/>
          <w:lang w:val="en-US" w:eastAsia="zh-CN"/>
        </w:rPr>
      </w:pPr>
    </w:p>
    <w:p w14:paraId="72CF2146">
      <w:pPr>
        <w:shd w:val="clear"/>
        <w:tabs>
          <w:tab w:val="left" w:pos="6780"/>
        </w:tabs>
        <w:snapToGrid w:val="0"/>
        <w:spacing w:line="440" w:lineRule="exact"/>
        <w:rPr>
          <w:rFonts w:hint="eastAsia" w:ascii="宋体" w:hAnsi="宋体" w:eastAsia="宋体" w:cs="宋体"/>
          <w:b/>
          <w:bCs/>
          <w:color w:val="auto"/>
          <w:sz w:val="30"/>
          <w:szCs w:val="30"/>
          <w:highlight w:val="none"/>
          <w:u w:val="none"/>
          <w:lang w:val="en-US" w:eastAsia="zh-CN"/>
        </w:rPr>
      </w:pPr>
    </w:p>
    <w:sdt>
      <w:sdtPr>
        <w:rPr>
          <w:rFonts w:ascii="宋体" w:hAnsi="宋体" w:eastAsia="宋体" w:cs="Times New Roman"/>
          <w:kern w:val="2"/>
          <w:sz w:val="28"/>
          <w:szCs w:val="28"/>
          <w:lang w:val="en-US" w:eastAsia="zh-CN" w:bidi="ar-SA"/>
        </w:rPr>
        <w:id w:val="147461724"/>
        <w15:color w:val="DBDBDB"/>
        <w:docPartObj>
          <w:docPartGallery w:val="Table of Contents"/>
          <w:docPartUnique/>
        </w:docPartObj>
      </w:sdtPr>
      <w:sdtEndPr>
        <w:rPr>
          <w:rFonts w:hint="eastAsia" w:ascii="Times New Roman" w:hAnsi="Times New Roman" w:eastAsia="宋体" w:cs="Times New Roman"/>
          <w:bCs/>
          <w:color w:val="auto"/>
          <w:kern w:val="2"/>
          <w:sz w:val="21"/>
          <w:szCs w:val="24"/>
          <w:highlight w:val="none"/>
          <w:lang w:val="en-US" w:eastAsia="zh-CN" w:bidi="ar-SA"/>
        </w:rPr>
      </w:sdtEndPr>
      <w:sdtContent>
        <w:p w14:paraId="4447DDA3">
          <w:pPr>
            <w:spacing w:before="0" w:beforeLines="0" w:after="0" w:afterLines="0" w:line="240" w:lineRule="auto"/>
            <w:ind w:left="0" w:leftChars="0" w:right="0" w:rightChars="0" w:firstLine="0" w:firstLineChars="0"/>
            <w:jc w:val="center"/>
            <w:rPr>
              <w:sz w:val="28"/>
              <w:szCs w:val="28"/>
            </w:rPr>
          </w:pPr>
          <w:r>
            <w:rPr>
              <w:rFonts w:ascii="宋体" w:hAnsi="宋体" w:eastAsia="宋体"/>
              <w:sz w:val="28"/>
              <w:szCs w:val="28"/>
            </w:rPr>
            <w:t>目</w:t>
          </w:r>
          <w:r>
            <w:rPr>
              <w:rFonts w:hint="eastAsia" w:ascii="宋体" w:hAnsi="宋体" w:eastAsia="宋体"/>
              <w:sz w:val="28"/>
              <w:szCs w:val="28"/>
              <w:lang w:val="en-US" w:eastAsia="zh-CN"/>
            </w:rPr>
            <w:t xml:space="preserve">  </w:t>
          </w:r>
          <w:r>
            <w:rPr>
              <w:rFonts w:ascii="宋体" w:hAnsi="宋体" w:eastAsia="宋体"/>
              <w:sz w:val="28"/>
              <w:szCs w:val="28"/>
            </w:rPr>
            <w:t>录</w:t>
          </w:r>
        </w:p>
        <w:p w14:paraId="6C8D2CA4">
          <w:pPr>
            <w:pStyle w:val="35"/>
            <w:tabs>
              <w:tab w:val="right" w:leader="dot" w:pos="9460"/>
            </w:tabs>
          </w:pPr>
          <w:r>
            <w:rPr>
              <w:rFonts w:hint="eastAsia" w:ascii="Times New Roman" w:hAnsi="Times New Roman" w:eastAsia="宋体" w:cs="Times New Roman"/>
              <w:bCs/>
              <w:color w:val="auto"/>
              <w:kern w:val="2"/>
              <w:sz w:val="24"/>
              <w:szCs w:val="24"/>
              <w:highlight w:val="none"/>
              <w:lang w:val="en-US" w:eastAsia="zh-CN" w:bidi="ar-SA"/>
            </w:rPr>
            <w:fldChar w:fldCharType="begin"/>
          </w:r>
          <w:r>
            <w:rPr>
              <w:rFonts w:hint="eastAsia" w:ascii="Times New Roman" w:hAnsi="Times New Roman" w:eastAsia="宋体" w:cs="Times New Roman"/>
              <w:bCs/>
              <w:color w:val="auto"/>
              <w:kern w:val="2"/>
              <w:sz w:val="24"/>
              <w:szCs w:val="24"/>
              <w:highlight w:val="none"/>
              <w:lang w:val="en-US" w:eastAsia="zh-CN" w:bidi="ar-SA"/>
            </w:rPr>
            <w:instrText xml:space="preserve">TOC \o "1-1" \h \u </w:instrText>
          </w:r>
          <w:r>
            <w:rPr>
              <w:rFonts w:hint="eastAsia" w:ascii="Times New Roman" w:hAnsi="Times New Roman" w:eastAsia="宋体" w:cs="Times New Roman"/>
              <w:bCs/>
              <w:color w:val="auto"/>
              <w:kern w:val="2"/>
              <w:sz w:val="24"/>
              <w:szCs w:val="24"/>
              <w:highlight w:val="none"/>
              <w:lang w:val="en-US" w:eastAsia="zh-CN" w:bidi="ar-SA"/>
            </w:rPr>
            <w:fldChar w:fldCharType="separate"/>
          </w:r>
        </w:p>
        <w:p w14:paraId="235EF41E">
          <w:pPr>
            <w:pStyle w:val="35"/>
            <w:tabs>
              <w:tab w:val="right" w:leader="dot" w:pos="9460"/>
            </w:tabs>
            <w:rPr>
              <w:rFonts w:hint="eastAsia" w:ascii="宋体" w:hAnsi="宋体" w:eastAsia="宋体" w:cs="宋体"/>
              <w:sz w:val="24"/>
              <w:szCs w:val="24"/>
            </w:rPr>
          </w:pPr>
          <w:r>
            <w:rPr>
              <w:rFonts w:hint="eastAsia" w:ascii="宋体" w:hAnsi="宋体" w:eastAsia="宋体" w:cs="宋体"/>
              <w:bCs/>
              <w:color w:val="auto"/>
              <w:kern w:val="2"/>
              <w:sz w:val="24"/>
              <w:szCs w:val="24"/>
              <w:highlight w:val="none"/>
              <w:lang w:val="en-US" w:eastAsia="zh-CN" w:bidi="ar-SA"/>
            </w:rPr>
            <w:fldChar w:fldCharType="begin"/>
          </w:r>
          <w:r>
            <w:rPr>
              <w:rFonts w:hint="eastAsia" w:ascii="宋体" w:hAnsi="宋体" w:eastAsia="宋体" w:cs="宋体"/>
              <w:bCs/>
              <w:kern w:val="2"/>
              <w:sz w:val="24"/>
              <w:szCs w:val="24"/>
              <w:highlight w:val="none"/>
              <w:lang w:val="en-US" w:eastAsia="zh-CN" w:bidi="ar-SA"/>
            </w:rPr>
            <w:instrText xml:space="preserve"> HYPERLINK \l _Toc24969 </w:instrText>
          </w:r>
          <w:r>
            <w:rPr>
              <w:rFonts w:hint="eastAsia" w:ascii="宋体" w:hAnsi="宋体" w:eastAsia="宋体" w:cs="宋体"/>
              <w:bCs/>
              <w:kern w:val="2"/>
              <w:sz w:val="24"/>
              <w:szCs w:val="24"/>
              <w:highlight w:val="none"/>
              <w:lang w:val="en-US" w:eastAsia="zh-CN" w:bidi="ar-SA"/>
            </w:rPr>
            <w:fldChar w:fldCharType="separate"/>
          </w:r>
          <w:r>
            <w:rPr>
              <w:rFonts w:hint="eastAsia" w:ascii="宋体" w:hAnsi="宋体" w:eastAsia="宋体" w:cs="宋体"/>
              <w:sz w:val="24"/>
              <w:szCs w:val="24"/>
              <w:highlight w:val="none"/>
            </w:rPr>
            <w:t>一、</w:t>
          </w:r>
          <w:r>
            <w:rPr>
              <w:rFonts w:hint="eastAsia" w:ascii="宋体" w:hAnsi="宋体" w:eastAsia="宋体" w:cs="宋体"/>
              <w:sz w:val="24"/>
              <w:szCs w:val="24"/>
              <w:highlight w:val="none"/>
              <w:lang w:val="en-US" w:eastAsia="zh-CN"/>
            </w:rPr>
            <w:t xml:space="preserve"> </w:t>
          </w:r>
          <w:r>
            <w:rPr>
              <w:rFonts w:hint="eastAsia" w:ascii="宋体" w:hAnsi="宋体" w:eastAsia="宋体" w:cs="宋体"/>
              <w:bCs/>
              <w:sz w:val="24"/>
              <w:szCs w:val="24"/>
              <w:highlight w:val="none"/>
            </w:rPr>
            <w:t>维保服务范围</w:t>
          </w:r>
          <w:r>
            <w:rPr>
              <w:rFonts w:hint="eastAsia" w:ascii="宋体" w:hAnsi="宋体" w:eastAsia="宋体" w:cs="宋体"/>
              <w:bCs/>
              <w:sz w:val="24"/>
              <w:szCs w:val="24"/>
              <w:highlight w:val="none"/>
              <w:lang w:val="en-US" w:eastAsia="zh-CN"/>
            </w:rPr>
            <w:t>及内容</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_Toc24969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bCs/>
              <w:color w:val="auto"/>
              <w:kern w:val="2"/>
              <w:sz w:val="24"/>
              <w:szCs w:val="24"/>
              <w:highlight w:val="none"/>
              <w:lang w:val="en-US" w:eastAsia="zh-CN" w:bidi="ar-SA"/>
            </w:rPr>
            <w:fldChar w:fldCharType="end"/>
          </w:r>
        </w:p>
        <w:p w14:paraId="59F99A81">
          <w:pPr>
            <w:pStyle w:val="35"/>
            <w:tabs>
              <w:tab w:val="right" w:leader="dot" w:pos="9460"/>
            </w:tabs>
            <w:rPr>
              <w:rFonts w:hint="eastAsia" w:ascii="宋体" w:hAnsi="宋体" w:eastAsia="宋体" w:cs="宋体"/>
              <w:sz w:val="24"/>
              <w:szCs w:val="24"/>
            </w:rPr>
          </w:pPr>
          <w:r>
            <w:rPr>
              <w:rFonts w:hint="eastAsia" w:ascii="宋体" w:hAnsi="宋体" w:eastAsia="宋体" w:cs="宋体"/>
              <w:bCs/>
              <w:color w:val="auto"/>
              <w:kern w:val="2"/>
              <w:sz w:val="24"/>
              <w:szCs w:val="24"/>
              <w:highlight w:val="none"/>
              <w:lang w:val="en-US" w:eastAsia="zh-CN" w:bidi="ar-SA"/>
            </w:rPr>
            <w:fldChar w:fldCharType="begin"/>
          </w:r>
          <w:r>
            <w:rPr>
              <w:rFonts w:hint="eastAsia" w:ascii="宋体" w:hAnsi="宋体" w:eastAsia="宋体" w:cs="宋体"/>
              <w:bCs/>
              <w:kern w:val="2"/>
              <w:sz w:val="24"/>
              <w:szCs w:val="24"/>
              <w:highlight w:val="none"/>
              <w:lang w:val="en-US" w:eastAsia="zh-CN" w:bidi="ar-SA"/>
            </w:rPr>
            <w:instrText xml:space="preserve"> HYPERLINK \l _Toc24464 </w:instrText>
          </w:r>
          <w:r>
            <w:rPr>
              <w:rFonts w:hint="eastAsia" w:ascii="宋体" w:hAnsi="宋体" w:eastAsia="宋体" w:cs="宋体"/>
              <w:bCs/>
              <w:kern w:val="2"/>
              <w:sz w:val="24"/>
              <w:szCs w:val="24"/>
              <w:highlight w:val="none"/>
              <w:lang w:val="en-US" w:eastAsia="zh-CN" w:bidi="ar-SA"/>
            </w:rPr>
            <w:fldChar w:fldCharType="separate"/>
          </w:r>
          <w:r>
            <w:rPr>
              <w:rFonts w:hint="eastAsia" w:ascii="宋体" w:hAnsi="宋体" w:eastAsia="宋体" w:cs="宋体"/>
              <w:bCs/>
              <w:sz w:val="24"/>
              <w:szCs w:val="24"/>
              <w:lang w:eastAsia="zh-CN"/>
            </w:rPr>
            <w:t xml:space="preserve">二、 </w:t>
          </w:r>
          <w:r>
            <w:rPr>
              <w:rFonts w:hint="eastAsia" w:ascii="宋体" w:hAnsi="宋体" w:eastAsia="宋体" w:cs="宋体"/>
              <w:bCs/>
              <w:sz w:val="24"/>
              <w:szCs w:val="24"/>
              <w:highlight w:val="none"/>
            </w:rPr>
            <w:t>合同价格</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_Toc24464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bCs/>
              <w:color w:val="auto"/>
              <w:kern w:val="2"/>
              <w:sz w:val="24"/>
              <w:szCs w:val="24"/>
              <w:highlight w:val="none"/>
              <w:lang w:val="en-US" w:eastAsia="zh-CN" w:bidi="ar-SA"/>
            </w:rPr>
            <w:fldChar w:fldCharType="end"/>
          </w:r>
        </w:p>
        <w:p w14:paraId="420C1E88">
          <w:pPr>
            <w:pStyle w:val="35"/>
            <w:tabs>
              <w:tab w:val="right" w:leader="dot" w:pos="9460"/>
            </w:tabs>
            <w:rPr>
              <w:rFonts w:hint="eastAsia" w:ascii="宋体" w:hAnsi="宋体" w:eastAsia="宋体" w:cs="宋体"/>
              <w:sz w:val="24"/>
              <w:szCs w:val="24"/>
            </w:rPr>
          </w:pPr>
          <w:r>
            <w:rPr>
              <w:rFonts w:hint="eastAsia" w:ascii="宋体" w:hAnsi="宋体" w:eastAsia="宋体" w:cs="宋体"/>
              <w:bCs/>
              <w:color w:val="auto"/>
              <w:kern w:val="2"/>
              <w:sz w:val="24"/>
              <w:szCs w:val="24"/>
              <w:highlight w:val="none"/>
              <w:lang w:val="en-US" w:eastAsia="zh-CN" w:bidi="ar-SA"/>
            </w:rPr>
            <w:fldChar w:fldCharType="begin"/>
          </w:r>
          <w:r>
            <w:rPr>
              <w:rFonts w:hint="eastAsia" w:ascii="宋体" w:hAnsi="宋体" w:eastAsia="宋体" w:cs="宋体"/>
              <w:bCs/>
              <w:kern w:val="2"/>
              <w:sz w:val="24"/>
              <w:szCs w:val="24"/>
              <w:highlight w:val="none"/>
              <w:lang w:val="en-US" w:eastAsia="zh-CN" w:bidi="ar-SA"/>
            </w:rPr>
            <w:instrText xml:space="preserve"> HYPERLINK \l _Toc23740 </w:instrText>
          </w:r>
          <w:r>
            <w:rPr>
              <w:rFonts w:hint="eastAsia" w:ascii="宋体" w:hAnsi="宋体" w:eastAsia="宋体" w:cs="宋体"/>
              <w:bCs/>
              <w:kern w:val="2"/>
              <w:sz w:val="24"/>
              <w:szCs w:val="24"/>
              <w:highlight w:val="none"/>
              <w:lang w:val="en-US" w:eastAsia="zh-CN" w:bidi="ar-SA"/>
            </w:rPr>
            <w:fldChar w:fldCharType="separate"/>
          </w:r>
          <w:r>
            <w:rPr>
              <w:rFonts w:hint="eastAsia" w:ascii="宋体" w:hAnsi="宋体" w:eastAsia="宋体" w:cs="宋体"/>
              <w:bCs/>
              <w:sz w:val="24"/>
              <w:szCs w:val="24"/>
              <w:lang w:eastAsia="zh-CN"/>
            </w:rPr>
            <w:t xml:space="preserve">三、 </w:t>
          </w:r>
          <w:r>
            <w:rPr>
              <w:rFonts w:hint="eastAsia" w:ascii="宋体" w:hAnsi="宋体" w:eastAsia="宋体" w:cs="宋体"/>
              <w:bCs/>
              <w:sz w:val="24"/>
              <w:szCs w:val="24"/>
              <w:highlight w:val="none"/>
            </w:rPr>
            <w:t>付款方式</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_Toc23740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bCs/>
              <w:color w:val="auto"/>
              <w:kern w:val="2"/>
              <w:sz w:val="24"/>
              <w:szCs w:val="24"/>
              <w:highlight w:val="none"/>
              <w:lang w:val="en-US" w:eastAsia="zh-CN" w:bidi="ar-SA"/>
            </w:rPr>
            <w:fldChar w:fldCharType="end"/>
          </w:r>
        </w:p>
        <w:p w14:paraId="714FBD41">
          <w:pPr>
            <w:pStyle w:val="35"/>
            <w:tabs>
              <w:tab w:val="right" w:leader="dot" w:pos="9460"/>
            </w:tabs>
            <w:rPr>
              <w:rFonts w:hint="eastAsia" w:ascii="宋体" w:hAnsi="宋体" w:eastAsia="宋体" w:cs="宋体"/>
              <w:sz w:val="24"/>
              <w:szCs w:val="24"/>
            </w:rPr>
          </w:pPr>
          <w:r>
            <w:rPr>
              <w:rFonts w:hint="eastAsia" w:ascii="宋体" w:hAnsi="宋体" w:eastAsia="宋体" w:cs="宋体"/>
              <w:bCs/>
              <w:color w:val="auto"/>
              <w:kern w:val="2"/>
              <w:sz w:val="24"/>
              <w:szCs w:val="24"/>
              <w:highlight w:val="none"/>
              <w:lang w:val="en-US" w:eastAsia="zh-CN" w:bidi="ar-SA"/>
            </w:rPr>
            <w:fldChar w:fldCharType="begin"/>
          </w:r>
          <w:r>
            <w:rPr>
              <w:rFonts w:hint="eastAsia" w:ascii="宋体" w:hAnsi="宋体" w:eastAsia="宋体" w:cs="宋体"/>
              <w:bCs/>
              <w:kern w:val="2"/>
              <w:sz w:val="24"/>
              <w:szCs w:val="24"/>
              <w:highlight w:val="none"/>
              <w:lang w:val="en-US" w:eastAsia="zh-CN" w:bidi="ar-SA"/>
            </w:rPr>
            <w:instrText xml:space="preserve"> HYPERLINK \l _Toc17953 </w:instrText>
          </w:r>
          <w:r>
            <w:rPr>
              <w:rFonts w:hint="eastAsia" w:ascii="宋体" w:hAnsi="宋体" w:eastAsia="宋体" w:cs="宋体"/>
              <w:bCs/>
              <w:kern w:val="2"/>
              <w:sz w:val="24"/>
              <w:szCs w:val="24"/>
              <w:highlight w:val="none"/>
              <w:lang w:val="en-US" w:eastAsia="zh-CN" w:bidi="ar-SA"/>
            </w:rPr>
            <w:fldChar w:fldCharType="separate"/>
          </w:r>
          <w:r>
            <w:rPr>
              <w:rFonts w:hint="eastAsia" w:ascii="宋体" w:hAnsi="宋体" w:eastAsia="宋体" w:cs="宋体"/>
              <w:bCs/>
              <w:sz w:val="24"/>
              <w:szCs w:val="24"/>
            </w:rPr>
            <w:t xml:space="preserve">四、 </w:t>
          </w:r>
          <w:r>
            <w:rPr>
              <w:rFonts w:hint="eastAsia" w:ascii="宋体" w:hAnsi="宋体" w:eastAsia="宋体" w:cs="宋体"/>
              <w:bCs/>
              <w:sz w:val="24"/>
              <w:szCs w:val="24"/>
              <w:highlight w:val="none"/>
            </w:rPr>
            <w:t>双方责任和权利</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_Toc17953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bCs/>
              <w:color w:val="auto"/>
              <w:kern w:val="2"/>
              <w:sz w:val="24"/>
              <w:szCs w:val="24"/>
              <w:highlight w:val="none"/>
              <w:lang w:val="en-US" w:eastAsia="zh-CN" w:bidi="ar-SA"/>
            </w:rPr>
            <w:fldChar w:fldCharType="end"/>
          </w:r>
        </w:p>
        <w:p w14:paraId="78673FEF">
          <w:pPr>
            <w:pStyle w:val="35"/>
            <w:tabs>
              <w:tab w:val="right" w:leader="dot" w:pos="9460"/>
            </w:tabs>
            <w:rPr>
              <w:rFonts w:hint="eastAsia" w:ascii="宋体" w:hAnsi="宋体" w:eastAsia="宋体" w:cs="宋体"/>
              <w:sz w:val="24"/>
              <w:szCs w:val="24"/>
            </w:rPr>
          </w:pPr>
          <w:r>
            <w:rPr>
              <w:rFonts w:hint="eastAsia" w:ascii="宋体" w:hAnsi="宋体" w:eastAsia="宋体" w:cs="宋体"/>
              <w:bCs/>
              <w:color w:val="auto"/>
              <w:kern w:val="2"/>
              <w:sz w:val="24"/>
              <w:szCs w:val="24"/>
              <w:highlight w:val="none"/>
              <w:lang w:val="en-US" w:eastAsia="zh-CN" w:bidi="ar-SA"/>
            </w:rPr>
            <w:fldChar w:fldCharType="begin"/>
          </w:r>
          <w:r>
            <w:rPr>
              <w:rFonts w:hint="eastAsia" w:ascii="宋体" w:hAnsi="宋体" w:eastAsia="宋体" w:cs="宋体"/>
              <w:bCs/>
              <w:kern w:val="2"/>
              <w:sz w:val="24"/>
              <w:szCs w:val="24"/>
              <w:highlight w:val="none"/>
              <w:lang w:val="en-US" w:eastAsia="zh-CN" w:bidi="ar-SA"/>
            </w:rPr>
            <w:instrText xml:space="preserve"> HYPERLINK \l _Toc21283 </w:instrText>
          </w:r>
          <w:r>
            <w:rPr>
              <w:rFonts w:hint="eastAsia" w:ascii="宋体" w:hAnsi="宋体" w:eastAsia="宋体" w:cs="宋体"/>
              <w:bCs/>
              <w:kern w:val="2"/>
              <w:sz w:val="24"/>
              <w:szCs w:val="24"/>
              <w:highlight w:val="none"/>
              <w:lang w:val="en-US" w:eastAsia="zh-CN" w:bidi="ar-SA"/>
            </w:rPr>
            <w:fldChar w:fldCharType="separate"/>
          </w:r>
          <w:r>
            <w:rPr>
              <w:rFonts w:hint="eastAsia" w:ascii="宋体" w:hAnsi="宋体" w:eastAsia="宋体" w:cs="宋体"/>
              <w:bCs/>
              <w:sz w:val="24"/>
              <w:szCs w:val="24"/>
            </w:rPr>
            <w:t xml:space="preserve">五、 </w:t>
          </w:r>
          <w:r>
            <w:rPr>
              <w:rFonts w:hint="eastAsia" w:ascii="宋体" w:hAnsi="宋体" w:eastAsia="宋体" w:cs="宋体"/>
              <w:bCs/>
              <w:sz w:val="24"/>
              <w:szCs w:val="24"/>
              <w:highlight w:val="none"/>
            </w:rPr>
            <w:t>维修保养质量要求</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_Toc21283 \h </w:instrText>
          </w:r>
          <w:r>
            <w:rPr>
              <w:rFonts w:hint="eastAsia" w:ascii="宋体" w:hAnsi="宋体" w:eastAsia="宋体" w:cs="宋体"/>
              <w:sz w:val="24"/>
              <w:szCs w:val="24"/>
            </w:rPr>
            <w:fldChar w:fldCharType="separate"/>
          </w:r>
          <w:r>
            <w:rPr>
              <w:rFonts w:hint="eastAsia" w:ascii="宋体" w:hAnsi="宋体" w:eastAsia="宋体" w:cs="宋体"/>
              <w:sz w:val="24"/>
              <w:szCs w:val="24"/>
            </w:rPr>
            <w:t>6</w:t>
          </w:r>
          <w:r>
            <w:rPr>
              <w:rFonts w:hint="eastAsia" w:ascii="宋体" w:hAnsi="宋体" w:eastAsia="宋体" w:cs="宋体"/>
              <w:sz w:val="24"/>
              <w:szCs w:val="24"/>
            </w:rPr>
            <w:fldChar w:fldCharType="end"/>
          </w:r>
          <w:r>
            <w:rPr>
              <w:rFonts w:hint="eastAsia" w:ascii="宋体" w:hAnsi="宋体" w:eastAsia="宋体" w:cs="宋体"/>
              <w:bCs/>
              <w:color w:val="auto"/>
              <w:kern w:val="2"/>
              <w:sz w:val="24"/>
              <w:szCs w:val="24"/>
              <w:highlight w:val="none"/>
              <w:lang w:val="en-US" w:eastAsia="zh-CN" w:bidi="ar-SA"/>
            </w:rPr>
            <w:fldChar w:fldCharType="end"/>
          </w:r>
        </w:p>
        <w:p w14:paraId="230525E7">
          <w:pPr>
            <w:pStyle w:val="35"/>
            <w:tabs>
              <w:tab w:val="right" w:leader="dot" w:pos="9460"/>
            </w:tabs>
            <w:rPr>
              <w:rFonts w:hint="eastAsia" w:ascii="宋体" w:hAnsi="宋体" w:eastAsia="宋体" w:cs="宋体"/>
              <w:sz w:val="24"/>
              <w:szCs w:val="24"/>
            </w:rPr>
          </w:pPr>
          <w:r>
            <w:rPr>
              <w:rFonts w:hint="eastAsia" w:ascii="宋体" w:hAnsi="宋体" w:eastAsia="宋体" w:cs="宋体"/>
              <w:bCs/>
              <w:color w:val="auto"/>
              <w:kern w:val="2"/>
              <w:sz w:val="24"/>
              <w:szCs w:val="24"/>
              <w:highlight w:val="none"/>
              <w:lang w:val="en-US" w:eastAsia="zh-CN" w:bidi="ar-SA"/>
            </w:rPr>
            <w:fldChar w:fldCharType="begin"/>
          </w:r>
          <w:r>
            <w:rPr>
              <w:rFonts w:hint="eastAsia" w:ascii="宋体" w:hAnsi="宋体" w:eastAsia="宋体" w:cs="宋体"/>
              <w:bCs/>
              <w:kern w:val="2"/>
              <w:sz w:val="24"/>
              <w:szCs w:val="24"/>
              <w:highlight w:val="none"/>
              <w:lang w:val="en-US" w:eastAsia="zh-CN" w:bidi="ar-SA"/>
            </w:rPr>
            <w:instrText xml:space="preserve"> HYPERLINK \l _Toc19642 </w:instrText>
          </w:r>
          <w:r>
            <w:rPr>
              <w:rFonts w:hint="eastAsia" w:ascii="宋体" w:hAnsi="宋体" w:eastAsia="宋体" w:cs="宋体"/>
              <w:bCs/>
              <w:kern w:val="2"/>
              <w:sz w:val="24"/>
              <w:szCs w:val="24"/>
              <w:highlight w:val="none"/>
              <w:lang w:val="en-US" w:eastAsia="zh-CN" w:bidi="ar-SA"/>
            </w:rPr>
            <w:fldChar w:fldCharType="separate"/>
          </w:r>
          <w:r>
            <w:rPr>
              <w:rFonts w:hint="eastAsia" w:ascii="宋体" w:hAnsi="宋体" w:eastAsia="宋体" w:cs="宋体"/>
              <w:sz w:val="24"/>
              <w:szCs w:val="24"/>
            </w:rPr>
            <w:t xml:space="preserve">六、 </w:t>
          </w:r>
          <w:r>
            <w:rPr>
              <w:rFonts w:hint="eastAsia" w:ascii="宋体" w:hAnsi="宋体" w:eastAsia="宋体" w:cs="宋体"/>
              <w:sz w:val="24"/>
              <w:szCs w:val="24"/>
              <w:highlight w:val="none"/>
            </w:rPr>
            <w:t>违约责任</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_Toc19642 \h </w:instrText>
          </w:r>
          <w:r>
            <w:rPr>
              <w:rFonts w:hint="eastAsia" w:ascii="宋体" w:hAnsi="宋体" w:eastAsia="宋体" w:cs="宋体"/>
              <w:sz w:val="24"/>
              <w:szCs w:val="24"/>
            </w:rPr>
            <w:fldChar w:fldCharType="separate"/>
          </w:r>
          <w:r>
            <w:rPr>
              <w:rFonts w:hint="eastAsia" w:ascii="宋体" w:hAnsi="宋体" w:eastAsia="宋体" w:cs="宋体"/>
              <w:sz w:val="24"/>
              <w:szCs w:val="24"/>
            </w:rPr>
            <w:t>6</w:t>
          </w:r>
          <w:r>
            <w:rPr>
              <w:rFonts w:hint="eastAsia" w:ascii="宋体" w:hAnsi="宋体" w:eastAsia="宋体" w:cs="宋体"/>
              <w:sz w:val="24"/>
              <w:szCs w:val="24"/>
            </w:rPr>
            <w:fldChar w:fldCharType="end"/>
          </w:r>
          <w:r>
            <w:rPr>
              <w:rFonts w:hint="eastAsia" w:ascii="宋体" w:hAnsi="宋体" w:eastAsia="宋体" w:cs="宋体"/>
              <w:bCs/>
              <w:color w:val="auto"/>
              <w:kern w:val="2"/>
              <w:sz w:val="24"/>
              <w:szCs w:val="24"/>
              <w:highlight w:val="none"/>
              <w:lang w:val="en-US" w:eastAsia="zh-CN" w:bidi="ar-SA"/>
            </w:rPr>
            <w:fldChar w:fldCharType="end"/>
          </w:r>
        </w:p>
        <w:p w14:paraId="79BD8D3D">
          <w:pPr>
            <w:pStyle w:val="35"/>
            <w:tabs>
              <w:tab w:val="right" w:leader="dot" w:pos="9460"/>
            </w:tabs>
            <w:rPr>
              <w:rFonts w:hint="eastAsia" w:ascii="宋体" w:hAnsi="宋体" w:eastAsia="宋体" w:cs="宋体"/>
              <w:sz w:val="24"/>
              <w:szCs w:val="24"/>
            </w:rPr>
          </w:pPr>
          <w:r>
            <w:rPr>
              <w:rFonts w:hint="eastAsia" w:ascii="宋体" w:hAnsi="宋体" w:eastAsia="宋体" w:cs="宋体"/>
              <w:bCs/>
              <w:color w:val="auto"/>
              <w:kern w:val="2"/>
              <w:sz w:val="24"/>
              <w:szCs w:val="24"/>
              <w:highlight w:val="none"/>
              <w:lang w:val="en-US" w:eastAsia="zh-CN" w:bidi="ar-SA"/>
            </w:rPr>
            <w:fldChar w:fldCharType="begin"/>
          </w:r>
          <w:r>
            <w:rPr>
              <w:rFonts w:hint="eastAsia" w:ascii="宋体" w:hAnsi="宋体" w:eastAsia="宋体" w:cs="宋体"/>
              <w:bCs/>
              <w:kern w:val="2"/>
              <w:sz w:val="24"/>
              <w:szCs w:val="24"/>
              <w:highlight w:val="none"/>
              <w:lang w:val="en-US" w:eastAsia="zh-CN" w:bidi="ar-SA"/>
            </w:rPr>
            <w:instrText xml:space="preserve"> HYPERLINK \l _Toc18834 </w:instrText>
          </w:r>
          <w:r>
            <w:rPr>
              <w:rFonts w:hint="eastAsia" w:ascii="宋体" w:hAnsi="宋体" w:eastAsia="宋体" w:cs="宋体"/>
              <w:bCs/>
              <w:kern w:val="2"/>
              <w:sz w:val="24"/>
              <w:szCs w:val="24"/>
              <w:highlight w:val="none"/>
              <w:lang w:val="en-US" w:eastAsia="zh-CN" w:bidi="ar-SA"/>
            </w:rPr>
            <w:fldChar w:fldCharType="separate"/>
          </w:r>
          <w:r>
            <w:rPr>
              <w:rFonts w:hint="eastAsia" w:ascii="宋体" w:hAnsi="宋体" w:eastAsia="宋体" w:cs="宋体"/>
              <w:bCs/>
              <w:sz w:val="24"/>
              <w:szCs w:val="24"/>
              <w:lang w:val="en-US" w:eastAsia="zh-CN"/>
            </w:rPr>
            <w:t xml:space="preserve">七、 </w:t>
          </w:r>
          <w:r>
            <w:rPr>
              <w:rFonts w:hint="eastAsia" w:ascii="宋体" w:hAnsi="宋体" w:eastAsia="宋体" w:cs="宋体"/>
              <w:sz w:val="24"/>
              <w:szCs w:val="24"/>
              <w:highlight w:val="none"/>
            </w:rPr>
            <w:t>保险</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_Toc18834 \h </w:instrText>
          </w:r>
          <w:r>
            <w:rPr>
              <w:rFonts w:hint="eastAsia" w:ascii="宋体" w:hAnsi="宋体" w:eastAsia="宋体" w:cs="宋体"/>
              <w:sz w:val="24"/>
              <w:szCs w:val="24"/>
            </w:rPr>
            <w:fldChar w:fldCharType="separate"/>
          </w:r>
          <w:r>
            <w:rPr>
              <w:rFonts w:hint="eastAsia" w:ascii="宋体" w:hAnsi="宋体" w:eastAsia="宋体" w:cs="宋体"/>
              <w:sz w:val="24"/>
              <w:szCs w:val="24"/>
            </w:rPr>
            <w:t>7</w:t>
          </w:r>
          <w:r>
            <w:rPr>
              <w:rFonts w:hint="eastAsia" w:ascii="宋体" w:hAnsi="宋体" w:eastAsia="宋体" w:cs="宋体"/>
              <w:sz w:val="24"/>
              <w:szCs w:val="24"/>
            </w:rPr>
            <w:fldChar w:fldCharType="end"/>
          </w:r>
          <w:r>
            <w:rPr>
              <w:rFonts w:hint="eastAsia" w:ascii="宋体" w:hAnsi="宋体" w:eastAsia="宋体" w:cs="宋体"/>
              <w:bCs/>
              <w:color w:val="auto"/>
              <w:kern w:val="2"/>
              <w:sz w:val="24"/>
              <w:szCs w:val="24"/>
              <w:highlight w:val="none"/>
              <w:lang w:val="en-US" w:eastAsia="zh-CN" w:bidi="ar-SA"/>
            </w:rPr>
            <w:fldChar w:fldCharType="end"/>
          </w:r>
        </w:p>
        <w:p w14:paraId="3B443516">
          <w:pPr>
            <w:pStyle w:val="35"/>
            <w:tabs>
              <w:tab w:val="right" w:leader="dot" w:pos="9460"/>
            </w:tabs>
            <w:rPr>
              <w:rFonts w:hint="eastAsia" w:ascii="宋体" w:hAnsi="宋体" w:eastAsia="宋体" w:cs="宋体"/>
              <w:sz w:val="24"/>
              <w:szCs w:val="24"/>
            </w:rPr>
          </w:pPr>
          <w:r>
            <w:rPr>
              <w:rFonts w:hint="eastAsia" w:ascii="宋体" w:hAnsi="宋体" w:eastAsia="宋体" w:cs="宋体"/>
              <w:bCs/>
              <w:color w:val="auto"/>
              <w:kern w:val="2"/>
              <w:sz w:val="24"/>
              <w:szCs w:val="24"/>
              <w:highlight w:val="none"/>
              <w:lang w:val="en-US" w:eastAsia="zh-CN" w:bidi="ar-SA"/>
            </w:rPr>
            <w:fldChar w:fldCharType="begin"/>
          </w:r>
          <w:r>
            <w:rPr>
              <w:rFonts w:hint="eastAsia" w:ascii="宋体" w:hAnsi="宋体" w:eastAsia="宋体" w:cs="宋体"/>
              <w:bCs/>
              <w:kern w:val="2"/>
              <w:sz w:val="24"/>
              <w:szCs w:val="24"/>
              <w:highlight w:val="none"/>
              <w:lang w:val="en-US" w:eastAsia="zh-CN" w:bidi="ar-SA"/>
            </w:rPr>
            <w:instrText xml:space="preserve"> HYPERLINK \l _Toc29670 </w:instrText>
          </w:r>
          <w:r>
            <w:rPr>
              <w:rFonts w:hint="eastAsia" w:ascii="宋体" w:hAnsi="宋体" w:eastAsia="宋体" w:cs="宋体"/>
              <w:bCs/>
              <w:kern w:val="2"/>
              <w:sz w:val="24"/>
              <w:szCs w:val="24"/>
              <w:highlight w:val="none"/>
              <w:lang w:val="en-US" w:eastAsia="zh-CN" w:bidi="ar-SA"/>
            </w:rPr>
            <w:fldChar w:fldCharType="separate"/>
          </w:r>
          <w:r>
            <w:rPr>
              <w:rFonts w:hint="eastAsia" w:ascii="宋体" w:hAnsi="宋体" w:eastAsia="宋体" w:cs="宋体"/>
              <w:sz w:val="24"/>
              <w:szCs w:val="24"/>
            </w:rPr>
            <w:t xml:space="preserve">八、 </w:t>
          </w:r>
          <w:r>
            <w:rPr>
              <w:rFonts w:hint="eastAsia" w:ascii="宋体" w:hAnsi="宋体" w:eastAsia="宋体" w:cs="宋体"/>
              <w:sz w:val="24"/>
              <w:szCs w:val="24"/>
              <w:highlight w:val="none"/>
            </w:rPr>
            <w:t>廉洁条款</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_Toc29670 \h </w:instrText>
          </w:r>
          <w:r>
            <w:rPr>
              <w:rFonts w:hint="eastAsia" w:ascii="宋体" w:hAnsi="宋体" w:eastAsia="宋体" w:cs="宋体"/>
              <w:sz w:val="24"/>
              <w:szCs w:val="24"/>
            </w:rPr>
            <w:fldChar w:fldCharType="separate"/>
          </w:r>
          <w:r>
            <w:rPr>
              <w:rFonts w:hint="eastAsia" w:ascii="宋体" w:hAnsi="宋体" w:eastAsia="宋体" w:cs="宋体"/>
              <w:sz w:val="24"/>
              <w:szCs w:val="24"/>
            </w:rPr>
            <w:t>7</w:t>
          </w:r>
          <w:r>
            <w:rPr>
              <w:rFonts w:hint="eastAsia" w:ascii="宋体" w:hAnsi="宋体" w:eastAsia="宋体" w:cs="宋体"/>
              <w:sz w:val="24"/>
              <w:szCs w:val="24"/>
            </w:rPr>
            <w:fldChar w:fldCharType="end"/>
          </w:r>
          <w:r>
            <w:rPr>
              <w:rFonts w:hint="eastAsia" w:ascii="宋体" w:hAnsi="宋体" w:eastAsia="宋体" w:cs="宋体"/>
              <w:bCs/>
              <w:color w:val="auto"/>
              <w:kern w:val="2"/>
              <w:sz w:val="24"/>
              <w:szCs w:val="24"/>
              <w:highlight w:val="none"/>
              <w:lang w:val="en-US" w:eastAsia="zh-CN" w:bidi="ar-SA"/>
            </w:rPr>
            <w:fldChar w:fldCharType="end"/>
          </w:r>
        </w:p>
        <w:p w14:paraId="7EB778B1">
          <w:pPr>
            <w:pStyle w:val="35"/>
            <w:tabs>
              <w:tab w:val="right" w:leader="dot" w:pos="9460"/>
            </w:tabs>
            <w:rPr>
              <w:rFonts w:hint="eastAsia" w:ascii="宋体" w:hAnsi="宋体" w:eastAsia="宋体" w:cs="宋体"/>
              <w:sz w:val="24"/>
              <w:szCs w:val="24"/>
            </w:rPr>
          </w:pPr>
          <w:r>
            <w:rPr>
              <w:rFonts w:hint="eastAsia" w:ascii="宋体" w:hAnsi="宋体" w:eastAsia="宋体" w:cs="宋体"/>
              <w:bCs/>
              <w:color w:val="auto"/>
              <w:kern w:val="2"/>
              <w:sz w:val="24"/>
              <w:szCs w:val="24"/>
              <w:highlight w:val="none"/>
              <w:lang w:val="en-US" w:eastAsia="zh-CN" w:bidi="ar-SA"/>
            </w:rPr>
            <w:fldChar w:fldCharType="begin"/>
          </w:r>
          <w:r>
            <w:rPr>
              <w:rFonts w:hint="eastAsia" w:ascii="宋体" w:hAnsi="宋体" w:eastAsia="宋体" w:cs="宋体"/>
              <w:bCs/>
              <w:kern w:val="2"/>
              <w:sz w:val="24"/>
              <w:szCs w:val="24"/>
              <w:highlight w:val="none"/>
              <w:lang w:val="en-US" w:eastAsia="zh-CN" w:bidi="ar-SA"/>
            </w:rPr>
            <w:instrText xml:space="preserve"> HYPERLINK \l _Toc14658 </w:instrText>
          </w:r>
          <w:r>
            <w:rPr>
              <w:rFonts w:hint="eastAsia" w:ascii="宋体" w:hAnsi="宋体" w:eastAsia="宋体" w:cs="宋体"/>
              <w:bCs/>
              <w:kern w:val="2"/>
              <w:sz w:val="24"/>
              <w:szCs w:val="24"/>
              <w:highlight w:val="none"/>
              <w:lang w:val="en-US" w:eastAsia="zh-CN" w:bidi="ar-SA"/>
            </w:rPr>
            <w:fldChar w:fldCharType="separate"/>
          </w:r>
          <w:r>
            <w:rPr>
              <w:rFonts w:hint="eastAsia" w:ascii="宋体" w:hAnsi="宋体" w:eastAsia="宋体" w:cs="宋体"/>
              <w:sz w:val="24"/>
              <w:szCs w:val="24"/>
            </w:rPr>
            <w:t xml:space="preserve">九、 </w:t>
          </w:r>
          <w:r>
            <w:rPr>
              <w:rFonts w:hint="eastAsia" w:ascii="宋体" w:hAnsi="宋体" w:eastAsia="宋体" w:cs="宋体"/>
              <w:sz w:val="24"/>
              <w:szCs w:val="24"/>
              <w:highlight w:val="none"/>
            </w:rPr>
            <w:t>其它</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_Toc14658 \h </w:instrText>
          </w:r>
          <w:r>
            <w:rPr>
              <w:rFonts w:hint="eastAsia" w:ascii="宋体" w:hAnsi="宋体" w:eastAsia="宋体" w:cs="宋体"/>
              <w:sz w:val="24"/>
              <w:szCs w:val="24"/>
            </w:rPr>
            <w:fldChar w:fldCharType="separate"/>
          </w:r>
          <w:r>
            <w:rPr>
              <w:rFonts w:hint="eastAsia" w:ascii="宋体" w:hAnsi="宋体" w:eastAsia="宋体" w:cs="宋体"/>
              <w:sz w:val="24"/>
              <w:szCs w:val="24"/>
            </w:rPr>
            <w:t>8</w:t>
          </w:r>
          <w:r>
            <w:rPr>
              <w:rFonts w:hint="eastAsia" w:ascii="宋体" w:hAnsi="宋体" w:eastAsia="宋体" w:cs="宋体"/>
              <w:sz w:val="24"/>
              <w:szCs w:val="24"/>
            </w:rPr>
            <w:fldChar w:fldCharType="end"/>
          </w:r>
          <w:r>
            <w:rPr>
              <w:rFonts w:hint="eastAsia" w:ascii="宋体" w:hAnsi="宋体" w:eastAsia="宋体" w:cs="宋体"/>
              <w:bCs/>
              <w:color w:val="auto"/>
              <w:kern w:val="2"/>
              <w:sz w:val="24"/>
              <w:szCs w:val="24"/>
              <w:highlight w:val="none"/>
              <w:lang w:val="en-US" w:eastAsia="zh-CN" w:bidi="ar-SA"/>
            </w:rPr>
            <w:fldChar w:fldCharType="end"/>
          </w:r>
        </w:p>
        <w:p w14:paraId="1197F4D8">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20" w:lineRule="exact"/>
            <w:ind w:left="420" w:leftChars="0"/>
            <w:jc w:val="left"/>
            <w:textAlignment w:val="auto"/>
            <w:rPr>
              <w:rFonts w:hint="eastAsia" w:ascii="Times New Roman" w:hAnsi="Times New Roman" w:eastAsia="宋体" w:cs="Times New Roman"/>
              <w:bCs/>
              <w:color w:val="auto"/>
              <w:kern w:val="2"/>
              <w:sz w:val="21"/>
              <w:szCs w:val="24"/>
              <w:highlight w:val="none"/>
              <w:lang w:val="en-US" w:eastAsia="zh-CN" w:bidi="ar-SA"/>
            </w:rPr>
          </w:pPr>
          <w:r>
            <w:rPr>
              <w:rFonts w:hint="eastAsia" w:ascii="Times New Roman" w:hAnsi="Times New Roman" w:eastAsia="宋体" w:cs="Times New Roman"/>
              <w:bCs/>
              <w:color w:val="auto"/>
              <w:kern w:val="2"/>
              <w:szCs w:val="24"/>
              <w:highlight w:val="none"/>
              <w:lang w:val="en-US" w:eastAsia="zh-CN" w:bidi="ar-SA"/>
            </w:rPr>
            <w:fldChar w:fldCharType="end"/>
          </w:r>
        </w:p>
      </w:sdtContent>
    </w:sdt>
    <w:p w14:paraId="7124E629">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20" w:lineRule="exact"/>
        <w:ind w:left="420" w:leftChars="0"/>
        <w:jc w:val="left"/>
        <w:textAlignment w:val="auto"/>
        <w:rPr>
          <w:rFonts w:hint="eastAsia" w:ascii="Times New Roman" w:hAnsi="Times New Roman" w:eastAsia="宋体" w:cs="Times New Roman"/>
          <w:bCs/>
          <w:color w:val="auto"/>
          <w:kern w:val="2"/>
          <w:sz w:val="21"/>
          <w:szCs w:val="24"/>
          <w:highlight w:val="none"/>
          <w:lang w:val="en-US" w:eastAsia="zh-CN" w:bidi="ar-SA"/>
        </w:rPr>
      </w:pPr>
    </w:p>
    <w:p w14:paraId="065AACBA">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20" w:lineRule="exact"/>
        <w:ind w:left="420" w:leftChars="0"/>
        <w:jc w:val="left"/>
        <w:textAlignment w:val="auto"/>
        <w:rPr>
          <w:rFonts w:hint="eastAsia" w:ascii="Times New Roman" w:hAnsi="Times New Roman" w:eastAsia="宋体" w:cs="Times New Roman"/>
          <w:bCs/>
          <w:color w:val="auto"/>
          <w:kern w:val="2"/>
          <w:sz w:val="24"/>
          <w:szCs w:val="24"/>
          <w:highlight w:val="none"/>
          <w:lang w:val="en-US" w:eastAsia="zh-CN" w:bidi="ar-SA"/>
        </w:rPr>
      </w:pPr>
    </w:p>
    <w:p w14:paraId="7CD0D190">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20" w:lineRule="exact"/>
        <w:ind w:left="420" w:leftChars="0"/>
        <w:jc w:val="left"/>
        <w:textAlignment w:val="auto"/>
        <w:rPr>
          <w:rFonts w:hint="eastAsia" w:ascii="Times New Roman" w:hAnsi="Times New Roman" w:eastAsia="宋体" w:cs="Times New Roman"/>
          <w:bCs/>
          <w:color w:val="auto"/>
          <w:kern w:val="2"/>
          <w:sz w:val="24"/>
          <w:szCs w:val="24"/>
          <w:highlight w:val="none"/>
          <w:lang w:val="en-US" w:eastAsia="zh-CN" w:bidi="ar-SA"/>
        </w:rPr>
      </w:pPr>
    </w:p>
    <w:p w14:paraId="33467F40">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20" w:lineRule="exact"/>
        <w:ind w:left="420" w:leftChars="0"/>
        <w:jc w:val="left"/>
        <w:textAlignment w:val="auto"/>
        <w:rPr>
          <w:rFonts w:hint="eastAsia" w:ascii="Times New Roman" w:hAnsi="Times New Roman" w:eastAsia="宋体" w:cs="Times New Roman"/>
          <w:bCs/>
          <w:color w:val="auto"/>
          <w:kern w:val="2"/>
          <w:sz w:val="24"/>
          <w:szCs w:val="24"/>
          <w:highlight w:val="none"/>
          <w:lang w:val="en-US" w:eastAsia="zh-CN" w:bidi="ar-SA"/>
        </w:rPr>
      </w:pPr>
    </w:p>
    <w:p w14:paraId="5CAA9762">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20" w:lineRule="exact"/>
        <w:ind w:left="420" w:leftChars="0"/>
        <w:jc w:val="left"/>
        <w:textAlignment w:val="auto"/>
        <w:rPr>
          <w:rFonts w:hint="eastAsia" w:ascii="Times New Roman" w:hAnsi="Times New Roman" w:eastAsia="宋体" w:cs="Times New Roman"/>
          <w:bCs/>
          <w:color w:val="auto"/>
          <w:kern w:val="2"/>
          <w:sz w:val="24"/>
          <w:szCs w:val="24"/>
          <w:highlight w:val="none"/>
          <w:lang w:val="en-US" w:eastAsia="zh-CN" w:bidi="ar-SA"/>
        </w:rPr>
      </w:pPr>
    </w:p>
    <w:p w14:paraId="3911A2AA">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20" w:lineRule="exact"/>
        <w:ind w:left="420" w:leftChars="0"/>
        <w:jc w:val="left"/>
        <w:textAlignment w:val="auto"/>
        <w:rPr>
          <w:rFonts w:hint="eastAsia" w:ascii="Times New Roman" w:hAnsi="Times New Roman" w:eastAsia="宋体" w:cs="Times New Roman"/>
          <w:bCs/>
          <w:color w:val="auto"/>
          <w:kern w:val="2"/>
          <w:sz w:val="24"/>
          <w:szCs w:val="24"/>
          <w:highlight w:val="none"/>
          <w:lang w:val="en-US" w:eastAsia="zh-CN" w:bidi="ar-SA"/>
        </w:rPr>
      </w:pPr>
    </w:p>
    <w:p w14:paraId="3C160321">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20" w:lineRule="exact"/>
        <w:ind w:left="420" w:leftChars="0"/>
        <w:jc w:val="left"/>
        <w:textAlignment w:val="auto"/>
        <w:rPr>
          <w:rFonts w:hint="eastAsia" w:ascii="Times New Roman" w:hAnsi="Times New Roman" w:eastAsia="宋体" w:cs="Times New Roman"/>
          <w:bCs/>
          <w:color w:val="auto"/>
          <w:kern w:val="2"/>
          <w:sz w:val="24"/>
          <w:szCs w:val="24"/>
          <w:highlight w:val="none"/>
          <w:lang w:val="en-US" w:eastAsia="zh-CN" w:bidi="ar-SA"/>
        </w:rPr>
      </w:pPr>
    </w:p>
    <w:p w14:paraId="58BCF27F">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20" w:lineRule="exact"/>
        <w:ind w:left="420" w:leftChars="0"/>
        <w:jc w:val="left"/>
        <w:textAlignment w:val="auto"/>
        <w:rPr>
          <w:rFonts w:hint="eastAsia" w:ascii="Times New Roman" w:hAnsi="Times New Roman" w:eastAsia="宋体" w:cs="Times New Roman"/>
          <w:bCs/>
          <w:color w:val="auto"/>
          <w:kern w:val="2"/>
          <w:sz w:val="24"/>
          <w:szCs w:val="24"/>
          <w:highlight w:val="none"/>
          <w:lang w:val="en-US" w:eastAsia="zh-CN" w:bidi="ar-SA"/>
        </w:rPr>
      </w:pPr>
    </w:p>
    <w:p w14:paraId="596FBEA8">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20" w:lineRule="exact"/>
        <w:ind w:left="420" w:leftChars="0"/>
        <w:jc w:val="left"/>
        <w:textAlignment w:val="auto"/>
        <w:rPr>
          <w:rFonts w:hint="eastAsia" w:ascii="Times New Roman" w:hAnsi="Times New Roman" w:eastAsia="宋体" w:cs="Times New Roman"/>
          <w:bCs/>
          <w:color w:val="auto"/>
          <w:kern w:val="2"/>
          <w:sz w:val="24"/>
          <w:szCs w:val="24"/>
          <w:highlight w:val="none"/>
          <w:lang w:val="en-US" w:eastAsia="zh-CN" w:bidi="ar-SA"/>
        </w:rPr>
      </w:pPr>
    </w:p>
    <w:p w14:paraId="229BAC47">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20" w:lineRule="exact"/>
        <w:ind w:left="420" w:leftChars="0"/>
        <w:jc w:val="left"/>
        <w:textAlignment w:val="auto"/>
        <w:rPr>
          <w:rFonts w:hint="eastAsia" w:ascii="Times New Roman" w:hAnsi="Times New Roman" w:eastAsia="宋体" w:cs="Times New Roman"/>
          <w:bCs/>
          <w:color w:val="auto"/>
          <w:kern w:val="2"/>
          <w:sz w:val="24"/>
          <w:szCs w:val="24"/>
          <w:highlight w:val="none"/>
          <w:lang w:val="en-US" w:eastAsia="zh-CN" w:bidi="ar-SA"/>
        </w:rPr>
      </w:pPr>
    </w:p>
    <w:p w14:paraId="3D535EB7">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20" w:lineRule="exact"/>
        <w:ind w:left="420" w:leftChars="0"/>
        <w:jc w:val="left"/>
        <w:textAlignment w:val="auto"/>
        <w:rPr>
          <w:rFonts w:hint="eastAsia" w:ascii="Times New Roman" w:hAnsi="Times New Roman" w:eastAsia="宋体" w:cs="Times New Roman"/>
          <w:bCs/>
          <w:color w:val="auto"/>
          <w:kern w:val="2"/>
          <w:sz w:val="24"/>
          <w:szCs w:val="24"/>
          <w:highlight w:val="none"/>
          <w:lang w:val="en-US" w:eastAsia="zh-CN" w:bidi="ar-SA"/>
        </w:rPr>
      </w:pPr>
    </w:p>
    <w:p w14:paraId="640CB9AD">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20" w:lineRule="exact"/>
        <w:ind w:left="420" w:leftChars="0"/>
        <w:jc w:val="left"/>
        <w:textAlignment w:val="auto"/>
        <w:rPr>
          <w:rFonts w:hint="eastAsia" w:ascii="Times New Roman" w:hAnsi="Times New Roman" w:eastAsia="宋体" w:cs="Times New Roman"/>
          <w:bCs/>
          <w:color w:val="auto"/>
          <w:kern w:val="2"/>
          <w:sz w:val="24"/>
          <w:szCs w:val="24"/>
          <w:highlight w:val="none"/>
          <w:lang w:val="en-US" w:eastAsia="zh-CN" w:bidi="ar-SA"/>
        </w:rPr>
      </w:pPr>
    </w:p>
    <w:p w14:paraId="1D80632A">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20" w:lineRule="exact"/>
        <w:ind w:left="420" w:leftChars="0"/>
        <w:jc w:val="left"/>
        <w:textAlignment w:val="auto"/>
        <w:rPr>
          <w:rFonts w:hint="eastAsia" w:ascii="Times New Roman" w:hAnsi="Times New Roman" w:eastAsia="宋体" w:cs="Times New Roman"/>
          <w:bCs/>
          <w:color w:val="auto"/>
          <w:kern w:val="2"/>
          <w:sz w:val="24"/>
          <w:szCs w:val="24"/>
          <w:highlight w:val="none"/>
          <w:lang w:val="en-US" w:eastAsia="zh-CN" w:bidi="ar-SA"/>
        </w:rPr>
      </w:pPr>
    </w:p>
    <w:p w14:paraId="3A9E80B5">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20" w:lineRule="exact"/>
        <w:ind w:left="420" w:leftChars="0"/>
        <w:jc w:val="left"/>
        <w:textAlignment w:val="auto"/>
        <w:rPr>
          <w:rFonts w:hint="eastAsia" w:ascii="Times New Roman" w:hAnsi="Times New Roman" w:eastAsia="宋体" w:cs="Times New Roman"/>
          <w:bCs/>
          <w:color w:val="auto"/>
          <w:kern w:val="2"/>
          <w:sz w:val="24"/>
          <w:szCs w:val="24"/>
          <w:highlight w:val="none"/>
          <w:lang w:val="en-US" w:eastAsia="zh-CN" w:bidi="ar-SA"/>
        </w:rPr>
      </w:pPr>
    </w:p>
    <w:p w14:paraId="78E1C376">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20" w:lineRule="exact"/>
        <w:ind w:left="420" w:leftChars="0"/>
        <w:jc w:val="left"/>
        <w:textAlignment w:val="auto"/>
        <w:rPr>
          <w:rFonts w:hint="eastAsia" w:ascii="Times New Roman" w:hAnsi="Times New Roman" w:eastAsia="宋体" w:cs="Times New Roman"/>
          <w:bCs/>
          <w:color w:val="auto"/>
          <w:kern w:val="2"/>
          <w:sz w:val="24"/>
          <w:szCs w:val="24"/>
          <w:highlight w:val="none"/>
          <w:lang w:val="en-US" w:eastAsia="zh-CN" w:bidi="ar-SA"/>
        </w:rPr>
      </w:pPr>
    </w:p>
    <w:p w14:paraId="51DFF043">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20" w:lineRule="exact"/>
        <w:ind w:left="420" w:leftChars="0"/>
        <w:jc w:val="left"/>
        <w:textAlignment w:val="auto"/>
        <w:rPr>
          <w:rFonts w:hint="eastAsia" w:ascii="Times New Roman" w:hAnsi="Times New Roman" w:eastAsia="宋体" w:cs="Times New Roman"/>
          <w:bCs/>
          <w:color w:val="auto"/>
          <w:kern w:val="2"/>
          <w:sz w:val="24"/>
          <w:szCs w:val="24"/>
          <w:highlight w:val="none"/>
          <w:lang w:val="en-US" w:eastAsia="zh-CN" w:bidi="ar-SA"/>
        </w:rPr>
        <w:sectPr>
          <w:pgSz w:w="11906" w:h="16838"/>
          <w:pgMar w:top="-964" w:right="1176" w:bottom="781" w:left="1270" w:header="624" w:footer="567" w:gutter="0"/>
          <w:pgBorders>
            <w:top w:val="none" w:sz="0" w:space="0"/>
            <w:left w:val="none" w:sz="0" w:space="0"/>
            <w:bottom w:val="none" w:sz="0" w:space="0"/>
            <w:right w:val="none" w:sz="0" w:space="0"/>
          </w:pgBorders>
          <w:pgNumType w:fmt="decimal"/>
          <w:cols w:space="0" w:num="1"/>
          <w:docGrid w:type="lines" w:linePitch="293" w:charSpace="0"/>
        </w:sectPr>
      </w:pPr>
    </w:p>
    <w:p w14:paraId="74C50E52">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20" w:lineRule="exact"/>
        <w:ind w:left="420" w:leftChars="0"/>
        <w:jc w:val="left"/>
        <w:textAlignment w:val="auto"/>
        <w:rPr>
          <w:rFonts w:hint="eastAsia"/>
          <w:bCs/>
          <w:color w:val="auto"/>
          <w:sz w:val="24"/>
          <w:highlight w:val="none"/>
        </w:rPr>
      </w:pPr>
      <w:r>
        <w:rPr>
          <w:rFonts w:hint="eastAsia" w:ascii="Times New Roman" w:hAnsi="Times New Roman" w:eastAsia="宋体" w:cs="Times New Roman"/>
          <w:bCs/>
          <w:color w:val="auto"/>
          <w:kern w:val="2"/>
          <w:sz w:val="24"/>
          <w:szCs w:val="24"/>
          <w:highlight w:val="none"/>
          <w:lang w:val="en-US" w:eastAsia="zh-CN" w:bidi="ar-SA"/>
        </w:rPr>
        <w:t>甲、</w:t>
      </w:r>
      <w:r>
        <w:rPr>
          <w:rFonts w:hint="eastAsia"/>
          <w:bCs/>
          <w:color w:val="auto"/>
          <w:sz w:val="24"/>
          <w:highlight w:val="none"/>
        </w:rPr>
        <w:t>乙</w:t>
      </w:r>
      <w:r>
        <w:rPr>
          <w:rFonts w:hint="eastAsia"/>
          <w:bCs/>
          <w:color w:val="auto"/>
          <w:sz w:val="24"/>
          <w:highlight w:val="none"/>
          <w:lang w:val="en-US" w:eastAsia="zh-CN"/>
        </w:rPr>
        <w:t>双</w:t>
      </w:r>
      <w:r>
        <w:rPr>
          <w:rFonts w:hint="eastAsia"/>
          <w:bCs/>
          <w:color w:val="auto"/>
          <w:sz w:val="24"/>
          <w:highlight w:val="none"/>
          <w:lang w:eastAsia="zh-CN"/>
        </w:rPr>
        <w:t>方</w:t>
      </w:r>
      <w:r>
        <w:rPr>
          <w:rFonts w:hint="eastAsia"/>
          <w:bCs/>
          <w:color w:val="auto"/>
          <w:sz w:val="24"/>
          <w:highlight w:val="none"/>
        </w:rPr>
        <w:t>在平等、自愿、公平和诚实信用的原则上，依照《</w:t>
      </w:r>
      <w:r>
        <w:rPr>
          <w:rFonts w:hint="eastAsia" w:eastAsia="宋体"/>
          <w:bCs/>
          <w:color w:val="auto"/>
          <w:sz w:val="24"/>
          <w:highlight w:val="none"/>
        </w:rPr>
        <w:t>中华人民共和国民法典</w:t>
      </w:r>
      <w:r>
        <w:rPr>
          <w:rFonts w:hint="eastAsia"/>
          <w:bCs/>
          <w:color w:val="auto"/>
          <w:sz w:val="24"/>
          <w:highlight w:val="none"/>
        </w:rPr>
        <w:t>》</w:t>
      </w:r>
    </w:p>
    <w:p w14:paraId="4E78ECE9">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20" w:lineRule="exact"/>
        <w:jc w:val="left"/>
        <w:textAlignment w:val="auto"/>
        <w:rPr>
          <w:rFonts w:hint="eastAsia"/>
          <w:bCs/>
          <w:color w:val="auto"/>
          <w:sz w:val="24"/>
          <w:highlight w:val="none"/>
        </w:rPr>
      </w:pPr>
      <w:r>
        <w:rPr>
          <w:rFonts w:hint="eastAsia"/>
          <w:bCs/>
          <w:color w:val="auto"/>
          <w:sz w:val="24"/>
          <w:highlight w:val="none"/>
        </w:rPr>
        <w:t>及其他有关法律、行政法规，</w:t>
      </w:r>
      <w:r>
        <w:rPr>
          <w:rFonts w:hint="eastAsia"/>
          <w:bCs/>
          <w:color w:val="auto"/>
          <w:sz w:val="24"/>
          <w:highlight w:val="none"/>
          <w:lang w:val="en-US" w:eastAsia="zh-CN"/>
        </w:rPr>
        <w:t>就</w:t>
      </w:r>
      <w:r>
        <w:rPr>
          <w:rFonts w:hint="eastAsia"/>
          <w:bCs/>
          <w:color w:val="auto"/>
          <w:sz w:val="24"/>
          <w:highlight w:val="none"/>
          <w:lang w:eastAsia="zh-CN"/>
        </w:rPr>
        <w:t>甲方</w:t>
      </w:r>
      <w:r>
        <w:rPr>
          <w:rFonts w:hint="eastAsia"/>
          <w:bCs/>
          <w:color w:val="auto"/>
          <w:sz w:val="24"/>
          <w:highlight w:val="none"/>
          <w:lang w:val="en-US" w:eastAsia="zh-CN"/>
        </w:rPr>
        <w:t>委托乙方负责</w:t>
      </w:r>
      <w:r>
        <w:rPr>
          <w:rFonts w:hint="eastAsia" w:ascii="宋体" w:hAnsi="宋体" w:eastAsia="宋体" w:cs="宋体"/>
          <w:b/>
          <w:bCs/>
          <w:color w:val="auto"/>
          <w:sz w:val="24"/>
          <w:szCs w:val="24"/>
          <w:highlight w:val="none"/>
          <w:u w:val="single"/>
          <w:lang w:val="en-US" w:eastAsia="zh-CN"/>
        </w:rPr>
        <w:t>长沙柏宁地王广场锅炉维保服务</w:t>
      </w:r>
      <w:r>
        <w:rPr>
          <w:rFonts w:hint="eastAsia"/>
          <w:bCs/>
          <w:color w:val="auto"/>
          <w:sz w:val="24"/>
          <w:highlight w:val="none"/>
          <w:u w:val="none"/>
          <w:lang w:val="en-US" w:eastAsia="zh-CN"/>
        </w:rPr>
        <w:t>事宜</w:t>
      </w:r>
      <w:r>
        <w:rPr>
          <w:rFonts w:hint="eastAsia"/>
          <w:bCs/>
          <w:color w:val="auto"/>
          <w:sz w:val="24"/>
          <w:highlight w:val="none"/>
        </w:rPr>
        <w:t>协商达成合意，现订立本合同书供遵守。</w:t>
      </w:r>
    </w:p>
    <w:p w14:paraId="5D3E0B39">
      <w:pPr>
        <w:keepNext w:val="0"/>
        <w:keepLines w:val="0"/>
        <w:pageBreakBefore w:val="0"/>
        <w:widowControl w:val="0"/>
        <w:numPr>
          <w:ilvl w:val="0"/>
          <w:numId w:val="0"/>
        </w:numPr>
        <w:shd w:val="clear"/>
        <w:kinsoku/>
        <w:wordWrap/>
        <w:overflowPunct/>
        <w:topLinePunct w:val="0"/>
        <w:autoSpaceDE/>
        <w:autoSpaceDN/>
        <w:bidi w:val="0"/>
        <w:adjustRightInd/>
        <w:snapToGrid/>
        <w:spacing w:before="147" w:beforeLines="50" w:line="440" w:lineRule="exact"/>
        <w:textAlignment w:val="auto"/>
        <w:outlineLvl w:val="0"/>
        <w:rPr>
          <w:rFonts w:hint="eastAsia" w:ascii="宋体" w:hAnsi="宋体" w:eastAsia="宋体" w:cs="宋体"/>
          <w:b/>
          <w:bCs/>
          <w:color w:val="auto"/>
          <w:sz w:val="24"/>
          <w:szCs w:val="24"/>
          <w:highlight w:val="none"/>
          <w:lang w:val="en-US" w:eastAsia="zh-CN"/>
        </w:rPr>
      </w:pPr>
      <w:bookmarkStart w:id="7" w:name="_Toc24969"/>
      <w:r>
        <w:rPr>
          <w:rFonts w:hint="eastAsia" w:ascii="宋体" w:hAnsi="宋体" w:eastAsia="宋体" w:cs="宋体"/>
          <w:b/>
          <w:color w:val="auto"/>
          <w:sz w:val="24"/>
          <w:szCs w:val="24"/>
          <w:highlight w:val="none"/>
        </w:rPr>
        <w:t>一、</w:t>
      </w:r>
      <w:r>
        <w:rPr>
          <w:rFonts w:hint="eastAsia" w:ascii="宋体" w:hAnsi="宋体" w:eastAsia="宋体" w:cs="宋体"/>
          <w:b/>
          <w:bCs/>
          <w:color w:val="auto"/>
          <w:sz w:val="24"/>
          <w:szCs w:val="24"/>
          <w:highlight w:val="none"/>
        </w:rPr>
        <w:t>维保服务范围</w:t>
      </w:r>
      <w:r>
        <w:rPr>
          <w:rFonts w:hint="eastAsia" w:ascii="宋体" w:hAnsi="宋体" w:eastAsia="宋体" w:cs="宋体"/>
          <w:b/>
          <w:bCs/>
          <w:color w:val="auto"/>
          <w:sz w:val="24"/>
          <w:szCs w:val="24"/>
          <w:highlight w:val="none"/>
          <w:lang w:val="en-US" w:eastAsia="zh-CN"/>
        </w:rPr>
        <w:t>及内容</w:t>
      </w:r>
      <w:bookmarkEnd w:id="7"/>
    </w:p>
    <w:p w14:paraId="1363D8ED">
      <w:pPr>
        <w:shd w:val="clear"/>
        <w:spacing w:line="440" w:lineRule="exact"/>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项目</w:t>
      </w:r>
      <w:r>
        <w:rPr>
          <w:rFonts w:hint="eastAsia" w:ascii="宋体" w:hAnsi="宋体" w:eastAsia="宋体" w:cs="宋体"/>
          <w:color w:val="auto"/>
          <w:sz w:val="24"/>
          <w:szCs w:val="24"/>
          <w:highlight w:val="none"/>
        </w:rPr>
        <w:t>地</w:t>
      </w:r>
      <w:r>
        <w:rPr>
          <w:rFonts w:hint="eastAsia" w:ascii="宋体" w:hAnsi="宋体" w:eastAsia="宋体" w:cs="宋体"/>
          <w:color w:val="auto"/>
          <w:sz w:val="24"/>
          <w:szCs w:val="24"/>
          <w:highlight w:val="none"/>
          <w:lang w:val="en-US" w:eastAsia="zh-CN"/>
        </w:rPr>
        <w:t>址</w:t>
      </w:r>
      <w:r>
        <w:rPr>
          <w:rFonts w:hint="eastAsia" w:ascii="宋体" w:hAnsi="宋体" w:eastAsia="宋体" w:cs="宋体"/>
          <w:color w:val="auto"/>
          <w:sz w:val="24"/>
          <w:szCs w:val="24"/>
          <w:highlight w:val="none"/>
        </w:rPr>
        <w:t>：</w:t>
      </w:r>
      <w:r>
        <w:rPr>
          <w:rFonts w:hint="eastAsia" w:ascii="宋体" w:hAnsi="宋体" w:eastAsia="宋体" w:cs="宋体"/>
          <w:b/>
          <w:bCs/>
          <w:color w:val="auto"/>
          <w:sz w:val="24"/>
          <w:szCs w:val="24"/>
          <w:highlight w:val="none"/>
          <w:u w:val="single"/>
          <w:lang w:val="en-US" w:eastAsia="zh-CN"/>
        </w:rPr>
        <w:t xml:space="preserve"> 长沙市岳麓区洋湖街道潇湘南路一</w:t>
      </w:r>
      <w:r>
        <w:rPr>
          <w:rFonts w:hint="eastAsia" w:ascii="宋体" w:hAnsi="宋体" w:cs="宋体"/>
          <w:b/>
          <w:bCs/>
          <w:color w:val="auto"/>
          <w:sz w:val="24"/>
          <w:szCs w:val="24"/>
          <w:highlight w:val="none"/>
          <w:u w:val="single"/>
          <w:lang w:val="en-US" w:eastAsia="zh-CN"/>
        </w:rPr>
        <w:t>段</w:t>
      </w:r>
      <w:r>
        <w:rPr>
          <w:rFonts w:hint="eastAsia" w:ascii="宋体" w:hAnsi="宋体" w:eastAsia="宋体" w:cs="宋体"/>
          <w:b/>
          <w:bCs/>
          <w:color w:val="auto"/>
          <w:sz w:val="24"/>
          <w:szCs w:val="24"/>
          <w:highlight w:val="none"/>
          <w:u w:val="single"/>
          <w:lang w:val="en-US" w:eastAsia="zh-CN"/>
        </w:rPr>
        <w:t xml:space="preserve">208号柏利大厦 </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b/>
          <w:bCs/>
          <w:color w:val="auto"/>
          <w:sz w:val="24"/>
          <w:szCs w:val="24"/>
          <w:highlight w:val="none"/>
        </w:rPr>
        <w:t>。</w:t>
      </w:r>
    </w:p>
    <w:p w14:paraId="3C961D01">
      <w:pPr>
        <w:shd w:val="clear"/>
        <w:spacing w:line="440" w:lineRule="exact"/>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2服务</w:t>
      </w:r>
      <w:r>
        <w:rPr>
          <w:rFonts w:hint="eastAsia" w:ascii="宋体" w:hAnsi="宋体" w:eastAsia="宋体" w:cs="宋体"/>
          <w:color w:val="auto"/>
          <w:sz w:val="24"/>
          <w:szCs w:val="24"/>
          <w:highlight w:val="none"/>
        </w:rPr>
        <w:t>范围</w:t>
      </w:r>
      <w:r>
        <w:rPr>
          <w:rFonts w:hint="eastAsia" w:ascii="宋体" w:hAnsi="宋体" w:eastAsia="宋体" w:cs="宋体"/>
          <w:color w:val="auto"/>
          <w:sz w:val="24"/>
          <w:szCs w:val="24"/>
          <w:highlight w:val="none"/>
          <w:lang w:val="en-US" w:eastAsia="zh-CN"/>
        </w:rPr>
        <w:t>及内容</w:t>
      </w:r>
      <w:r>
        <w:rPr>
          <w:rFonts w:hint="eastAsia" w:ascii="宋体" w:hAnsi="宋体" w:eastAsia="宋体" w:cs="宋体"/>
          <w:color w:val="auto"/>
          <w:sz w:val="24"/>
          <w:szCs w:val="24"/>
          <w:highlight w:val="none"/>
        </w:rPr>
        <w:t>：</w:t>
      </w:r>
    </w:p>
    <w:p w14:paraId="610E6743">
      <w:pPr>
        <w:shd w:val="clear"/>
        <w:spacing w:line="440" w:lineRule="exact"/>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1.2.1</w:t>
      </w:r>
      <w:r>
        <w:rPr>
          <w:rFonts w:hint="eastAsia" w:ascii="宋体" w:hAnsi="宋体" w:eastAsia="宋体" w:cs="宋体"/>
          <w:color w:val="auto"/>
          <w:sz w:val="24"/>
          <w:szCs w:val="24"/>
          <w:highlight w:val="none"/>
          <w:u w:val="none"/>
          <w:lang w:val="en-US" w:eastAsia="zh-CN"/>
        </w:rPr>
        <w:t xml:space="preserve"> 锅炉煮炉3台，含</w:t>
      </w:r>
      <w:r>
        <w:rPr>
          <w:rFonts w:hint="eastAsia" w:ascii="宋体" w:hAnsi="宋体" w:eastAsia="宋体" w:cs="宋体"/>
          <w:color w:val="auto"/>
          <w:sz w:val="24"/>
          <w:szCs w:val="24"/>
          <w:highlight w:val="none"/>
          <w:lang w:val="en-US" w:eastAsia="zh-CN"/>
        </w:rPr>
        <w:t>锅炉系统的维护保养（包括锅炉本体、燃烧机、热交换器、软水箱、管道、水泵等一切锅炉相关设施设备）。</w:t>
      </w:r>
    </w:p>
    <w:p w14:paraId="6ABBDF39">
      <w:pPr>
        <w:shd w:val="clear"/>
        <w:spacing w:line="440" w:lineRule="exact"/>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1.2.2锅炉及换热系统清洗。</w:t>
      </w:r>
    </w:p>
    <w:p w14:paraId="0E0D495C">
      <w:pPr>
        <w:shd w:val="clear"/>
        <w:spacing w:line="440" w:lineRule="exact"/>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1.2.3锅炉、安全阀及压力表的强制性检测，并保证检验合格。</w:t>
      </w:r>
    </w:p>
    <w:p w14:paraId="2FF400C7">
      <w:pPr>
        <w:shd w:val="clear"/>
        <w:spacing w:line="440" w:lineRule="exact"/>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1.2.4保养及检测内容详见附件《维保要求》。</w:t>
      </w:r>
    </w:p>
    <w:p w14:paraId="0871F2E9">
      <w:pPr>
        <w:shd w:val="clear"/>
        <w:spacing w:line="440" w:lineRule="exact"/>
        <w:ind w:firstLine="482"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b/>
          <w:bCs/>
          <w:color w:val="auto"/>
          <w:sz w:val="24"/>
          <w:szCs w:val="24"/>
          <w:highlight w:val="none"/>
          <w:u w:val="none"/>
          <w:lang w:val="en-US" w:eastAsia="zh-CN"/>
        </w:rPr>
        <w:t>上述具体要求详见附件二《维保要求》，具体以甲方指定的为准（包括本合同附件所列内容），如上述附件未列明但按法律规定、地方行政主管部门政策要求及行业惯例锅炉保养、检修及验证所必须完成的工作也属于乙方工作范围，由乙方负责完成，且费用已包含在合同价款内</w:t>
      </w:r>
      <w:r>
        <w:rPr>
          <w:rFonts w:hint="eastAsia" w:ascii="宋体" w:hAnsi="宋体" w:eastAsia="宋体" w:cs="宋体"/>
          <w:bCs/>
          <w:color w:val="auto"/>
          <w:sz w:val="24"/>
          <w:szCs w:val="24"/>
          <w:highlight w:val="none"/>
        </w:rPr>
        <w:t>。</w:t>
      </w:r>
    </w:p>
    <w:p w14:paraId="6CDE7FAE">
      <w:pPr>
        <w:shd w:val="clear"/>
        <w:spacing w:line="440" w:lineRule="exact"/>
        <w:ind w:firstLine="480" w:firstLineChars="200"/>
        <w:textAlignment w:val="baseline"/>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eastAsia="zh-CN"/>
        </w:rPr>
        <w:t>1.3</w:t>
      </w:r>
      <w:r>
        <w:rPr>
          <w:rFonts w:hint="eastAsia" w:ascii="宋体" w:hAnsi="宋体" w:cs="宋体"/>
          <w:color w:val="auto"/>
          <w:sz w:val="24"/>
          <w:szCs w:val="24"/>
          <w:highlight w:val="none"/>
          <w:lang w:val="en-US" w:eastAsia="zh-CN"/>
        </w:rPr>
        <w:t>本合同</w:t>
      </w:r>
      <w:r>
        <w:rPr>
          <w:rFonts w:hint="eastAsia" w:ascii="宋体" w:hAnsi="宋体" w:eastAsia="宋体" w:cs="宋体"/>
          <w:color w:val="auto"/>
          <w:sz w:val="24"/>
          <w:szCs w:val="24"/>
          <w:highlight w:val="none"/>
          <w:lang w:val="en-US" w:eastAsia="zh-CN"/>
        </w:rPr>
        <w:t>服务期限</w:t>
      </w:r>
      <w:r>
        <w:rPr>
          <w:rFonts w:hint="eastAsia" w:ascii="宋体" w:hAnsi="宋体" w:cs="宋体"/>
          <w:color w:val="auto"/>
          <w:sz w:val="24"/>
          <w:szCs w:val="24"/>
          <w:highlight w:val="none"/>
          <w:lang w:val="en-US" w:eastAsia="zh-CN"/>
        </w:rPr>
        <w:t>：</w:t>
      </w:r>
      <w:r>
        <w:rPr>
          <w:rFonts w:hint="eastAsia" w:ascii="宋体" w:hAnsi="宋体" w:cs="宋体"/>
          <w:b/>
          <w:bCs/>
          <w:color w:val="auto"/>
          <w:sz w:val="24"/>
          <w:szCs w:val="24"/>
          <w:highlight w:val="none"/>
          <w:u w:val="single"/>
          <w:lang w:val="en-US" w:eastAsia="zh-CN"/>
        </w:rPr>
        <w:t xml:space="preserve"> 2024年12月1日起，预计结束日期视招标结果而定</w:t>
      </w:r>
      <w:r>
        <w:rPr>
          <w:rFonts w:hint="eastAsia" w:ascii="宋体" w:hAnsi="宋体" w:cs="宋体"/>
          <w:b/>
          <w:bCs/>
          <w:color w:val="auto"/>
          <w:sz w:val="24"/>
          <w:szCs w:val="24"/>
          <w:highlight w:val="none"/>
          <w:u w:val="none"/>
          <w:lang w:val="en-US" w:eastAsia="zh-CN"/>
        </w:rPr>
        <w:t>。</w:t>
      </w:r>
      <w:r>
        <w:rPr>
          <w:rFonts w:hint="eastAsia" w:ascii="宋体" w:hAnsi="宋体" w:eastAsia="宋体" w:cs="宋体"/>
          <w:color w:val="auto"/>
          <w:sz w:val="24"/>
          <w:szCs w:val="24"/>
          <w:highlight w:val="none"/>
          <w:lang w:val="en-US" w:eastAsia="zh-CN"/>
        </w:rPr>
        <w:t>如</w:t>
      </w: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val="en-US" w:eastAsia="zh-CN"/>
        </w:rPr>
        <w:t>提供的</w:t>
      </w:r>
      <w:r>
        <w:rPr>
          <w:rFonts w:hint="eastAsia" w:ascii="宋体" w:hAnsi="宋体" w:eastAsia="宋体" w:cs="宋体"/>
          <w:color w:val="auto"/>
          <w:sz w:val="24"/>
          <w:szCs w:val="24"/>
          <w:highlight w:val="none"/>
        </w:rPr>
        <w:t>服务</w:t>
      </w:r>
      <w:r>
        <w:rPr>
          <w:rFonts w:hint="eastAsia" w:ascii="宋体" w:hAnsi="宋体" w:eastAsia="宋体" w:cs="宋体"/>
          <w:color w:val="auto"/>
          <w:sz w:val="24"/>
          <w:szCs w:val="24"/>
          <w:highlight w:val="none"/>
          <w:lang w:val="en-US" w:eastAsia="zh-CN"/>
        </w:rPr>
        <w:t>未能达到合同约定，甲方有权单方解除本合同。</w:t>
      </w:r>
    </w:p>
    <w:p w14:paraId="48D5BE29">
      <w:pPr>
        <w:keepNext w:val="0"/>
        <w:keepLines w:val="0"/>
        <w:pageBreakBefore w:val="0"/>
        <w:widowControl w:val="0"/>
        <w:numPr>
          <w:ilvl w:val="0"/>
          <w:numId w:val="1"/>
        </w:numPr>
        <w:shd w:val="clear"/>
        <w:kinsoku/>
        <w:wordWrap/>
        <w:overflowPunct/>
        <w:topLinePunct w:val="0"/>
        <w:autoSpaceDE/>
        <w:autoSpaceDN/>
        <w:bidi w:val="0"/>
        <w:adjustRightInd/>
        <w:snapToGrid/>
        <w:spacing w:before="147" w:beforeLines="50" w:line="440" w:lineRule="exact"/>
        <w:textAlignment w:val="auto"/>
        <w:outlineLvl w:val="0"/>
        <w:rPr>
          <w:rFonts w:hint="eastAsia" w:ascii="宋体" w:hAnsi="宋体" w:eastAsia="宋体" w:cs="宋体"/>
          <w:b/>
          <w:bCs/>
          <w:color w:val="auto"/>
          <w:sz w:val="24"/>
          <w:szCs w:val="24"/>
          <w:highlight w:val="none"/>
          <w:lang w:eastAsia="zh-CN"/>
        </w:rPr>
      </w:pPr>
      <w:bookmarkStart w:id="8" w:name="_Toc24464"/>
      <w:r>
        <w:rPr>
          <w:rFonts w:hint="eastAsia" w:ascii="宋体" w:hAnsi="宋体" w:eastAsia="宋体" w:cs="宋体"/>
          <w:b/>
          <w:bCs/>
          <w:color w:val="auto"/>
          <w:sz w:val="24"/>
          <w:szCs w:val="24"/>
          <w:highlight w:val="none"/>
        </w:rPr>
        <w:t>合同价格</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以定标结果为准</w:t>
      </w:r>
      <w:r>
        <w:rPr>
          <w:rFonts w:hint="eastAsia" w:ascii="宋体" w:hAnsi="宋体" w:eastAsia="宋体" w:cs="宋体"/>
          <w:b/>
          <w:bCs/>
          <w:color w:val="auto"/>
          <w:sz w:val="24"/>
          <w:szCs w:val="24"/>
          <w:highlight w:val="none"/>
          <w:lang w:eastAsia="zh-CN"/>
        </w:rPr>
        <w:t>】</w:t>
      </w:r>
      <w:bookmarkEnd w:id="8"/>
    </w:p>
    <w:p w14:paraId="52BE96FC">
      <w:pPr>
        <w:shd w:val="clear"/>
        <w:snapToGrid w:val="0"/>
        <w:spacing w:line="440" w:lineRule="exact"/>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.1</w:t>
      </w:r>
      <w:r>
        <w:rPr>
          <w:rFonts w:hint="eastAsia" w:ascii="宋体" w:hAnsi="宋体" w:eastAsia="宋体" w:cs="宋体"/>
          <w:color w:val="auto"/>
          <w:kern w:val="1"/>
          <w:sz w:val="24"/>
          <w:szCs w:val="24"/>
          <w:highlight w:val="none"/>
        </w:rPr>
        <w:t>本合同为</w:t>
      </w:r>
      <w:r>
        <w:rPr>
          <w:rFonts w:hint="eastAsia" w:ascii="宋体" w:hAnsi="宋体" w:eastAsia="宋体" w:cs="宋体"/>
          <w:color w:val="auto"/>
          <w:kern w:val="1"/>
          <w:sz w:val="24"/>
          <w:szCs w:val="24"/>
          <w:highlight w:val="none"/>
          <w:u w:val="single"/>
          <w:lang w:val="en-US" w:eastAsia="zh-CN"/>
        </w:rPr>
        <w:t xml:space="preserve"> 固定</w:t>
      </w:r>
      <w:r>
        <w:rPr>
          <w:rFonts w:hint="eastAsia" w:ascii="宋体" w:hAnsi="宋体" w:cs="宋体"/>
          <w:color w:val="auto"/>
          <w:kern w:val="1"/>
          <w:sz w:val="24"/>
          <w:szCs w:val="24"/>
          <w:highlight w:val="none"/>
          <w:u w:val="single"/>
          <w:lang w:val="en-US" w:eastAsia="zh-CN"/>
        </w:rPr>
        <w:t>单</w:t>
      </w:r>
      <w:r>
        <w:rPr>
          <w:rFonts w:hint="eastAsia" w:ascii="宋体" w:hAnsi="宋体" w:eastAsia="宋体" w:cs="宋体"/>
          <w:color w:val="auto"/>
          <w:kern w:val="1"/>
          <w:sz w:val="24"/>
          <w:szCs w:val="24"/>
          <w:highlight w:val="none"/>
          <w:u w:val="single"/>
          <w:lang w:val="en-US" w:eastAsia="zh-CN"/>
        </w:rPr>
        <w:t xml:space="preserve">价 </w:t>
      </w:r>
      <w:r>
        <w:rPr>
          <w:rFonts w:hint="eastAsia" w:ascii="宋体" w:hAnsi="宋体" w:eastAsia="宋体" w:cs="宋体"/>
          <w:color w:val="auto"/>
          <w:kern w:val="1"/>
          <w:sz w:val="24"/>
          <w:szCs w:val="24"/>
          <w:highlight w:val="none"/>
        </w:rPr>
        <w:t>合同，合同</w:t>
      </w:r>
      <w:r>
        <w:rPr>
          <w:rFonts w:hint="eastAsia" w:ascii="宋体" w:hAnsi="宋体" w:cs="宋体"/>
          <w:color w:val="auto"/>
          <w:kern w:val="1"/>
          <w:sz w:val="24"/>
          <w:szCs w:val="24"/>
          <w:highlight w:val="none"/>
          <w:lang w:eastAsia="zh-CN"/>
        </w:rPr>
        <w:t>单</w:t>
      </w:r>
      <w:r>
        <w:rPr>
          <w:rFonts w:hint="eastAsia" w:ascii="宋体" w:hAnsi="宋体" w:eastAsia="宋体" w:cs="宋体"/>
          <w:color w:val="auto"/>
          <w:kern w:val="1"/>
          <w:sz w:val="24"/>
          <w:szCs w:val="24"/>
          <w:highlight w:val="none"/>
        </w:rPr>
        <w:t>价</w:t>
      </w:r>
      <w:r>
        <w:rPr>
          <w:rFonts w:hint="eastAsia" w:ascii="宋体" w:hAnsi="宋体" w:eastAsia="宋体" w:cs="宋体"/>
          <w:color w:val="auto"/>
          <w:sz w:val="24"/>
          <w:szCs w:val="24"/>
          <w:highlight w:val="none"/>
        </w:rPr>
        <w:t>含税，开具</w:t>
      </w:r>
      <w:r>
        <w:rPr>
          <w:rFonts w:hint="eastAsia" w:ascii="宋体" w:hAnsi="宋体" w:eastAsia="宋体" w:cs="宋体"/>
          <w:color w:val="auto"/>
          <w:sz w:val="24"/>
          <w:szCs w:val="24"/>
          <w:highlight w:val="none"/>
          <w:lang w:val="en-US" w:eastAsia="zh-CN"/>
        </w:rPr>
        <w:t>税率</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rPr>
        <w:t>增值税</w:t>
      </w:r>
      <w:r>
        <w:rPr>
          <w:rFonts w:hint="eastAsia" w:ascii="宋体" w:hAnsi="宋体" w:eastAsia="宋体" w:cs="宋体"/>
          <w:color w:val="auto"/>
          <w:sz w:val="24"/>
          <w:szCs w:val="24"/>
          <w:highlight w:val="none"/>
        </w:rPr>
        <w:sym w:font="Wingdings 2" w:char="0052"/>
      </w:r>
      <w:r>
        <w:rPr>
          <w:rFonts w:hint="eastAsia" w:ascii="宋体" w:hAnsi="宋体" w:eastAsia="宋体" w:cs="宋体"/>
          <w:color w:val="auto"/>
          <w:sz w:val="24"/>
          <w:szCs w:val="24"/>
          <w:highlight w:val="none"/>
          <w:lang w:val="en-US" w:eastAsia="zh-CN"/>
        </w:rPr>
        <w:t>专用/</w:t>
      </w:r>
      <w:r>
        <w:rPr>
          <w:rFonts w:hint="eastAsia" w:ascii="宋体" w:hAnsi="宋体" w:eastAsia="宋体" w:cs="宋体"/>
          <w:color w:val="auto"/>
          <w:sz w:val="24"/>
          <w:szCs w:val="24"/>
          <w:highlight w:val="none"/>
          <w:lang w:val="en-US" w:eastAsia="zh-CN"/>
        </w:rPr>
        <w:sym w:font="Wingdings 2" w:char="00A3"/>
      </w:r>
      <w:r>
        <w:rPr>
          <w:rFonts w:hint="eastAsia" w:ascii="宋体" w:hAnsi="宋体" w:eastAsia="宋体" w:cs="宋体"/>
          <w:color w:val="auto"/>
          <w:sz w:val="24"/>
          <w:szCs w:val="24"/>
          <w:highlight w:val="none"/>
        </w:rPr>
        <w:t>普通</w:t>
      </w:r>
    </w:p>
    <w:p w14:paraId="14809EA1">
      <w:pPr>
        <w:shd w:val="clear"/>
        <w:snapToGrid w:val="0"/>
        <w:spacing w:line="440" w:lineRule="exact"/>
        <w:textAlignment w:val="baseline"/>
        <w:rPr>
          <w:rFonts w:hint="eastAsia" w:ascii="宋体" w:hAnsi="宋体" w:eastAsia="宋体" w:cs="宋体"/>
          <w:color w:val="auto"/>
          <w:kern w:val="1"/>
          <w:sz w:val="24"/>
          <w:szCs w:val="24"/>
          <w:highlight w:val="none"/>
        </w:rPr>
      </w:pPr>
      <w:r>
        <w:rPr>
          <w:rFonts w:hint="eastAsia" w:ascii="宋体" w:hAnsi="宋体" w:eastAsia="宋体" w:cs="宋体"/>
          <w:color w:val="auto"/>
          <w:sz w:val="24"/>
          <w:szCs w:val="24"/>
          <w:highlight w:val="none"/>
        </w:rPr>
        <w:t>发票（税率按国家政策执行，如税率调整，合同</w:t>
      </w:r>
      <w:r>
        <w:rPr>
          <w:rFonts w:hint="eastAsia" w:ascii="宋体" w:hAnsi="宋体" w:cs="宋体"/>
          <w:color w:val="auto"/>
          <w:sz w:val="24"/>
          <w:szCs w:val="24"/>
          <w:highlight w:val="none"/>
          <w:lang w:eastAsia="zh-CN"/>
        </w:rPr>
        <w:t>单</w:t>
      </w:r>
      <w:r>
        <w:rPr>
          <w:rFonts w:hint="eastAsia" w:ascii="宋体" w:hAnsi="宋体" w:eastAsia="宋体" w:cs="宋体"/>
          <w:color w:val="auto"/>
          <w:sz w:val="24"/>
          <w:szCs w:val="24"/>
          <w:highlight w:val="none"/>
        </w:rPr>
        <w:t>价随之调整）</w:t>
      </w:r>
      <w:r>
        <w:rPr>
          <w:rFonts w:hint="eastAsia" w:ascii="宋体" w:hAnsi="宋体" w:eastAsia="宋体" w:cs="宋体"/>
          <w:color w:val="auto"/>
          <w:kern w:val="0"/>
          <w:sz w:val="24"/>
          <w:szCs w:val="24"/>
          <w:highlight w:val="none"/>
        </w:rPr>
        <w:t>。</w:t>
      </w:r>
      <w:r>
        <w:rPr>
          <w:rFonts w:hint="eastAsia" w:ascii="宋体" w:hAnsi="宋体" w:cs="宋体"/>
          <w:color w:val="auto"/>
          <w:kern w:val="0"/>
          <w:sz w:val="24"/>
          <w:szCs w:val="24"/>
          <w:highlight w:val="none"/>
          <w:lang w:eastAsia="zh-CN"/>
        </w:rPr>
        <w:t>本合同</w:t>
      </w:r>
      <w:r>
        <w:rPr>
          <w:rFonts w:hint="eastAsia" w:ascii="宋体" w:hAnsi="宋体" w:cs="宋体"/>
          <w:color w:val="auto"/>
          <w:kern w:val="1"/>
          <w:sz w:val="24"/>
          <w:szCs w:val="24"/>
          <w:highlight w:val="none"/>
          <w:lang w:eastAsia="zh-CN"/>
        </w:rPr>
        <w:t>暂定</w:t>
      </w:r>
      <w:r>
        <w:rPr>
          <w:rFonts w:hint="eastAsia" w:ascii="宋体" w:hAnsi="宋体" w:eastAsia="宋体" w:cs="宋体"/>
          <w:color w:val="auto"/>
          <w:kern w:val="1"/>
          <w:sz w:val="24"/>
          <w:szCs w:val="24"/>
          <w:highlight w:val="none"/>
        </w:rPr>
        <w:t>合同</w:t>
      </w:r>
      <w:r>
        <w:rPr>
          <w:rFonts w:hint="eastAsia" w:ascii="宋体" w:hAnsi="宋体" w:eastAsia="宋体" w:cs="宋体"/>
          <w:color w:val="auto"/>
          <w:kern w:val="1"/>
          <w:sz w:val="24"/>
          <w:szCs w:val="24"/>
          <w:highlight w:val="none"/>
          <w:lang w:val="en-US" w:eastAsia="zh-CN"/>
        </w:rPr>
        <w:t>总价</w:t>
      </w:r>
      <w:r>
        <w:rPr>
          <w:rFonts w:hint="eastAsia" w:ascii="宋体" w:hAnsi="宋体" w:eastAsia="宋体" w:cs="宋体"/>
          <w:color w:val="auto"/>
          <w:kern w:val="1"/>
          <w:sz w:val="24"/>
          <w:szCs w:val="24"/>
          <w:highlight w:val="none"/>
        </w:rPr>
        <w:t>为</w:t>
      </w:r>
    </w:p>
    <w:p w14:paraId="113AF2A1">
      <w:pPr>
        <w:shd w:val="clear"/>
        <w:snapToGrid w:val="0"/>
        <w:spacing w:line="440" w:lineRule="exact"/>
        <w:textAlignment w:val="baseline"/>
        <w:rPr>
          <w:rFonts w:hint="eastAsia" w:ascii="宋体" w:hAnsi="宋体" w:eastAsia="宋体" w:cs="宋体"/>
          <w:color w:val="auto"/>
          <w:kern w:val="0"/>
          <w:sz w:val="24"/>
          <w:szCs w:val="24"/>
          <w:highlight w:val="none"/>
          <w:lang w:eastAsia="zh-CN"/>
        </w:rPr>
      </w:pPr>
      <w:r>
        <w:rPr>
          <w:rFonts w:hint="eastAsia" w:ascii="宋体" w:hAnsi="宋体" w:cs="宋体"/>
          <w:color w:val="auto"/>
          <w:kern w:val="1"/>
          <w:sz w:val="24"/>
          <w:szCs w:val="24"/>
          <w:highlight w:val="none"/>
          <w:u w:val="single"/>
          <w:lang w:val="en-US" w:eastAsia="zh-CN"/>
        </w:rPr>
        <w:t xml:space="preserve">      </w:t>
      </w:r>
      <w:r>
        <w:rPr>
          <w:rFonts w:hint="eastAsia" w:ascii="宋体" w:hAnsi="宋体" w:eastAsia="宋体" w:cs="宋体"/>
          <w:color w:val="auto"/>
          <w:kern w:val="1"/>
          <w:sz w:val="24"/>
          <w:szCs w:val="24"/>
          <w:highlight w:val="none"/>
          <w:u w:val="none"/>
        </w:rPr>
        <w:t>元</w:t>
      </w:r>
      <w:r>
        <w:rPr>
          <w:rFonts w:hint="eastAsia" w:ascii="宋体" w:hAnsi="宋体" w:cs="宋体"/>
          <w:color w:val="auto"/>
          <w:kern w:val="1"/>
          <w:sz w:val="24"/>
          <w:szCs w:val="24"/>
          <w:highlight w:val="none"/>
          <w:u w:val="none"/>
          <w:lang w:eastAsia="zh-CN"/>
        </w:rPr>
        <w:t>，</w:t>
      </w:r>
      <w:r>
        <w:rPr>
          <w:rFonts w:hint="eastAsia" w:ascii="宋体" w:hAnsi="宋体" w:eastAsia="宋体" w:cs="宋体"/>
          <w:color w:val="auto"/>
          <w:sz w:val="24"/>
          <w:szCs w:val="24"/>
          <w:highlight w:val="none"/>
          <w:u w:val="none"/>
          <w:lang w:val="en-US" w:eastAsia="zh-CN"/>
        </w:rPr>
        <w:t>此价仅供参考，不作付款、结算用途。</w:t>
      </w:r>
    </w:p>
    <w:p w14:paraId="31E64333">
      <w:pPr>
        <w:shd w:val="clear"/>
        <w:snapToGrid w:val="0"/>
        <w:spacing w:line="440" w:lineRule="exact"/>
        <w:ind w:firstLine="480" w:firstLineChars="200"/>
        <w:textAlignment w:val="baseline"/>
        <w:rPr>
          <w:rFonts w:hint="eastAsia" w:ascii="宋体" w:hAnsi="宋体" w:eastAsia="宋体" w:cs="宋体"/>
          <w:color w:val="auto"/>
          <w:highlight w:val="none"/>
          <w:lang w:val="en-US" w:eastAsia="zh-CN"/>
        </w:rPr>
      </w:pPr>
      <w:r>
        <w:rPr>
          <w:rFonts w:hint="eastAsia" w:ascii="宋体" w:hAnsi="宋体" w:eastAsia="宋体" w:cs="宋体"/>
          <w:color w:val="auto"/>
          <w:kern w:val="0"/>
          <w:sz w:val="24"/>
          <w:szCs w:val="24"/>
          <w:highlight w:val="none"/>
          <w:lang w:val="en-US" w:eastAsia="zh-CN"/>
        </w:rPr>
        <w:t>2.2</w:t>
      </w:r>
      <w:r>
        <w:rPr>
          <w:rFonts w:hint="eastAsia" w:ascii="宋体" w:hAnsi="宋体" w:eastAsia="宋体" w:cs="宋体"/>
          <w:color w:val="auto"/>
          <w:sz w:val="24"/>
          <w:szCs w:val="24"/>
          <w:highlight w:val="none"/>
          <w:u w:val="none"/>
          <w:lang w:val="en-US" w:eastAsia="zh-CN"/>
        </w:rPr>
        <w:t>合同单价详见附件《报价清单》，</w:t>
      </w:r>
      <w:r>
        <w:rPr>
          <w:rFonts w:hint="eastAsia" w:ascii="宋体" w:hAnsi="宋体" w:eastAsia="宋体" w:cs="宋体"/>
          <w:color w:val="auto"/>
          <w:kern w:val="0"/>
          <w:sz w:val="24"/>
          <w:szCs w:val="24"/>
          <w:highlight w:val="none"/>
          <w:lang w:val="en-US" w:eastAsia="zh-CN"/>
        </w:rPr>
        <w:t>合同</w:t>
      </w:r>
      <w:r>
        <w:rPr>
          <w:rFonts w:hint="eastAsia" w:ascii="宋体" w:hAnsi="宋体" w:cs="宋体"/>
          <w:color w:val="auto"/>
          <w:kern w:val="0"/>
          <w:sz w:val="24"/>
          <w:szCs w:val="24"/>
          <w:highlight w:val="none"/>
          <w:lang w:val="en-US" w:eastAsia="zh-CN"/>
        </w:rPr>
        <w:t>单</w:t>
      </w:r>
      <w:r>
        <w:rPr>
          <w:rFonts w:hint="eastAsia" w:ascii="宋体" w:hAnsi="宋体" w:eastAsia="宋体" w:cs="宋体"/>
          <w:color w:val="auto"/>
          <w:kern w:val="0"/>
          <w:sz w:val="24"/>
          <w:szCs w:val="24"/>
          <w:highlight w:val="none"/>
          <w:lang w:val="en-US" w:eastAsia="zh-CN"/>
        </w:rPr>
        <w:t>价</w:t>
      </w:r>
      <w:r>
        <w:rPr>
          <w:rFonts w:hint="eastAsia" w:ascii="宋体" w:hAnsi="宋体" w:eastAsia="宋体" w:cs="宋体"/>
          <w:color w:val="auto"/>
          <w:sz w:val="24"/>
          <w:szCs w:val="24"/>
          <w:highlight w:val="none"/>
          <w:lang w:val="en-US" w:eastAsia="zh-CN"/>
        </w:rPr>
        <w:t>包含本服务所需的人工费、维保材料费、乙方人员资质费用、交通费、食宿费、包</w:t>
      </w:r>
      <w:r>
        <w:rPr>
          <w:rFonts w:hint="eastAsia" w:ascii="宋体" w:hAnsi="宋体" w:eastAsia="宋体" w:cs="宋体"/>
          <w:color w:val="auto"/>
          <w:sz w:val="24"/>
          <w:szCs w:val="24"/>
          <w:highlight w:val="none"/>
        </w:rPr>
        <w:t>安装及调试、</w:t>
      </w:r>
      <w:r>
        <w:rPr>
          <w:rFonts w:hint="eastAsia" w:ascii="宋体" w:hAnsi="宋体" w:eastAsia="宋体" w:cs="宋体"/>
          <w:color w:val="auto"/>
          <w:sz w:val="24"/>
          <w:szCs w:val="24"/>
          <w:highlight w:val="none"/>
          <w:lang w:val="en-US" w:eastAsia="zh-CN"/>
        </w:rPr>
        <w:t>拆装、清洗、保养、验证</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日常检查及维修、服务</w:t>
      </w:r>
      <w:r>
        <w:rPr>
          <w:rFonts w:hint="eastAsia" w:ascii="宋体" w:hAnsi="宋体" w:eastAsia="宋体" w:cs="宋体"/>
          <w:color w:val="auto"/>
          <w:sz w:val="24"/>
          <w:szCs w:val="24"/>
          <w:highlight w:val="none"/>
        </w:rPr>
        <w:t>质量、</w:t>
      </w:r>
      <w:r>
        <w:rPr>
          <w:rFonts w:hint="eastAsia" w:ascii="宋体" w:hAnsi="宋体" w:eastAsia="宋体" w:cs="宋体"/>
          <w:color w:val="auto"/>
          <w:sz w:val="24"/>
          <w:szCs w:val="24"/>
          <w:highlight w:val="none"/>
          <w:lang w:val="en-US" w:eastAsia="zh-CN"/>
        </w:rPr>
        <w:t>包资质、包年检、包利润、包税金、包含因乙方维保原因产生的安全风险费用，亦包括乙方承担合同风险、义务、责任等一切本合同涉及的全部内容及费用，除本合同另有约定外，不作任何调整</w:t>
      </w:r>
      <w:r>
        <w:rPr>
          <w:rFonts w:hint="eastAsia" w:ascii="宋体" w:hAnsi="宋体" w:eastAsia="宋体" w:cs="宋体"/>
          <w:color w:val="auto"/>
          <w:highlight w:val="none"/>
          <w:lang w:val="en-US" w:eastAsia="zh-CN"/>
        </w:rPr>
        <w:t>。</w:t>
      </w:r>
    </w:p>
    <w:p w14:paraId="4FFEC0D8">
      <w:pPr>
        <w:numPr>
          <w:ilvl w:val="0"/>
          <w:numId w:val="1"/>
        </w:numPr>
        <w:shd w:val="clear"/>
        <w:spacing w:line="440" w:lineRule="exact"/>
        <w:outlineLvl w:val="0"/>
        <w:rPr>
          <w:rFonts w:hint="eastAsia" w:ascii="宋体" w:hAnsi="宋体" w:eastAsia="宋体" w:cs="宋体"/>
          <w:b/>
          <w:bCs/>
          <w:color w:val="auto"/>
          <w:sz w:val="24"/>
          <w:szCs w:val="24"/>
          <w:highlight w:val="none"/>
          <w:lang w:eastAsia="zh-CN"/>
        </w:rPr>
      </w:pPr>
      <w:bookmarkStart w:id="9" w:name="_Toc23740"/>
      <w:r>
        <w:rPr>
          <w:rFonts w:hint="eastAsia" w:ascii="宋体" w:hAnsi="宋体" w:eastAsia="宋体" w:cs="宋体"/>
          <w:b/>
          <w:bCs/>
          <w:color w:val="auto"/>
          <w:sz w:val="24"/>
          <w:szCs w:val="24"/>
          <w:highlight w:val="none"/>
        </w:rPr>
        <w:t>付款方式</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以定标结果为准</w:t>
      </w:r>
      <w:r>
        <w:rPr>
          <w:rFonts w:hint="eastAsia" w:ascii="宋体" w:hAnsi="宋体" w:eastAsia="宋体" w:cs="宋体"/>
          <w:b/>
          <w:bCs/>
          <w:color w:val="auto"/>
          <w:sz w:val="24"/>
          <w:szCs w:val="24"/>
          <w:highlight w:val="none"/>
          <w:lang w:eastAsia="zh-CN"/>
        </w:rPr>
        <w:t>】</w:t>
      </w:r>
      <w:bookmarkEnd w:id="9"/>
    </w:p>
    <w:p w14:paraId="2ACFF301">
      <w:pPr>
        <w:pStyle w:val="20"/>
        <w:shd w:val="clear"/>
        <w:snapToGrid w:val="0"/>
        <w:spacing w:line="440" w:lineRule="exact"/>
        <w:ind w:firstLine="48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3.1按季度支付（自2024年12月起每3个自然月为一季）。乙方按合同约定保质保量</w:t>
      </w:r>
    </w:p>
    <w:p w14:paraId="4DC03682">
      <w:pPr>
        <w:pStyle w:val="20"/>
        <w:shd w:val="clear"/>
        <w:snapToGrid w:val="0"/>
        <w:spacing w:line="440" w:lineRule="exact"/>
        <w:ind w:left="0" w:leftChars="0" w:firstLine="0" w:firstLineChars="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完成任一季度的维修保养服务使锅炉系统运行良好且经甲方确认后，甲方向乙方支付该季度维保费（涉及违约情形则按合同相关条款扣除违约金后方予支付）。甲方付款前，乙方须向甲方提供足额的、符合合同要求的发票，否则甲方有权拒绝付款且不违约。</w:t>
      </w:r>
    </w:p>
    <w:p w14:paraId="4F8B5C8A">
      <w:pPr>
        <w:pStyle w:val="20"/>
        <w:shd w:val="clear"/>
        <w:snapToGrid w:val="0"/>
        <w:spacing w:line="440" w:lineRule="exact"/>
        <w:ind w:left="0"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3.2每月的5日前（遇节假日则顺延）由甲乙双方核对、书面确认锅炉系统发生故障的次数和乙方原因违约需扣罚的项目及具体金额，本合同项下所有故障报修均以双方共同签署的书面文件为准。</w:t>
      </w:r>
    </w:p>
    <w:p w14:paraId="023540C6">
      <w:pPr>
        <w:pStyle w:val="20"/>
        <w:shd w:val="clear"/>
        <w:snapToGrid w:val="0"/>
        <w:spacing w:line="440" w:lineRule="exact"/>
        <w:ind w:firstLine="48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3.3乙方每次收取款项时，必须凭甲方认可的等额发票收取（发票内容与合同内容一致），</w:t>
      </w:r>
    </w:p>
    <w:p w14:paraId="1E1DB7CA">
      <w:pPr>
        <w:pStyle w:val="20"/>
        <w:shd w:val="clear"/>
        <w:snapToGrid w:val="0"/>
        <w:spacing w:line="440" w:lineRule="exact"/>
        <w:ind w:left="0" w:leftChars="0" w:firstLine="0" w:firstLine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否则甲方有权不付款。甲方以实际收到乙方的请款资料和发票的时间作为付款周期的起始时间，若乙方不能按时请款开票，则付款时间顺延。甲方发现乙方开具假发票的，乙方须书面向甲方承认开具假发票行为并重新开具合法发票，同时乙方须按假发票金额的30%向甲方支付违约金。乙方必须按税法规定的四流合一执行合同，即合同流、货物流、发票流、资金流一致，否则视为乙方违约，且由乙方承担所有责任及损失，甲方有权拒付合同价款并无需承担任何违约责任，直至满足四流合一，甲方方才付款。</w:t>
      </w:r>
    </w:p>
    <w:p w14:paraId="251CB706">
      <w:pPr>
        <w:pStyle w:val="20"/>
        <w:shd w:val="clear"/>
        <w:snapToGrid w:val="0"/>
        <w:spacing w:line="440" w:lineRule="exact"/>
        <w:ind w:firstLine="48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3.4双方同意每次付款前，如甲方对乙方所提供的服务验收不合格，则甲方有权暂不付款直至验收合格为止且不承担违约责任，甲方亦有权直接从应付乙方的款项中扣减相应款项。</w:t>
      </w:r>
    </w:p>
    <w:p w14:paraId="270AADFB">
      <w:pPr>
        <w:pStyle w:val="20"/>
        <w:shd w:val="clear"/>
        <w:snapToGrid w:val="0"/>
        <w:spacing w:line="440" w:lineRule="exact"/>
        <w:ind w:firstLine="48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3.5如</w:t>
      </w:r>
      <w:r>
        <w:rPr>
          <w:rFonts w:hint="eastAsia" w:ascii="宋体" w:hAnsi="宋体" w:eastAsia="宋体" w:cs="宋体"/>
          <w:bCs/>
          <w:color w:val="auto"/>
          <w:sz w:val="24"/>
          <w:highlight w:val="none"/>
          <w:u w:val="none"/>
          <w:lang w:val="en-US" w:eastAsia="zh-CN"/>
        </w:rPr>
        <w:t>甲乙</w:t>
      </w:r>
      <w:r>
        <w:rPr>
          <w:rFonts w:hint="eastAsia" w:ascii="宋体" w:hAnsi="宋体" w:eastAsia="宋体" w:cs="宋体"/>
          <w:color w:val="auto"/>
          <w:sz w:val="24"/>
          <w:szCs w:val="24"/>
          <w:highlight w:val="none"/>
          <w:lang w:val="en-US" w:eastAsia="zh-CN"/>
        </w:rPr>
        <w:t>双方对付款金额产生争议，甲方有权暂缓支付款项且不视为违约，甲方无需向乙方支付违约金或利息。</w:t>
      </w:r>
    </w:p>
    <w:p w14:paraId="76DE5F84">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3.6</w:t>
      </w:r>
      <w:r>
        <w:rPr>
          <w:rFonts w:hint="eastAsia" w:ascii="宋体" w:hAnsi="宋体" w:eastAsia="宋体" w:cs="宋体"/>
          <w:bCs/>
          <w:color w:val="auto"/>
          <w:sz w:val="24"/>
          <w:highlight w:val="none"/>
          <w:u w:val="none"/>
          <w:lang w:val="en-US" w:eastAsia="zh-CN"/>
        </w:rPr>
        <w:t>甲方支付完任一季度的维保费后，视为乙方关于该季度合同款支付事宜的全部权利全部消灭，乙方不得基于该季度合同款支付事宜向甲方提出任何权利主张或追索其他任何费用。</w:t>
      </w:r>
    </w:p>
    <w:p w14:paraId="1E8582AB">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Cs/>
          <w:color w:val="auto"/>
          <w:sz w:val="24"/>
          <w:highlight w:val="none"/>
          <w:u w:val="none"/>
          <w:lang w:val="en-US" w:eastAsia="zh-CN"/>
        </w:rPr>
      </w:pPr>
      <w:r>
        <w:rPr>
          <w:rFonts w:hint="eastAsia" w:ascii="宋体" w:hAnsi="宋体" w:eastAsia="宋体" w:cs="宋体"/>
          <w:color w:val="auto"/>
          <w:sz w:val="24"/>
          <w:szCs w:val="24"/>
          <w:highlight w:val="none"/>
          <w:lang w:val="en-US" w:eastAsia="zh-CN"/>
        </w:rPr>
        <w:t>3.7履行本合同过程中，凡甲方收取的款项（包括但不限于：各类押金、保证金、违约金、罚款、垃圾处理费、水电费、代收代缴款项等），乙方只有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r>
        <w:rPr>
          <w:rFonts w:hint="eastAsia" w:ascii="宋体" w:hAnsi="宋体" w:eastAsia="宋体" w:cs="宋体"/>
          <w:bCs/>
          <w:color w:val="auto"/>
          <w:sz w:val="24"/>
          <w:highlight w:val="none"/>
          <w:u w:val="none"/>
          <w:lang w:val="en-US" w:eastAsia="zh-CN"/>
        </w:rPr>
        <w:t>甲方收款账户如下：</w:t>
      </w:r>
    </w:p>
    <w:p w14:paraId="1EFAECFE">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00" w:lineRule="exact"/>
        <w:ind w:firstLine="482" w:firstLineChars="200"/>
        <w:jc w:val="left"/>
        <w:textAlignment w:val="auto"/>
        <w:rPr>
          <w:rFonts w:hint="eastAsia" w:ascii="宋体" w:hAnsi="宋体" w:cs="宋体"/>
          <w:b/>
          <w:bCs w:val="0"/>
          <w:color w:val="auto"/>
          <w:sz w:val="24"/>
          <w:highlight w:val="none"/>
          <w:lang w:val="en-US" w:eastAsia="zh-CN"/>
        </w:rPr>
      </w:pPr>
      <w:r>
        <w:rPr>
          <w:rFonts w:hint="eastAsia" w:ascii="宋体" w:hAnsi="宋体" w:cs="宋体"/>
          <w:b/>
          <w:bCs w:val="0"/>
          <w:color w:val="auto"/>
          <w:sz w:val="24"/>
          <w:highlight w:val="none"/>
          <w:lang w:val="en-US" w:eastAsia="zh-CN"/>
        </w:rPr>
        <w:t xml:space="preserve">开户名称： </w:t>
      </w:r>
      <w:r>
        <w:rPr>
          <w:rFonts w:hint="eastAsia" w:ascii="宋体" w:hAnsi="宋体" w:cs="宋体"/>
          <w:b/>
          <w:bCs w:val="0"/>
          <w:color w:val="auto"/>
          <w:sz w:val="24"/>
          <w:highlight w:val="none"/>
          <w:u w:val="single"/>
          <w:lang w:val="en-US" w:eastAsia="zh-CN"/>
        </w:rPr>
        <w:t>东莞市南峰物业管理有限公司长沙分公司</w:t>
      </w:r>
    </w:p>
    <w:p w14:paraId="09CB0A38">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00" w:lineRule="exact"/>
        <w:ind w:firstLine="482" w:firstLineChars="200"/>
        <w:jc w:val="left"/>
        <w:textAlignment w:val="auto"/>
        <w:rPr>
          <w:rFonts w:hint="eastAsia" w:ascii="宋体" w:hAnsi="宋体" w:cs="宋体"/>
          <w:b/>
          <w:bCs w:val="0"/>
          <w:color w:val="auto"/>
          <w:sz w:val="24"/>
          <w:highlight w:val="none"/>
          <w:lang w:val="en-US" w:eastAsia="zh-CN"/>
        </w:rPr>
      </w:pPr>
      <w:r>
        <w:rPr>
          <w:rFonts w:hint="eastAsia" w:ascii="宋体" w:hAnsi="宋体" w:cs="宋体"/>
          <w:b/>
          <w:bCs w:val="0"/>
          <w:color w:val="auto"/>
          <w:sz w:val="24"/>
          <w:highlight w:val="none"/>
          <w:lang w:val="en-US" w:eastAsia="zh-CN"/>
        </w:rPr>
        <w:t xml:space="preserve">开户银行： </w:t>
      </w:r>
      <w:r>
        <w:rPr>
          <w:rFonts w:hint="eastAsia" w:ascii="宋体" w:hAnsi="宋体" w:cs="宋体"/>
          <w:b/>
          <w:bCs w:val="0"/>
          <w:color w:val="auto"/>
          <w:sz w:val="24"/>
          <w:highlight w:val="none"/>
          <w:u w:val="single"/>
          <w:lang w:val="en-US" w:eastAsia="zh-CN"/>
        </w:rPr>
        <w:t>兴业银行股份有限公司长沙东塘支行</w:t>
      </w:r>
    </w:p>
    <w:p w14:paraId="60D6EFCA">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00" w:lineRule="exact"/>
        <w:ind w:firstLine="482" w:firstLineChars="200"/>
        <w:jc w:val="left"/>
        <w:textAlignment w:val="auto"/>
        <w:rPr>
          <w:rFonts w:hint="eastAsia" w:ascii="宋体" w:hAnsi="宋体" w:cs="宋体"/>
          <w:b/>
          <w:bCs w:val="0"/>
          <w:color w:val="auto"/>
          <w:sz w:val="24"/>
          <w:highlight w:val="none"/>
          <w:lang w:val="en-US" w:eastAsia="zh-CN"/>
        </w:rPr>
      </w:pPr>
      <w:r>
        <w:rPr>
          <w:rFonts w:hint="eastAsia" w:ascii="宋体" w:hAnsi="宋体" w:cs="宋体"/>
          <w:b/>
          <w:bCs w:val="0"/>
          <w:color w:val="auto"/>
          <w:sz w:val="24"/>
          <w:highlight w:val="none"/>
          <w:lang w:val="en-US" w:eastAsia="zh-CN"/>
        </w:rPr>
        <w:t>银行账号：</w:t>
      </w:r>
      <w:r>
        <w:rPr>
          <w:rFonts w:hint="eastAsia" w:ascii="宋体" w:hAnsi="宋体" w:cs="宋体"/>
          <w:b/>
          <w:bCs w:val="0"/>
          <w:color w:val="auto"/>
          <w:sz w:val="24"/>
          <w:highlight w:val="none"/>
          <w:u w:val="single"/>
          <w:lang w:val="en-US" w:eastAsia="zh-CN"/>
        </w:rPr>
        <w:t xml:space="preserve"> 368020100100105587</w:t>
      </w:r>
    </w:p>
    <w:p w14:paraId="4622BEF3">
      <w:pPr>
        <w:pStyle w:val="20"/>
        <w:shd w:val="clear"/>
        <w:snapToGrid w:val="0"/>
        <w:spacing w:line="440" w:lineRule="exact"/>
        <w:ind w:left="0"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w:t>
      </w: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lang w:val="en-US" w:eastAsia="zh-CN"/>
        </w:rPr>
        <w:t>支付方式：甲方将合同款汇至以下帐号即为完成付款：</w:t>
      </w:r>
    </w:p>
    <w:p w14:paraId="2EFC816C">
      <w:pPr>
        <w:pStyle w:val="20"/>
        <w:shd w:val="clear"/>
        <w:snapToGrid w:val="0"/>
        <w:spacing w:line="440" w:lineRule="exact"/>
        <w:ind w:firstLine="48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乙方开户名称：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74478D3A">
      <w:pPr>
        <w:pStyle w:val="20"/>
        <w:shd w:val="clear"/>
        <w:snapToGrid w:val="0"/>
        <w:spacing w:line="440" w:lineRule="exact"/>
        <w:ind w:firstLine="48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乙方开户银行：</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63FA00D8">
      <w:pPr>
        <w:pStyle w:val="20"/>
        <w:shd w:val="clear"/>
        <w:snapToGrid w:val="0"/>
        <w:spacing w:line="440" w:lineRule="exact"/>
        <w:ind w:firstLine="48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乙方银行开户帐号：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63039792">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00" w:lineRule="exact"/>
        <w:ind w:leftChars="-25"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cs="宋体"/>
          <w:bCs/>
          <w:color w:val="auto"/>
          <w:sz w:val="24"/>
          <w:highlight w:val="none"/>
          <w:u w:val="none"/>
          <w:lang w:val="en-US" w:eastAsia="zh-CN"/>
        </w:rPr>
        <w:t>3.8合同履约保证金为人民币</w:t>
      </w:r>
      <w:r>
        <w:rPr>
          <w:rFonts w:hint="eastAsia" w:ascii="宋体" w:hAnsi="宋体" w:cs="宋体"/>
          <w:bCs/>
          <w:color w:val="auto"/>
          <w:sz w:val="24"/>
          <w:highlight w:val="none"/>
          <w:u w:val="single"/>
          <w:lang w:val="en-US" w:eastAsia="zh-CN"/>
        </w:rPr>
        <w:t xml:space="preserve">      </w:t>
      </w:r>
      <w:r>
        <w:rPr>
          <w:rFonts w:hint="eastAsia" w:ascii="宋体" w:hAnsi="宋体" w:cs="宋体"/>
          <w:bCs/>
          <w:color w:val="auto"/>
          <w:sz w:val="24"/>
          <w:highlight w:val="none"/>
          <w:u w:val="none"/>
          <w:lang w:val="en-US" w:eastAsia="zh-CN"/>
        </w:rPr>
        <w:t>元整（由乙方的投标保证金无息转成）。如乙方在合同有效期内发生违约事宜，甲方可从履约保证金内提取相应款项作为违约金（若履约保证金不足，乙方须自甲方要求之日起十天内向甲方补足）。如乙方原因致使合同无法履行，履约保证金全额不予返还，乙方承担违约责任并赔偿甲方的损失。如乙方在合同履行期间无违约行为且按甲方要求完成供货后，甲方无息原路退回剩余的履约保证金。</w:t>
      </w:r>
    </w:p>
    <w:p w14:paraId="56732AD4">
      <w:pPr>
        <w:numPr>
          <w:ilvl w:val="0"/>
          <w:numId w:val="1"/>
        </w:numPr>
        <w:shd w:val="clear"/>
        <w:spacing w:line="440" w:lineRule="exact"/>
        <w:outlineLvl w:val="0"/>
        <w:rPr>
          <w:rFonts w:hint="eastAsia" w:ascii="宋体" w:hAnsi="宋体" w:eastAsia="宋体" w:cs="宋体"/>
          <w:b/>
          <w:bCs/>
          <w:color w:val="auto"/>
          <w:sz w:val="24"/>
          <w:szCs w:val="24"/>
          <w:highlight w:val="none"/>
        </w:rPr>
      </w:pPr>
      <w:bookmarkStart w:id="10" w:name="_Toc17953"/>
      <w:r>
        <w:rPr>
          <w:rFonts w:hint="eastAsia" w:ascii="宋体" w:hAnsi="宋体" w:eastAsia="宋体" w:cs="宋体"/>
          <w:b/>
          <w:bCs/>
          <w:color w:val="auto"/>
          <w:sz w:val="24"/>
          <w:szCs w:val="24"/>
          <w:highlight w:val="none"/>
        </w:rPr>
        <w:t>双方责任和权利</w:t>
      </w:r>
      <w:bookmarkEnd w:id="10"/>
      <w:r>
        <w:rPr>
          <w:rFonts w:hint="eastAsia" w:ascii="宋体" w:hAnsi="宋体" w:eastAsia="宋体" w:cs="宋体"/>
          <w:b/>
          <w:bCs/>
          <w:color w:val="auto"/>
          <w:sz w:val="24"/>
          <w:szCs w:val="24"/>
          <w:highlight w:val="none"/>
        </w:rPr>
        <w:t xml:space="preserve"> </w:t>
      </w:r>
    </w:p>
    <w:p w14:paraId="4AFB81BA">
      <w:pPr>
        <w:shd w:val="clea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
          <w:bCs/>
          <w:color w:val="auto"/>
          <w:sz w:val="24"/>
          <w:szCs w:val="24"/>
          <w:highlight w:val="none"/>
          <w:lang w:eastAsia="zh-CN"/>
        </w:rPr>
        <w:t>4.</w:t>
      </w:r>
      <w:r>
        <w:rPr>
          <w:rFonts w:hint="eastAsia" w:ascii="宋体" w:hAnsi="宋体" w:eastAsia="宋体" w:cs="宋体"/>
          <w:b/>
          <w:bCs/>
          <w:color w:val="auto"/>
          <w:sz w:val="24"/>
          <w:szCs w:val="24"/>
          <w:highlight w:val="none"/>
        </w:rPr>
        <w:t>1甲方责任和权利</w:t>
      </w:r>
    </w:p>
    <w:p w14:paraId="53877A81">
      <w:pPr>
        <w:shd w:val="clea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1.1甲方指定</w:t>
      </w:r>
      <w:r>
        <w:rPr>
          <w:rFonts w:hint="eastAsia" w:ascii="宋体" w:hAnsi="宋体" w:eastAsia="宋体" w:cs="宋体"/>
          <w:color w:val="auto"/>
          <w:sz w:val="24"/>
          <w:szCs w:val="24"/>
          <w:highlight w:val="none"/>
          <w:u w:val="single"/>
          <w:lang w:val="en-US" w:eastAsia="zh-CN"/>
        </w:rPr>
        <w:t xml:space="preserve"> 包小燕 </w:t>
      </w:r>
      <w:r>
        <w:rPr>
          <w:rFonts w:hint="eastAsia" w:ascii="宋体" w:hAnsi="宋体" w:eastAsia="宋体" w:cs="宋体"/>
          <w:color w:val="auto"/>
          <w:sz w:val="24"/>
          <w:szCs w:val="24"/>
          <w:highlight w:val="none"/>
        </w:rPr>
        <w:t>为本合同的甲方执行联系人，联系电话：</w:t>
      </w:r>
      <w:r>
        <w:rPr>
          <w:rFonts w:hint="eastAsia" w:ascii="宋体" w:hAnsi="宋体" w:eastAsia="宋体" w:cs="宋体"/>
          <w:color w:val="auto"/>
          <w:sz w:val="24"/>
          <w:szCs w:val="24"/>
          <w:highlight w:val="none"/>
          <w:u w:val="single"/>
          <w:lang w:val="en-US" w:eastAsia="zh-CN"/>
        </w:rPr>
        <w:t xml:space="preserve"> 13546911968 </w:t>
      </w:r>
      <w:r>
        <w:rPr>
          <w:rFonts w:hint="eastAsia" w:ascii="宋体" w:hAnsi="宋体" w:eastAsia="宋体" w:cs="宋体"/>
          <w:color w:val="auto"/>
          <w:sz w:val="24"/>
          <w:szCs w:val="24"/>
          <w:highlight w:val="none"/>
        </w:rPr>
        <w:t>。未经甲方加盖公章确认，甲方执行联系人、签约代表及其他职员均无权代表甲方做出减损、放弃甲方权利或增加甲方义务的行为。</w:t>
      </w:r>
    </w:p>
    <w:p w14:paraId="17B9C1BE">
      <w:pPr>
        <w:shd w:val="clea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甲方应向乙方提供锅炉技术资料和图纸</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w:t>
      </w:r>
    </w:p>
    <w:p w14:paraId="7B93F2AE">
      <w:pPr>
        <w:shd w:val="clea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甲方需作好日常运行记录，如临时发生故障及时通知乙方。在每次乙方养护或维修后，对乙方的养护和维修记录进行检查和确认。</w:t>
      </w:r>
    </w:p>
    <w:p w14:paraId="7AEE3D4C">
      <w:pPr>
        <w:shd w:val="clea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甲方负责乙方在现场维护期间对乙方的监督工作，有权对乙方</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rPr>
        <w:t>违约行为经确认后有权按合同约定处罚，处罚每次不超过合同总额的2‰。</w:t>
      </w:r>
    </w:p>
    <w:p w14:paraId="19FAC52D">
      <w:pPr>
        <w:shd w:val="clea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甲方有权监督乙方的维护保养工作。</w:t>
      </w:r>
    </w:p>
    <w:p w14:paraId="3EC0F707">
      <w:pPr>
        <w:shd w:val="clea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甲方负责锅炉外部及锅炉房的日常卫生。</w:t>
      </w:r>
    </w:p>
    <w:p w14:paraId="40559674">
      <w:pPr>
        <w:shd w:val="clea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4.1.7</w:t>
      </w:r>
      <w:r>
        <w:rPr>
          <w:rFonts w:hint="eastAsia" w:ascii="宋体" w:hAnsi="宋体" w:eastAsia="宋体" w:cs="宋体"/>
          <w:color w:val="auto"/>
          <w:sz w:val="24"/>
          <w:szCs w:val="24"/>
          <w:highlight w:val="none"/>
        </w:rPr>
        <w:t>甲方应积极配合乙方工作，并提供必要的帮助。</w:t>
      </w:r>
    </w:p>
    <w:p w14:paraId="141580EA">
      <w:pPr>
        <w:shd w:val="clea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4.1.8</w:t>
      </w:r>
      <w:r>
        <w:rPr>
          <w:rFonts w:hint="eastAsia" w:ascii="宋体" w:hAnsi="宋体" w:eastAsia="宋体" w:cs="宋体"/>
          <w:color w:val="auto"/>
          <w:sz w:val="24"/>
          <w:szCs w:val="24"/>
          <w:highlight w:val="none"/>
        </w:rPr>
        <w:t>甲方应执行</w:t>
      </w:r>
      <w:r>
        <w:rPr>
          <w:rFonts w:hint="eastAsia" w:ascii="宋体" w:hAnsi="宋体" w:eastAsia="宋体" w:cs="宋体"/>
          <w:color w:val="auto"/>
          <w:sz w:val="24"/>
          <w:szCs w:val="24"/>
          <w:highlight w:val="none"/>
          <w:lang w:val="en-US" w:eastAsia="zh-CN"/>
        </w:rPr>
        <w:t>政府主管</w:t>
      </w:r>
      <w:r>
        <w:rPr>
          <w:rFonts w:hint="eastAsia" w:ascii="宋体" w:hAnsi="宋体" w:eastAsia="宋体" w:cs="宋体"/>
          <w:color w:val="auto"/>
          <w:sz w:val="24"/>
          <w:szCs w:val="24"/>
          <w:highlight w:val="none"/>
        </w:rPr>
        <w:t>部门提供的</w:t>
      </w:r>
      <w:r>
        <w:rPr>
          <w:rFonts w:hint="eastAsia" w:ascii="宋体" w:hAnsi="宋体" w:eastAsia="宋体" w:cs="宋体"/>
          <w:color w:val="auto"/>
          <w:sz w:val="24"/>
          <w:szCs w:val="24"/>
          <w:highlight w:val="none"/>
          <w:lang w:val="en-US" w:eastAsia="zh-CN"/>
        </w:rPr>
        <w:t>锅炉</w:t>
      </w:r>
      <w:r>
        <w:rPr>
          <w:rFonts w:hint="eastAsia" w:ascii="宋体" w:hAnsi="宋体" w:eastAsia="宋体" w:cs="宋体"/>
          <w:color w:val="auto"/>
          <w:sz w:val="24"/>
          <w:szCs w:val="24"/>
          <w:highlight w:val="none"/>
        </w:rPr>
        <w:t>使用和管理办法。</w:t>
      </w:r>
    </w:p>
    <w:p w14:paraId="53FDD2C1">
      <w:pPr>
        <w:shd w:val="clea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4.1.9</w:t>
      </w:r>
      <w:r>
        <w:rPr>
          <w:rFonts w:hint="eastAsia" w:ascii="宋体" w:hAnsi="宋体" w:eastAsia="宋体" w:cs="宋体"/>
          <w:color w:val="auto"/>
          <w:sz w:val="24"/>
          <w:szCs w:val="24"/>
          <w:highlight w:val="none"/>
        </w:rPr>
        <w:t>甲方有义务通知相关业主，配合乙方保证正常维护保养。</w:t>
      </w:r>
    </w:p>
    <w:p w14:paraId="0B1D3334">
      <w:pPr>
        <w:shd w:val="clear"/>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4.1.10</w:t>
      </w:r>
      <w:r>
        <w:rPr>
          <w:rFonts w:hint="eastAsia" w:ascii="宋体" w:hAnsi="宋体" w:eastAsia="宋体" w:cs="宋体"/>
          <w:color w:val="auto"/>
          <w:sz w:val="24"/>
          <w:szCs w:val="24"/>
          <w:highlight w:val="none"/>
        </w:rPr>
        <w:t>甲方根据乙方的维护保养情况、故障处理情况和返修情况等，每月对乙方的维护保养工作做一次书面评估</w:t>
      </w:r>
      <w:r>
        <w:rPr>
          <w:rFonts w:hint="eastAsia" w:ascii="宋体" w:hAnsi="宋体" w:eastAsia="宋体" w:cs="宋体"/>
          <w:color w:val="auto"/>
          <w:sz w:val="24"/>
          <w:szCs w:val="24"/>
          <w:highlight w:val="none"/>
          <w:lang w:eastAsia="zh-CN"/>
        </w:rPr>
        <w:t>。</w:t>
      </w:r>
    </w:p>
    <w:p w14:paraId="05D8278A">
      <w:pPr>
        <w:shd w:val="clea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4.1.11</w:t>
      </w:r>
      <w:r>
        <w:rPr>
          <w:rFonts w:hint="eastAsia" w:ascii="宋体" w:hAnsi="宋体" w:eastAsia="宋体" w:cs="宋体"/>
          <w:color w:val="auto"/>
          <w:sz w:val="24"/>
          <w:szCs w:val="24"/>
          <w:highlight w:val="none"/>
        </w:rPr>
        <w:t>如乙方保养人员没有按规定的时间和保养项目进行保养，或维护保养不彻底</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正常维保项目未查出相关问题而导致突发事故的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，或拖延维修时间，或违反甲方有关制度，或因保养不良造成甲方的</w:t>
      </w:r>
      <w:r>
        <w:rPr>
          <w:rFonts w:hint="eastAsia" w:ascii="宋体" w:hAnsi="宋体" w:eastAsia="宋体" w:cs="宋体"/>
          <w:color w:val="auto"/>
          <w:sz w:val="24"/>
          <w:szCs w:val="24"/>
          <w:highlight w:val="none"/>
          <w:lang w:val="en-US" w:eastAsia="zh-CN"/>
        </w:rPr>
        <w:t>锅炉</w:t>
      </w:r>
      <w:r>
        <w:rPr>
          <w:rFonts w:hint="eastAsia" w:ascii="宋体" w:hAnsi="宋体" w:eastAsia="宋体" w:cs="宋体"/>
          <w:color w:val="auto"/>
          <w:sz w:val="24"/>
          <w:szCs w:val="24"/>
          <w:highlight w:val="none"/>
        </w:rPr>
        <w:t>故障的，乙方须负责免费修复。如乙方有异议，必须在收到甲方通知后三天内给予书面回复，如三天内未给予书面回复，甲方有权按合同规定向乙方处罚，扣除部分款项，经甲方连续两次书面催告后10个工作日内仍未进行有效整改的</w:t>
      </w:r>
      <w:r>
        <w:rPr>
          <w:rFonts w:hint="eastAsia" w:ascii="宋体" w:hAnsi="宋体" w:eastAsia="宋体" w:cs="宋体"/>
          <w:color w:val="auto"/>
          <w:sz w:val="24"/>
          <w:szCs w:val="24"/>
          <w:highlight w:val="none"/>
          <w:lang w:eastAsia="zh-CN"/>
        </w:rPr>
        <w:t>（以甲方验收合格为准）</w:t>
      </w:r>
      <w:r>
        <w:rPr>
          <w:rFonts w:hint="eastAsia" w:ascii="宋体" w:hAnsi="宋体" w:eastAsia="宋体" w:cs="宋体"/>
          <w:color w:val="auto"/>
          <w:sz w:val="24"/>
          <w:szCs w:val="24"/>
          <w:highlight w:val="none"/>
        </w:rPr>
        <w:t>，视为违约，甲方有权终止合同并</w:t>
      </w:r>
      <w:r>
        <w:rPr>
          <w:rFonts w:hint="eastAsia" w:ascii="宋体" w:hAnsi="宋体" w:eastAsia="宋体" w:cs="宋体"/>
          <w:color w:val="auto"/>
          <w:sz w:val="24"/>
          <w:szCs w:val="24"/>
          <w:highlight w:val="none"/>
          <w:lang w:val="en-US" w:eastAsia="zh-CN"/>
        </w:rPr>
        <w:t>且</w:t>
      </w:r>
      <w:r>
        <w:rPr>
          <w:rFonts w:hint="eastAsia" w:ascii="宋体" w:hAnsi="宋体" w:eastAsia="宋体" w:cs="宋体"/>
          <w:color w:val="auto"/>
          <w:sz w:val="24"/>
          <w:szCs w:val="24"/>
          <w:highlight w:val="none"/>
        </w:rPr>
        <w:t>乙方赔偿因此给甲方造成的相应损失。</w:t>
      </w:r>
    </w:p>
    <w:p w14:paraId="18E51EFE">
      <w:pPr>
        <w:shd w:val="clea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4.1.12</w:t>
      </w:r>
      <w:r>
        <w:rPr>
          <w:rFonts w:hint="eastAsia" w:ascii="宋体" w:hAnsi="宋体" w:eastAsia="宋体" w:cs="宋体"/>
          <w:color w:val="auto"/>
          <w:sz w:val="24"/>
          <w:szCs w:val="24"/>
          <w:highlight w:val="none"/>
        </w:rPr>
        <w:t>对</w:t>
      </w:r>
      <w:r>
        <w:rPr>
          <w:rFonts w:hint="eastAsia" w:ascii="宋体" w:hAnsi="宋体" w:eastAsia="宋体" w:cs="宋体"/>
          <w:color w:val="auto"/>
          <w:sz w:val="24"/>
          <w:szCs w:val="24"/>
          <w:highlight w:val="none"/>
          <w:lang w:val="en-US" w:eastAsia="zh-CN"/>
        </w:rPr>
        <w:t>锅炉</w:t>
      </w:r>
      <w:r>
        <w:rPr>
          <w:rFonts w:hint="eastAsia" w:ascii="宋体" w:hAnsi="宋体" w:eastAsia="宋体" w:cs="宋体"/>
          <w:color w:val="auto"/>
          <w:sz w:val="24"/>
          <w:szCs w:val="24"/>
          <w:highlight w:val="none"/>
        </w:rPr>
        <w:t>设备运行情况须定时向乙方反映，在</w:t>
      </w:r>
      <w:r>
        <w:rPr>
          <w:rFonts w:hint="eastAsia" w:ascii="宋体" w:hAnsi="宋体" w:eastAsia="宋体" w:cs="宋体"/>
          <w:color w:val="auto"/>
          <w:sz w:val="24"/>
          <w:szCs w:val="24"/>
          <w:highlight w:val="none"/>
          <w:lang w:val="en-US" w:eastAsia="zh-CN"/>
        </w:rPr>
        <w:t>锅炉</w:t>
      </w:r>
      <w:r>
        <w:rPr>
          <w:rFonts w:hint="eastAsia" w:ascii="宋体" w:hAnsi="宋体" w:eastAsia="宋体" w:cs="宋体"/>
          <w:color w:val="auto"/>
          <w:sz w:val="24"/>
          <w:szCs w:val="24"/>
          <w:highlight w:val="none"/>
        </w:rPr>
        <w:t>使用过程中发现故障或者异常情况应当立即停止使用，并及时通知乙方。</w:t>
      </w:r>
    </w:p>
    <w:p w14:paraId="09A04D83">
      <w:pPr>
        <w:shd w:val="clear"/>
        <w:spacing w:line="440" w:lineRule="exact"/>
        <w:ind w:firstLine="405"/>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4.</w:t>
      </w:r>
      <w:r>
        <w:rPr>
          <w:rFonts w:hint="eastAsia" w:ascii="宋体" w:hAnsi="宋体" w:eastAsia="宋体" w:cs="宋体"/>
          <w:b/>
          <w:bCs/>
          <w:color w:val="auto"/>
          <w:sz w:val="24"/>
          <w:szCs w:val="24"/>
          <w:highlight w:val="none"/>
        </w:rPr>
        <w:t>2乙方责任和权利</w:t>
      </w:r>
    </w:p>
    <w:p w14:paraId="6F9A3D60">
      <w:pPr>
        <w:shd w:val="clear"/>
        <w:tabs>
          <w:tab w:val="left" w:pos="840"/>
        </w:tabs>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2.1乙方指定</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（身份证号码：</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；联系电话：</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作为其授权代表，在本合同有效期内执行与本合同履行有关的事项。乙方授权代表以乙方的名义处理本合同相关的一切事务，乙方均予以认可并对其行为承担一切责任。乙方更换授权代表的，应在3个工作日前以书面形式通知甲方</w:t>
      </w:r>
      <w:r>
        <w:rPr>
          <w:rFonts w:hint="eastAsia" w:ascii="宋体" w:hAnsi="宋体" w:eastAsia="宋体" w:cs="宋体"/>
          <w:color w:val="auto"/>
          <w:sz w:val="24"/>
          <w:szCs w:val="24"/>
          <w:highlight w:val="none"/>
          <w:lang w:eastAsia="zh-CN"/>
        </w:rPr>
        <w:t>。</w:t>
      </w:r>
    </w:p>
    <w:p w14:paraId="0D72D199">
      <w:pPr>
        <w:shd w:val="clear"/>
        <w:tabs>
          <w:tab w:val="left" w:pos="840"/>
        </w:tabs>
        <w:spacing w:line="44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4.2.2乙方对锅炉维保提供24小时紧急故障处理服务，服务热线：</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w:t>
      </w:r>
    </w:p>
    <w:p w14:paraId="1077F8E2">
      <w:pPr>
        <w:pStyle w:val="20"/>
        <w:shd w:val="clear"/>
        <w:snapToGrid w:val="0"/>
        <w:spacing w:line="440" w:lineRule="exact"/>
        <w:ind w:firstLine="48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4.2.3锅炉发生故障时，乙方在甲方通知后</w:t>
      </w:r>
      <w:r>
        <w:rPr>
          <w:rFonts w:hint="eastAsia" w:ascii="宋体" w:hAnsi="宋体" w:cs="宋体"/>
          <w:b/>
          <w:bCs/>
          <w:color w:val="auto"/>
          <w:sz w:val="24"/>
          <w:szCs w:val="24"/>
          <w:highlight w:val="none"/>
          <w:u w:val="single"/>
          <w:lang w:val="en-US" w:eastAsia="zh-CN"/>
        </w:rPr>
        <w:t>（视招标结果而定）</w:t>
      </w:r>
      <w:r>
        <w:rPr>
          <w:rFonts w:hint="eastAsia" w:ascii="宋体" w:hAnsi="宋体" w:eastAsia="宋体" w:cs="宋体"/>
          <w:color w:val="auto"/>
          <w:sz w:val="24"/>
          <w:szCs w:val="24"/>
          <w:highlight w:val="none"/>
          <w:lang w:val="en-US" w:eastAsia="zh-CN"/>
        </w:rPr>
        <w:t>小时内派员到达现场进行处理，乙方人员到达甲方现场必须进行签到并经甲方人员现场确认，未经甲方同意，乙方维修人员不得离开现场。</w:t>
      </w:r>
    </w:p>
    <w:p w14:paraId="10C6ACD7">
      <w:pPr>
        <w:pStyle w:val="20"/>
        <w:shd w:val="clear"/>
        <w:snapToGrid w:val="0"/>
        <w:spacing w:line="440" w:lineRule="exact"/>
        <w:ind w:firstLine="48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4.2.4乙方维保负责人：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；联系电话：</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w:t>
      </w:r>
    </w:p>
    <w:p w14:paraId="22CB987E">
      <w:pPr>
        <w:shd w:val="clear"/>
        <w:spacing w:line="44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4.2.5乙方维保人员须</w:t>
      </w:r>
      <w:r>
        <w:rPr>
          <w:rFonts w:hint="eastAsia" w:ascii="宋体" w:hAnsi="宋体" w:eastAsia="宋体" w:cs="宋体"/>
          <w:color w:val="auto"/>
          <w:sz w:val="24"/>
          <w:szCs w:val="24"/>
          <w:highlight w:val="none"/>
          <w:lang w:eastAsia="zh-CN"/>
        </w:rPr>
        <w:t>持有效的《特种设备作业人员证书》上岗，并严格执行特种设备操作规程和相关的安全规章制度，</w:t>
      </w:r>
      <w:r>
        <w:rPr>
          <w:rFonts w:hint="eastAsia" w:ascii="宋体" w:hAnsi="宋体" w:eastAsia="宋体" w:cs="宋体"/>
          <w:color w:val="auto"/>
          <w:sz w:val="24"/>
          <w:szCs w:val="24"/>
          <w:highlight w:val="none"/>
          <w:lang w:val="en-US" w:eastAsia="zh-CN"/>
        </w:rPr>
        <w:t>如乙方人员无证上岗或非法操作导致安全事故的，一切损失及责任由乙方负责，并赔偿甲方由此造成的损失，且</w:t>
      </w:r>
      <w:r>
        <w:rPr>
          <w:rFonts w:hint="eastAsia" w:ascii="宋体" w:hAnsi="宋体" w:eastAsia="宋体" w:cs="宋体"/>
          <w:color w:val="auto"/>
          <w:sz w:val="24"/>
          <w:szCs w:val="24"/>
          <w:highlight w:val="none"/>
        </w:rPr>
        <w:t>甲方有权单方终止本</w:t>
      </w:r>
      <w:r>
        <w:rPr>
          <w:rFonts w:hint="eastAsia" w:ascii="宋体" w:hAnsi="宋体" w:eastAsia="宋体" w:cs="宋体"/>
          <w:color w:val="auto"/>
          <w:sz w:val="24"/>
          <w:szCs w:val="24"/>
          <w:highlight w:val="none"/>
          <w:lang w:eastAsia="zh-CN"/>
        </w:rPr>
        <w:t>合同</w:t>
      </w:r>
      <w:r>
        <w:rPr>
          <w:rFonts w:hint="eastAsia" w:ascii="宋体" w:hAnsi="宋体" w:eastAsia="宋体" w:cs="宋体"/>
          <w:color w:val="auto"/>
          <w:sz w:val="24"/>
          <w:szCs w:val="24"/>
          <w:highlight w:val="none"/>
          <w:lang w:val="en-US" w:eastAsia="zh-CN"/>
        </w:rPr>
        <w:t>且不支付任何款项</w:t>
      </w:r>
      <w:r>
        <w:rPr>
          <w:rFonts w:hint="eastAsia" w:ascii="宋体" w:hAnsi="宋体" w:eastAsia="宋体" w:cs="宋体"/>
          <w:color w:val="auto"/>
          <w:sz w:val="24"/>
          <w:szCs w:val="24"/>
          <w:highlight w:val="none"/>
        </w:rPr>
        <w:t>。</w:t>
      </w:r>
    </w:p>
    <w:p w14:paraId="6C21349A">
      <w:pPr>
        <w:shd w:val="clear"/>
        <w:tabs>
          <w:tab w:val="left" w:pos="840"/>
        </w:tabs>
        <w:spacing w:line="44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4.2.6合同期内，乙方必须严格执行行业</w:t>
      </w:r>
      <w:r>
        <w:rPr>
          <w:rFonts w:hint="eastAsia" w:ascii="宋体" w:hAnsi="宋体" w:eastAsia="宋体" w:cs="宋体"/>
          <w:color w:val="auto"/>
          <w:sz w:val="24"/>
          <w:szCs w:val="24"/>
          <w:highlight w:val="none"/>
          <w:lang w:eastAsia="zh-CN"/>
        </w:rPr>
        <w:t>的规范要求</w:t>
      </w:r>
      <w:r>
        <w:rPr>
          <w:rFonts w:hint="eastAsia" w:ascii="宋体" w:hAnsi="宋体" w:eastAsia="宋体" w:cs="宋体"/>
          <w:color w:val="auto"/>
          <w:sz w:val="24"/>
          <w:szCs w:val="24"/>
          <w:highlight w:val="none"/>
          <w:lang w:val="en-US" w:eastAsia="zh-CN"/>
        </w:rPr>
        <w:t>，具有完成本合同服务能力的评价证书等相关资格，资质等级要求丙级及以上等级。按合同约定，定期对甲方的锅炉设备进行规范性维护保养，每次工作完毕，甲乙双方应在维保记录上签字确认，维护保养按行业规范及政府主管部门的要求执行。</w:t>
      </w:r>
    </w:p>
    <w:p w14:paraId="604741ED">
      <w:pPr>
        <w:shd w:val="clear"/>
        <w:spacing w:line="44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4.2.7在合同维保期内，因乙方维保不当造成安全事故，由乙方负责承担事故处理费用并负责免费修复。</w:t>
      </w:r>
    </w:p>
    <w:p w14:paraId="3AC8B467">
      <w:pPr>
        <w:pStyle w:val="20"/>
        <w:shd w:val="clear"/>
        <w:snapToGrid w:val="0"/>
        <w:spacing w:line="440" w:lineRule="exact"/>
        <w:ind w:firstLine="48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4.2.8乙方在进场前须以书面形式提供乙方负责本项目的维修人员名单，乙方维修人员每次进入本项目进行锅炉维护保养或维修前，必须先到甲方签到表上签字备案。乙方维护保养或维修时应服从甲方统一安排和管理，要求必须有甲方跟进。维护保养或故障处理完毕，要有书面记录并经甲方签字确认，乙方如有人员更换，必须以书面形式通知对方。</w:t>
      </w:r>
    </w:p>
    <w:p w14:paraId="29E14DA2">
      <w:pPr>
        <w:shd w:val="clear"/>
        <w:tabs>
          <w:tab w:val="left" w:pos="840"/>
        </w:tabs>
        <w:spacing w:line="44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4.2.9乙方在维护保养锅炉设备时，如确认需维修或更换零件时，应清晰列出维修项目、更换预定期限及维修费用，以书面通知甲方，经甲方书面盖章确认后，乙方方可进行，并应保证向甲方提供正厂原装备件。</w:t>
      </w:r>
    </w:p>
    <w:p w14:paraId="3760BC00">
      <w:pPr>
        <w:shd w:val="clear"/>
        <w:tabs>
          <w:tab w:val="left" w:pos="840"/>
        </w:tabs>
        <w:spacing w:line="44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4.2.10若甲方锅炉设备的年度定期检验不合格，属乙方维保责任，乙方负责整改及承担费用。</w:t>
      </w:r>
    </w:p>
    <w:p w14:paraId="562F2154">
      <w:pPr>
        <w:shd w:val="clear"/>
        <w:tabs>
          <w:tab w:val="left" w:pos="840"/>
        </w:tabs>
        <w:spacing w:line="44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4.2.11乙方承诺按照法律规定及合同约定，完成合同范围内维护保养服务，不得以任何形式非法分包、转包本合同约定的维护保养服务工作。</w:t>
      </w:r>
    </w:p>
    <w:p w14:paraId="195530F4">
      <w:pPr>
        <w:shd w:val="clear"/>
        <w:tabs>
          <w:tab w:val="left" w:pos="840"/>
        </w:tabs>
        <w:spacing w:line="44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4.2.12乙方相关人员进入甲方场所必须服从甲方制度的规定及管理，严格遵守安全维保作业规范，保证安全、文明地进行维保作业，维修保养过程中需做好维修现场场围蔽、警示等相关工作。因乙方维护保养作业导致的人员伤亡及其它事故由乙方承担责任。</w:t>
      </w:r>
    </w:p>
    <w:p w14:paraId="6907D204">
      <w:pPr>
        <w:shd w:val="clear"/>
        <w:tabs>
          <w:tab w:val="left" w:pos="840"/>
        </w:tabs>
        <w:spacing w:line="44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4.2.13乙方的维护保养作业不得影响甲方及业主（租、住户）的正常工作、生活。</w:t>
      </w:r>
    </w:p>
    <w:p w14:paraId="251BD15F">
      <w:pPr>
        <w:shd w:val="clear"/>
        <w:tabs>
          <w:tab w:val="left" w:pos="840"/>
        </w:tabs>
        <w:spacing w:line="44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4.2.14乙方的维护保养作业不得影响甲方设备（设施）的正常运行或造成设备损坏，否则后果由乙方负责。维护保养或故障处理完成后，现场不得残留垃圾，机房要保持整齐干净。</w:t>
      </w:r>
    </w:p>
    <w:p w14:paraId="54AA1DF2">
      <w:pPr>
        <w:shd w:val="clear"/>
        <w:tabs>
          <w:tab w:val="left" w:pos="840"/>
        </w:tabs>
        <w:spacing w:line="44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4.2.15乙方所使用的材料（设备）须为符合国家标准的合格产品。乙方施工完成后，甲方跟进及验收时如发现不合格，乙方必须负责及时整改。</w:t>
      </w:r>
    </w:p>
    <w:p w14:paraId="15CE539F">
      <w:pPr>
        <w:shd w:val="clear"/>
        <w:tabs>
          <w:tab w:val="left" w:pos="840"/>
        </w:tabs>
        <w:spacing w:line="44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4.2.16乙方维修保养人员在维修保养工作进行的时候，与甲方紧密配合，注意保持机房和楼层的清洁，如因此弄脏电梯轿厢厅门、走道、门窗、机房等应及时清洁干净。</w:t>
      </w:r>
    </w:p>
    <w:p w14:paraId="657C36C5">
      <w:pPr>
        <w:shd w:val="clear"/>
        <w:tabs>
          <w:tab w:val="left" w:pos="840"/>
        </w:tabs>
        <w:spacing w:line="44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4.2.17乙方必须遵守甲方质量、环境及职业健康安全管理体系的要求。</w:t>
      </w:r>
    </w:p>
    <w:p w14:paraId="6A27C29B">
      <w:pPr>
        <w:shd w:val="clear"/>
        <w:tabs>
          <w:tab w:val="left" w:pos="840"/>
        </w:tabs>
        <w:spacing w:line="44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4.2.18乙方派出的维保人员必须经甲方的认可，不得随意更换。如确需更换，必须事先取得甲方的同意后方可执行。</w:t>
      </w:r>
    </w:p>
    <w:p w14:paraId="6DDACB34">
      <w:pPr>
        <w:shd w:val="clear"/>
        <w:tabs>
          <w:tab w:val="left" w:pos="840"/>
        </w:tabs>
        <w:spacing w:line="44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4.2.19乙方提供的零配件质保期为</w:t>
      </w:r>
      <w:r>
        <w:rPr>
          <w:rFonts w:hint="eastAsia" w:ascii="宋体" w:hAnsi="宋体" w:cs="宋体"/>
          <w:b/>
          <w:bCs/>
          <w:color w:val="auto"/>
          <w:sz w:val="24"/>
          <w:szCs w:val="24"/>
          <w:highlight w:val="none"/>
          <w:u w:val="single"/>
          <w:lang w:val="en-US" w:eastAsia="zh-CN"/>
        </w:rPr>
        <w:t>（视招标结果而定）</w:t>
      </w:r>
      <w:r>
        <w:rPr>
          <w:rFonts w:hint="eastAsia" w:ascii="宋体" w:hAnsi="宋体" w:eastAsia="宋体" w:cs="宋体"/>
          <w:color w:val="auto"/>
          <w:sz w:val="24"/>
          <w:szCs w:val="24"/>
          <w:highlight w:val="none"/>
          <w:lang w:val="en-US" w:eastAsia="zh-CN"/>
        </w:rPr>
        <w:t>年，自安装更换完工并验收合格之日起计。</w:t>
      </w:r>
    </w:p>
    <w:p w14:paraId="15C58882">
      <w:pPr>
        <w:shd w:val="clear"/>
        <w:tabs>
          <w:tab w:val="left" w:pos="840"/>
        </w:tabs>
        <w:spacing w:line="44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4.2.20根据锅炉设备的使用情况和零配件损耗状况，乙方应及时向甲方提供锅炉设备的维护保修计划。</w:t>
      </w:r>
    </w:p>
    <w:p w14:paraId="1965C1C4">
      <w:pPr>
        <w:shd w:val="clear"/>
        <w:spacing w:line="44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4.2.21乙方行为导致政府行政部门处罚甲方的，由乙方承担全部责任并赔偿甲方费用，甲方有权单方解除合同且不支付任何费用，甲方保留对乙方追责的权利。</w:t>
      </w:r>
    </w:p>
    <w:p w14:paraId="5984BA37">
      <w:pPr>
        <w:shd w:val="clear"/>
        <w:spacing w:line="44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4.2.22乙方的人员由乙方聘请，与甲方不存在劳动关系或劳务关系，如有拖欠工资及其他劳资纠纷或争议的，由乙方自行处理并承担全部责任，与甲方无关。</w:t>
      </w:r>
    </w:p>
    <w:p w14:paraId="70B57155">
      <w:pPr>
        <w:shd w:val="clear"/>
        <w:spacing w:line="44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4.2.23乙方及其人员具有完成合同义务的资质，乙方负责为甲方建立特种设备安全技术档案并按规定填写、记录相关内容，并按规定提出检验要求、配合完成检验工作，确保甲方的锅炉及相关设施设备通过检验检测。</w:t>
      </w:r>
    </w:p>
    <w:p w14:paraId="34CA178F">
      <w:pPr>
        <w:shd w:val="clear"/>
        <w:spacing w:line="44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4.2.24乙方负责对锅炉水（介）质处理，不得非法处置或污染环境，乙方确保其依法依规完成合同约定义务，符合安全技术规范的要求，确保锅炉在服务期内依法、正常运行且不存在安全隐患或危险；如因乙方未履行合同约定的服务内容导致甲方被追究责任的，相关责任（包括但不限于民事赔偿、行政处罚等）由乙方承担，并赔偿甲方由此产生的损失及责任。</w:t>
      </w:r>
    </w:p>
    <w:p w14:paraId="7A0A0E2E">
      <w:pPr>
        <w:shd w:val="clear"/>
        <w:spacing w:line="44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4.2.25在本合同履行过程中，</w:t>
      </w:r>
      <w:r>
        <w:rPr>
          <w:rFonts w:hint="eastAsia" w:ascii="宋体" w:hAnsi="宋体" w:cs="宋体"/>
          <w:color w:val="auto"/>
          <w:sz w:val="24"/>
          <w:szCs w:val="24"/>
          <w:highlight w:val="none"/>
        </w:rPr>
        <w:t>乙方须遵守国家</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地方政府主管部门的</w:t>
      </w:r>
      <w:r>
        <w:rPr>
          <w:rFonts w:hint="eastAsia" w:ascii="宋体" w:hAnsi="宋体" w:cs="宋体"/>
          <w:color w:val="auto"/>
          <w:sz w:val="24"/>
          <w:szCs w:val="24"/>
          <w:highlight w:val="none"/>
        </w:rPr>
        <w:t>安全生产规定和</w:t>
      </w:r>
      <w:r>
        <w:rPr>
          <w:rFonts w:hint="eastAsia" w:ascii="宋体" w:hAnsi="宋体" w:cs="宋体"/>
          <w:color w:val="auto"/>
          <w:sz w:val="24"/>
          <w:szCs w:val="24"/>
          <w:highlight w:val="none"/>
          <w:lang w:val="en-US" w:eastAsia="zh-CN"/>
        </w:rPr>
        <w:t>文明施工规定及</w:t>
      </w:r>
      <w:r>
        <w:rPr>
          <w:rFonts w:hint="eastAsia" w:ascii="宋体" w:hAnsi="宋体" w:cs="宋体"/>
          <w:color w:val="auto"/>
          <w:sz w:val="24"/>
          <w:szCs w:val="24"/>
          <w:highlight w:val="none"/>
        </w:rPr>
        <w:t>甲方的</w:t>
      </w:r>
      <w:r>
        <w:rPr>
          <w:rFonts w:hint="eastAsia" w:ascii="宋体" w:hAnsi="宋体" w:eastAsia="宋体" w:cs="宋体"/>
          <w:color w:val="auto"/>
          <w:sz w:val="24"/>
          <w:szCs w:val="24"/>
          <w:highlight w:val="none"/>
          <w:lang w:val="en-US" w:eastAsia="zh-CN"/>
        </w:rPr>
        <w:t>现场管理制度及物业管理公司的有关管理规定</w:t>
      </w:r>
      <w:r>
        <w:rPr>
          <w:rFonts w:hint="eastAsia" w:ascii="宋体" w:hAnsi="宋体" w:cs="宋体"/>
          <w:color w:val="auto"/>
          <w:sz w:val="24"/>
          <w:szCs w:val="24"/>
          <w:highlight w:val="none"/>
        </w:rPr>
        <w:t>，严格按照生产安全</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文明施工</w:t>
      </w:r>
      <w:r>
        <w:rPr>
          <w:rFonts w:hint="eastAsia" w:ascii="宋体" w:hAnsi="宋体" w:cs="宋体"/>
          <w:color w:val="auto"/>
          <w:sz w:val="24"/>
          <w:szCs w:val="24"/>
          <w:highlight w:val="none"/>
        </w:rPr>
        <w:t>标准</w:t>
      </w:r>
      <w:r>
        <w:rPr>
          <w:rFonts w:hint="eastAsia" w:ascii="宋体" w:hAnsi="宋体" w:cs="宋体"/>
          <w:color w:val="auto"/>
          <w:sz w:val="24"/>
          <w:szCs w:val="24"/>
          <w:highlight w:val="none"/>
          <w:lang w:val="en-US" w:eastAsia="zh-CN"/>
        </w:rPr>
        <w:t>组织空调设备维护保养服务工作。</w:t>
      </w:r>
      <w:r>
        <w:rPr>
          <w:rFonts w:hint="eastAsia" w:ascii="宋体" w:hAnsi="宋体" w:eastAsia="宋体" w:cs="宋体"/>
          <w:color w:val="auto"/>
          <w:sz w:val="24"/>
          <w:szCs w:val="24"/>
          <w:highlight w:val="none"/>
          <w:lang w:val="en-US" w:eastAsia="zh-CN"/>
        </w:rPr>
        <w:t>因乙方原因造成服务质量、安全文明等无法满足甲方及规范要求的，乙方须提供不属于其责任的证明并得到甲方的书面认可，否则视为乙方违约，全部责任及费用和损失由乙方承担。</w:t>
      </w:r>
    </w:p>
    <w:p w14:paraId="24286F9C">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4.2.26如因乙方原因导致人员伤亡、财产受损的，由乙方承担责任，如因此导致甲方被追索，乙方赔偿甲方损失。</w:t>
      </w:r>
    </w:p>
    <w:p w14:paraId="2B30DE31">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4.2.27</w:t>
      </w:r>
      <w:r>
        <w:rPr>
          <w:rFonts w:hint="eastAsia" w:ascii="宋体" w:hAnsi="宋体" w:eastAsia="宋体" w:cs="宋体"/>
          <w:color w:val="auto"/>
          <w:sz w:val="24"/>
          <w:szCs w:val="24"/>
          <w:highlight w:val="none"/>
          <w:lang w:val="en-US" w:eastAsia="zh-CN"/>
        </w:rPr>
        <w:t>乙方在</w:t>
      </w:r>
      <w:r>
        <w:rPr>
          <w:rFonts w:hint="eastAsia" w:ascii="宋体" w:hAnsi="宋体" w:cs="宋体"/>
          <w:color w:val="auto"/>
          <w:sz w:val="24"/>
          <w:szCs w:val="24"/>
          <w:highlight w:val="none"/>
          <w:lang w:val="en-US" w:eastAsia="zh-CN"/>
        </w:rPr>
        <w:t>维保</w:t>
      </w:r>
      <w:r>
        <w:rPr>
          <w:rFonts w:hint="eastAsia" w:ascii="宋体" w:hAnsi="宋体" w:eastAsia="宋体" w:cs="宋体"/>
          <w:color w:val="auto"/>
          <w:sz w:val="24"/>
          <w:szCs w:val="24"/>
          <w:highlight w:val="none"/>
          <w:lang w:val="en-US" w:eastAsia="zh-CN"/>
        </w:rPr>
        <w:t>过程中应做到文明作业，保护好甲方现场设施，如有物品或设施损坏，由乙方负责恢复原状，由此引致的一切损失由乙方承担全部责任。</w:t>
      </w:r>
    </w:p>
    <w:p w14:paraId="13BD3B04">
      <w:pPr>
        <w:shd w:val="clear"/>
        <w:spacing w:line="44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4.2.2</w:t>
      </w: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lang w:val="en-US" w:eastAsia="zh-CN"/>
        </w:rPr>
        <w:t>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14:paraId="32C131CD">
      <w:pPr>
        <w:numPr>
          <w:ilvl w:val="0"/>
          <w:numId w:val="1"/>
        </w:numPr>
        <w:shd w:val="clear"/>
        <w:spacing w:line="440" w:lineRule="exact"/>
        <w:outlineLvl w:val="0"/>
        <w:rPr>
          <w:rFonts w:hint="eastAsia" w:ascii="宋体" w:hAnsi="宋体" w:eastAsia="宋体" w:cs="宋体"/>
          <w:b/>
          <w:bCs/>
          <w:color w:val="auto"/>
          <w:sz w:val="24"/>
          <w:szCs w:val="24"/>
          <w:highlight w:val="none"/>
        </w:rPr>
      </w:pPr>
      <w:bookmarkStart w:id="11" w:name="_Toc21283"/>
      <w:r>
        <w:rPr>
          <w:rFonts w:hint="eastAsia" w:ascii="宋体" w:hAnsi="宋体" w:eastAsia="宋体" w:cs="宋体"/>
          <w:b/>
          <w:bCs/>
          <w:color w:val="auto"/>
          <w:sz w:val="24"/>
          <w:szCs w:val="24"/>
          <w:highlight w:val="none"/>
        </w:rPr>
        <w:t>维修保养质量要求</w:t>
      </w:r>
      <w:bookmarkEnd w:id="11"/>
    </w:p>
    <w:p w14:paraId="6CA05032">
      <w:pPr>
        <w:shd w:val="clear"/>
        <w:spacing w:line="44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5.1锅炉平均故障次数不得超过</w:t>
      </w:r>
      <w:r>
        <w:rPr>
          <w:rFonts w:hint="eastAsia" w:ascii="宋体" w:hAnsi="宋体" w:eastAsia="宋体" w:cs="宋体"/>
          <w:color w:val="auto"/>
          <w:sz w:val="24"/>
          <w:szCs w:val="24"/>
          <w:highlight w:val="none"/>
          <w:u w:val="single"/>
          <w:lang w:val="en-US" w:eastAsia="zh-CN"/>
        </w:rPr>
        <w:t xml:space="preserve"> 2 </w:t>
      </w:r>
      <w:r>
        <w:rPr>
          <w:rFonts w:hint="eastAsia" w:ascii="宋体" w:hAnsi="宋体" w:eastAsia="宋体" w:cs="宋体"/>
          <w:color w:val="auto"/>
          <w:sz w:val="24"/>
          <w:szCs w:val="24"/>
          <w:highlight w:val="none"/>
          <w:lang w:val="en-US" w:eastAsia="zh-CN"/>
        </w:rPr>
        <w:t>次/月/台。</w:t>
      </w:r>
    </w:p>
    <w:p w14:paraId="634B030E">
      <w:pPr>
        <w:shd w:val="clear"/>
        <w:spacing w:line="44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5.2维修保养：锅炉供暖期每半月对锅炉巡查一次，使故障隐患得到预前排除和解决；非供暖期每月巡查一次。供暖期由甲方决定。</w:t>
      </w:r>
    </w:p>
    <w:p w14:paraId="6F435FEA">
      <w:pPr>
        <w:shd w:val="clear"/>
        <w:spacing w:line="44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5.3应急修理：锅炉发生故障，乙方在接到甲方通知后4小时内赶到现场进行维修。</w:t>
      </w:r>
    </w:p>
    <w:p w14:paraId="4E6A17BB">
      <w:pPr>
        <w:shd w:val="clear"/>
        <w:spacing w:line="44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5.4维护保养完成后应及时将维护保养单交甲方审核确认，甲方无异议的，须在收到该维护保养单当天签字确认。</w:t>
      </w:r>
    </w:p>
    <w:p w14:paraId="4095D505">
      <w:pPr>
        <w:shd w:val="clear"/>
        <w:spacing w:line="44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5.5维修保养质量的考核措施按本合同</w:t>
      </w:r>
      <w:r>
        <w:rPr>
          <w:rFonts w:hint="eastAsia" w:ascii="宋体" w:hAnsi="宋体" w:cs="宋体"/>
          <w:color w:val="auto"/>
          <w:sz w:val="24"/>
          <w:szCs w:val="24"/>
          <w:highlight w:val="none"/>
          <w:lang w:val="en-US" w:eastAsia="zh-CN"/>
        </w:rPr>
        <w:t>相关条款</w:t>
      </w:r>
      <w:r>
        <w:rPr>
          <w:rFonts w:hint="eastAsia" w:ascii="宋体" w:hAnsi="宋体" w:eastAsia="宋体" w:cs="宋体"/>
          <w:color w:val="auto"/>
          <w:sz w:val="24"/>
          <w:szCs w:val="24"/>
          <w:highlight w:val="none"/>
          <w:lang w:val="en-US" w:eastAsia="zh-CN"/>
        </w:rPr>
        <w:t>执行。</w:t>
      </w:r>
    </w:p>
    <w:p w14:paraId="6C8E70A9">
      <w:pPr>
        <w:numPr>
          <w:ilvl w:val="0"/>
          <w:numId w:val="1"/>
        </w:numPr>
        <w:shd w:val="clear"/>
        <w:spacing w:line="440" w:lineRule="exact"/>
        <w:outlineLvl w:val="0"/>
        <w:rPr>
          <w:rFonts w:hint="eastAsia" w:ascii="宋体" w:hAnsi="宋体" w:eastAsia="宋体" w:cs="宋体"/>
          <w:b/>
          <w:color w:val="auto"/>
          <w:sz w:val="24"/>
          <w:szCs w:val="24"/>
          <w:highlight w:val="none"/>
        </w:rPr>
      </w:pPr>
      <w:bookmarkStart w:id="12" w:name="_Toc19642"/>
      <w:r>
        <w:rPr>
          <w:rFonts w:hint="eastAsia" w:ascii="宋体" w:hAnsi="宋体" w:eastAsia="宋体" w:cs="宋体"/>
          <w:b/>
          <w:color w:val="auto"/>
          <w:sz w:val="24"/>
          <w:szCs w:val="24"/>
          <w:highlight w:val="none"/>
        </w:rPr>
        <w:t>违约责任</w:t>
      </w:r>
      <w:bookmarkEnd w:id="12"/>
    </w:p>
    <w:p w14:paraId="772A9EB4">
      <w:pPr>
        <w:shd w:val="clear"/>
        <w:snapToGrid w:val="0"/>
        <w:spacing w:line="440" w:lineRule="exact"/>
        <w:ind w:firstLine="480" w:firstLineChars="200"/>
        <w:textAlignment w:val="baseline"/>
        <w:rPr>
          <w:rFonts w:hint="eastAsia" w:ascii="宋体" w:hAnsi="宋体" w:eastAsia="宋体" w:cs="宋体"/>
          <w:color w:val="auto"/>
          <w:sz w:val="24"/>
          <w:szCs w:val="24"/>
          <w:highlight w:val="none"/>
        </w:rPr>
      </w:pPr>
      <w:r>
        <w:rPr>
          <w:rFonts w:hint="eastAsia" w:ascii="宋体" w:hAnsi="宋体" w:cs="宋体"/>
          <w:color w:val="auto"/>
          <w:kern w:val="0"/>
          <w:sz w:val="24"/>
          <w:szCs w:val="24"/>
          <w:highlight w:val="none"/>
          <w:lang w:val="en-US" w:eastAsia="zh-CN"/>
        </w:rPr>
        <w:t>6</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1</w:t>
      </w:r>
      <w:r>
        <w:rPr>
          <w:rFonts w:hint="eastAsia" w:ascii="宋体" w:hAnsi="宋体" w:eastAsia="宋体" w:cs="宋体"/>
          <w:color w:val="auto"/>
          <w:sz w:val="24"/>
          <w:szCs w:val="24"/>
          <w:highlight w:val="none"/>
        </w:rPr>
        <w:t>乙方不按合同约定时间进行维保超过</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次，或连续超过</w:t>
      </w:r>
      <w:r>
        <w:rPr>
          <w:rFonts w:hint="eastAsia" w:ascii="宋体" w:hAnsi="宋体" w:eastAsia="宋体" w:cs="宋体"/>
          <w:color w:val="auto"/>
          <w:sz w:val="24"/>
          <w:szCs w:val="24"/>
          <w:highlight w:val="none"/>
          <w:lang w:val="en-US" w:eastAsia="zh-CN"/>
        </w:rPr>
        <w:t>15</w:t>
      </w:r>
      <w:r>
        <w:rPr>
          <w:rFonts w:hint="eastAsia" w:ascii="宋体" w:hAnsi="宋体" w:eastAsia="宋体" w:cs="宋体"/>
          <w:color w:val="auto"/>
          <w:sz w:val="24"/>
          <w:szCs w:val="24"/>
          <w:highlight w:val="none"/>
        </w:rPr>
        <w:t>天未前来进行维保，甲方有权</w:t>
      </w:r>
      <w:r>
        <w:rPr>
          <w:rFonts w:hint="eastAsia" w:ascii="宋体" w:hAnsi="宋体" w:eastAsia="宋体" w:cs="宋体"/>
          <w:color w:val="auto"/>
          <w:sz w:val="24"/>
          <w:szCs w:val="24"/>
          <w:highlight w:val="none"/>
          <w:lang w:val="en-US" w:eastAsia="zh-CN"/>
        </w:rPr>
        <w:t>单方解除</w:t>
      </w:r>
      <w:r>
        <w:rPr>
          <w:rFonts w:hint="eastAsia" w:ascii="宋体" w:hAnsi="宋体" w:eastAsia="宋体" w:cs="宋体"/>
          <w:color w:val="auto"/>
          <w:sz w:val="24"/>
          <w:szCs w:val="24"/>
          <w:highlight w:val="none"/>
        </w:rPr>
        <w:t>合同，</w:t>
      </w:r>
      <w:r>
        <w:rPr>
          <w:rFonts w:hint="eastAsia" w:ascii="宋体" w:hAnsi="宋体" w:eastAsia="宋体" w:cs="宋体"/>
          <w:color w:val="auto"/>
          <w:sz w:val="24"/>
          <w:szCs w:val="24"/>
          <w:highlight w:val="none"/>
          <w:lang w:eastAsia="zh-CN"/>
        </w:rPr>
        <w:t>无需再向乙方支付款项，</w:t>
      </w:r>
      <w:r>
        <w:rPr>
          <w:rFonts w:hint="eastAsia" w:ascii="宋体" w:hAnsi="宋体" w:eastAsia="宋体" w:cs="宋体"/>
          <w:color w:val="auto"/>
          <w:sz w:val="24"/>
          <w:szCs w:val="24"/>
          <w:highlight w:val="none"/>
          <w:lang w:val="en-US" w:eastAsia="zh-CN"/>
        </w:rPr>
        <w:t>乙方同时</w:t>
      </w:r>
      <w:r>
        <w:rPr>
          <w:rFonts w:hint="eastAsia" w:ascii="宋体" w:hAnsi="宋体" w:eastAsia="宋体" w:cs="宋体"/>
          <w:color w:val="auto"/>
          <w:sz w:val="24"/>
          <w:szCs w:val="24"/>
          <w:highlight w:val="none"/>
        </w:rPr>
        <w:t>按合同总金额</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w:t>
      </w:r>
      <w:r>
        <w:rPr>
          <w:rFonts w:hint="eastAsia" w:ascii="宋体" w:hAnsi="宋体" w:eastAsia="宋体" w:cs="宋体"/>
          <w:color w:val="auto"/>
          <w:sz w:val="24"/>
          <w:szCs w:val="24"/>
          <w:highlight w:val="none"/>
          <w:lang w:val="en-US" w:eastAsia="zh-CN"/>
        </w:rPr>
        <w:t>支付</w:t>
      </w:r>
      <w:r>
        <w:rPr>
          <w:rFonts w:hint="eastAsia" w:ascii="宋体" w:hAnsi="宋体" w:eastAsia="宋体" w:cs="宋体"/>
          <w:color w:val="auto"/>
          <w:sz w:val="24"/>
          <w:szCs w:val="24"/>
          <w:highlight w:val="none"/>
        </w:rPr>
        <w:t>违约金</w:t>
      </w:r>
      <w:r>
        <w:rPr>
          <w:rFonts w:hint="eastAsia" w:ascii="宋体" w:hAnsi="宋体" w:eastAsia="宋体" w:cs="宋体"/>
          <w:color w:val="auto"/>
          <w:sz w:val="24"/>
          <w:szCs w:val="24"/>
          <w:highlight w:val="none"/>
          <w:lang w:val="en-US" w:eastAsia="zh-CN"/>
        </w:rPr>
        <w:t>给甲方</w:t>
      </w:r>
      <w:r>
        <w:rPr>
          <w:rFonts w:hint="eastAsia" w:ascii="宋体" w:hAnsi="宋体" w:eastAsia="宋体" w:cs="宋体"/>
          <w:color w:val="auto"/>
          <w:sz w:val="24"/>
          <w:szCs w:val="24"/>
          <w:highlight w:val="none"/>
        </w:rPr>
        <w:t>。</w:t>
      </w:r>
    </w:p>
    <w:p w14:paraId="4AD11372">
      <w:pPr>
        <w:shd w:val="clear"/>
        <w:snapToGrid w:val="0"/>
        <w:spacing w:line="440" w:lineRule="exact"/>
        <w:ind w:firstLine="480" w:firstLineChars="200"/>
        <w:textAlignment w:val="baseline"/>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合同有效期内因乙方违约或违规导致</w:t>
      </w:r>
      <w:r>
        <w:rPr>
          <w:rFonts w:hint="eastAsia" w:ascii="宋体" w:hAnsi="宋体" w:eastAsia="宋体" w:cs="宋体"/>
          <w:color w:val="auto"/>
          <w:sz w:val="24"/>
          <w:szCs w:val="24"/>
          <w:highlight w:val="none"/>
          <w:lang w:val="en-US" w:eastAsia="zh-CN"/>
        </w:rPr>
        <w:t>锅炉</w:t>
      </w:r>
      <w:r>
        <w:rPr>
          <w:rFonts w:hint="eastAsia" w:ascii="宋体" w:hAnsi="宋体" w:eastAsia="宋体" w:cs="宋体"/>
          <w:color w:val="auto"/>
          <w:sz w:val="24"/>
          <w:szCs w:val="24"/>
          <w:highlight w:val="none"/>
        </w:rPr>
        <w:t>发生故障或事故，导致人员伤亡及财产、设备损失的，由乙方无偿修复并赔偿。</w:t>
      </w:r>
    </w:p>
    <w:p w14:paraId="18A21D63">
      <w:pPr>
        <w:shd w:val="clear"/>
        <w:snapToGrid w:val="0"/>
        <w:spacing w:line="440" w:lineRule="exact"/>
        <w:ind w:firstLine="480" w:firstLineChars="200"/>
        <w:textAlignment w:val="baseline"/>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除非本合同另有约定，任何一方提出解除合同时，应提前一个月书面通知对方并向对方偿付合同总金额的20%的违约金，未提前一个月书面通知的，除前述20%违约金外，违约方须另行支付对方一个月的维保费作为违约金。</w:t>
      </w:r>
    </w:p>
    <w:p w14:paraId="0972DC23">
      <w:pPr>
        <w:shd w:val="clear"/>
        <w:snapToGrid w:val="0"/>
        <w:spacing w:line="440" w:lineRule="exact"/>
        <w:ind w:firstLine="480" w:firstLineChars="200"/>
        <w:textAlignment w:val="baseline"/>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任意一方未按约定履行义务给对方造成直接损失的，应当承担赔偿责任。</w:t>
      </w:r>
    </w:p>
    <w:p w14:paraId="57893EE1">
      <w:pPr>
        <w:shd w:val="clear"/>
        <w:snapToGrid w:val="0"/>
        <w:spacing w:line="440" w:lineRule="exact"/>
        <w:ind w:firstLine="480" w:firstLineChars="200"/>
        <w:textAlignment w:val="baseline"/>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甲方因参与本合同履行而发出、或与乙方达成合意所形成的一切相关文件，均须同时具备甲方公章及法定代表人（或授权代表人）签名，否则均不对甲方产生约束力，除非事后获得甲方另行追认。</w:t>
      </w:r>
    </w:p>
    <w:p w14:paraId="0E2B558E">
      <w:pPr>
        <w:shd w:val="clear"/>
        <w:snapToGrid w:val="0"/>
        <w:spacing w:line="440" w:lineRule="exact"/>
        <w:ind w:firstLine="480" w:firstLineChars="200"/>
        <w:textAlignment w:val="baseline"/>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合同有效期内，若因乙方原因出现维保质量问题、安全事故或者其他情况，受到报纸、电视、网络等媒体曝光或政府主管部门通报批评处分的，无论是否给甲方造成损失，乙方每次向甲方支付伍万元违约金，甲方可直接从任意一笔合同款中扣款，同时甲方有权解除合同并追究乙方的违约责任。</w:t>
      </w:r>
    </w:p>
    <w:p w14:paraId="216A33FB">
      <w:pPr>
        <w:shd w:val="clear"/>
        <w:snapToGrid w:val="0"/>
        <w:spacing w:line="440" w:lineRule="exact"/>
        <w:ind w:firstLine="480" w:firstLineChars="200"/>
        <w:textAlignment w:val="baseline"/>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乙方确保维保人员工资及时发放，无拖欠工资现象，并采取甲方认为切实可行的措施确保无劳资纠纷事件发生，否则甲方有权直接代付工人工资，并按代付总额的50%向乙方收取手续费。每发生一次劳资纠纷事件，乙方向甲方另行支付违约金壹万元，若因乙方拖欠工资导致媒体曝光或政府部门介入的，乙方向甲方支付违约金壹拾万元/次，同时甲方有权解除合同并追究乙方的违约责任。</w:t>
      </w:r>
    </w:p>
    <w:p w14:paraId="29E51B53">
      <w:pPr>
        <w:shd w:val="clear"/>
        <w:snapToGrid w:val="0"/>
        <w:spacing w:line="440" w:lineRule="exact"/>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val="en-US" w:eastAsia="zh-CN"/>
        </w:rPr>
        <w:t>.8乙方存在以下任一情形的，视为乙方严重违约，甲方有权随时单方解除本合同且</w:t>
      </w:r>
      <w:r>
        <w:rPr>
          <w:rFonts w:hint="eastAsia" w:ascii="宋体" w:hAnsi="宋体" w:eastAsia="宋体" w:cs="宋体"/>
          <w:color w:val="auto"/>
          <w:sz w:val="24"/>
          <w:szCs w:val="24"/>
          <w:highlight w:val="none"/>
          <w:lang w:eastAsia="zh-CN"/>
        </w:rPr>
        <w:t>无需再向乙方支付款项，</w:t>
      </w:r>
      <w:r>
        <w:rPr>
          <w:rFonts w:hint="eastAsia" w:ascii="宋体" w:hAnsi="宋体" w:eastAsia="宋体" w:cs="宋体"/>
          <w:color w:val="auto"/>
          <w:sz w:val="24"/>
          <w:szCs w:val="24"/>
          <w:highlight w:val="none"/>
        </w:rPr>
        <w:t>并按合同总金额20%计收乙方违约金</w:t>
      </w:r>
      <w:r>
        <w:rPr>
          <w:rFonts w:hint="eastAsia" w:ascii="宋体" w:hAnsi="宋体" w:eastAsia="宋体" w:cs="宋体"/>
          <w:color w:val="auto"/>
          <w:sz w:val="24"/>
          <w:szCs w:val="24"/>
          <w:highlight w:val="none"/>
          <w:lang w:val="en-US" w:eastAsia="zh-CN"/>
        </w:rPr>
        <w:t>：</w:t>
      </w:r>
    </w:p>
    <w:p w14:paraId="001CBA94">
      <w:pPr>
        <w:shd w:val="clear"/>
        <w:snapToGrid w:val="0"/>
        <w:spacing w:line="440" w:lineRule="exact"/>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（1）乙方服务范围内锅炉发生安全事故或作业过程发生安全事故。</w:t>
      </w:r>
    </w:p>
    <w:p w14:paraId="0D50E38A">
      <w:pPr>
        <w:shd w:val="clear"/>
        <w:snapToGrid w:val="0"/>
        <w:spacing w:line="440" w:lineRule="exact"/>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（2）乙方服务范围内锅炉未能通过政府主管部门检验检测。</w:t>
      </w:r>
    </w:p>
    <w:p w14:paraId="12433E20">
      <w:pPr>
        <w:shd w:val="clear"/>
        <w:snapToGrid w:val="0"/>
        <w:spacing w:line="440" w:lineRule="exact"/>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（3）乙方擅自将本合同项下的锅炉维修保养服务工作整体或部分转包、分包。</w:t>
      </w:r>
    </w:p>
    <w:p w14:paraId="31CD7993">
      <w:pPr>
        <w:shd w:val="clear"/>
        <w:snapToGrid w:val="0"/>
        <w:spacing w:line="440" w:lineRule="exact"/>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（4）乙方或乙方作业人员不具备从事锅炉维修保养所需的专业资格、资格或能力。</w:t>
      </w:r>
    </w:p>
    <w:p w14:paraId="0603CFBD">
      <w:pPr>
        <w:shd w:val="clear"/>
        <w:snapToGrid w:val="0"/>
        <w:spacing w:line="440" w:lineRule="exact"/>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（5）乙方违反本合同其他约定，且在甲方书面指出后未按期改正。</w:t>
      </w:r>
    </w:p>
    <w:p w14:paraId="445248B6">
      <w:pPr>
        <w:shd w:val="clear"/>
        <w:snapToGrid w:val="0"/>
        <w:spacing w:line="440" w:lineRule="exact"/>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val="en-US" w:eastAsia="zh-CN"/>
        </w:rPr>
        <w:t>.9本合同项下乙方应承担的违约金或赔偿金，甲方有权从应付乙方的任何款项中直接扣除，不足部分乙方应在</w:t>
      </w:r>
      <w:r>
        <w:rPr>
          <w:rFonts w:hint="eastAsia" w:ascii="宋体" w:hAnsi="宋体" w:eastAsia="宋体" w:cs="宋体"/>
          <w:color w:val="auto"/>
          <w:sz w:val="24"/>
          <w:szCs w:val="24"/>
          <w:highlight w:val="none"/>
          <w:u w:val="single"/>
          <w:lang w:val="en-US" w:eastAsia="zh-CN"/>
        </w:rPr>
        <w:t xml:space="preserve"> 三 </w:t>
      </w:r>
      <w:r>
        <w:rPr>
          <w:rFonts w:hint="eastAsia" w:ascii="宋体" w:hAnsi="宋体" w:eastAsia="宋体" w:cs="宋体"/>
          <w:color w:val="auto"/>
          <w:sz w:val="24"/>
          <w:szCs w:val="24"/>
          <w:highlight w:val="none"/>
          <w:lang w:val="en-US" w:eastAsia="zh-CN"/>
        </w:rPr>
        <w:t>天内向甲方支付。</w:t>
      </w:r>
    </w:p>
    <w:p w14:paraId="14892C3A">
      <w:pPr>
        <w:shd w:val="clear"/>
        <w:snapToGrid w:val="0"/>
        <w:spacing w:line="440" w:lineRule="exact"/>
        <w:ind w:firstLine="480" w:firstLineChars="200"/>
        <w:textAlignment w:val="baseline"/>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本合同因一方违约导致提前终止（包括守约方行使合同解除权的情况），违约方除按照相关约定承担违约责任外，还应向另一方支付合同约定的合同总额30%的违约金。在乙方违约的情况下，如果乙方支付的违约金不足以补偿甲方遭受的直接损失，则甲方有权另要求乙方就差额部分进行赔偿。本合同项下乙方应承担的违约金或赔偿金，甲方有权从应付乙方的任何款项中直接扣除。</w:t>
      </w:r>
    </w:p>
    <w:p w14:paraId="7DD78F82">
      <w:pPr>
        <w:shd w:val="clear"/>
        <w:spacing w:line="440" w:lineRule="exact"/>
        <w:ind w:firstLine="480" w:firstLineChars="200"/>
        <w:rPr>
          <w:rFonts w:hint="eastAsia" w:ascii="宋体" w:hAnsi="宋体" w:eastAsia="宋体" w:cs="宋体"/>
          <w:color w:val="auto"/>
          <w:kern w:val="0"/>
          <w:sz w:val="24"/>
          <w:szCs w:val="24"/>
          <w:highlight w:val="none"/>
        </w:rPr>
      </w:pPr>
      <w:r>
        <w:rPr>
          <w:rFonts w:hint="eastAsia" w:ascii="宋体" w:hAnsi="宋体" w:cs="宋体"/>
          <w:color w:val="auto"/>
          <w:kern w:val="0"/>
          <w:sz w:val="24"/>
          <w:szCs w:val="24"/>
          <w:highlight w:val="none"/>
          <w:lang w:val="en-US" w:eastAsia="zh-CN"/>
        </w:rPr>
        <w:t>6</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11</w:t>
      </w:r>
      <w:r>
        <w:rPr>
          <w:rFonts w:hint="eastAsia" w:ascii="宋体" w:hAnsi="宋体" w:eastAsia="宋体" w:cs="宋体"/>
          <w:color w:val="auto"/>
          <w:kern w:val="0"/>
          <w:sz w:val="24"/>
          <w:szCs w:val="24"/>
          <w:highlight w:val="none"/>
        </w:rPr>
        <w:t>乙方若发生</w:t>
      </w:r>
      <w:r>
        <w:rPr>
          <w:rFonts w:hint="eastAsia" w:ascii="宋体" w:hAnsi="宋体" w:eastAsia="宋体" w:cs="宋体"/>
          <w:color w:val="auto"/>
          <w:kern w:val="0"/>
          <w:sz w:val="24"/>
          <w:szCs w:val="24"/>
          <w:highlight w:val="none"/>
          <w:lang w:val="en-US" w:eastAsia="zh-CN"/>
        </w:rPr>
        <w:t>第</w:t>
      </w:r>
      <w:r>
        <w:rPr>
          <w:rFonts w:hint="eastAsia" w:ascii="宋体" w:hAnsi="宋体" w:cs="宋体"/>
          <w:color w:val="auto"/>
          <w:kern w:val="0"/>
          <w:sz w:val="24"/>
          <w:szCs w:val="24"/>
          <w:highlight w:val="none"/>
          <w:lang w:val="en-US" w:eastAsia="zh-CN"/>
        </w:rPr>
        <w:t>6</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1至</w:t>
      </w:r>
      <w:r>
        <w:rPr>
          <w:rFonts w:hint="eastAsia" w:ascii="宋体" w:hAnsi="宋体" w:cs="宋体"/>
          <w:color w:val="auto"/>
          <w:kern w:val="0"/>
          <w:sz w:val="24"/>
          <w:szCs w:val="24"/>
          <w:highlight w:val="none"/>
          <w:lang w:val="en-US" w:eastAsia="zh-CN"/>
        </w:rPr>
        <w:t>6</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10</w:t>
      </w:r>
      <w:r>
        <w:rPr>
          <w:rFonts w:hint="eastAsia" w:ascii="宋体" w:hAnsi="宋体" w:eastAsia="宋体" w:cs="宋体"/>
          <w:color w:val="auto"/>
          <w:kern w:val="0"/>
          <w:sz w:val="24"/>
          <w:szCs w:val="24"/>
          <w:highlight w:val="none"/>
        </w:rPr>
        <w:t>条所述情况则为</w:t>
      </w:r>
      <w:r>
        <w:rPr>
          <w:rFonts w:hint="eastAsia" w:ascii="宋体" w:hAnsi="宋体" w:eastAsia="宋体" w:cs="宋体"/>
          <w:color w:val="auto"/>
          <w:kern w:val="0"/>
          <w:sz w:val="24"/>
          <w:szCs w:val="24"/>
          <w:highlight w:val="none"/>
          <w:lang w:eastAsia="zh-CN"/>
        </w:rPr>
        <w:t>严重</w:t>
      </w:r>
      <w:r>
        <w:rPr>
          <w:rFonts w:hint="eastAsia" w:ascii="宋体" w:hAnsi="宋体" w:eastAsia="宋体" w:cs="宋体"/>
          <w:color w:val="auto"/>
          <w:kern w:val="0"/>
          <w:sz w:val="24"/>
          <w:szCs w:val="24"/>
          <w:highlight w:val="none"/>
        </w:rPr>
        <w:t>违约，除按相关条款</w:t>
      </w:r>
      <w:r>
        <w:rPr>
          <w:rFonts w:hint="eastAsia" w:ascii="宋体" w:hAnsi="宋体" w:eastAsia="宋体" w:cs="宋体"/>
          <w:color w:val="auto"/>
          <w:kern w:val="0"/>
          <w:sz w:val="24"/>
          <w:szCs w:val="24"/>
          <w:highlight w:val="none"/>
          <w:lang w:eastAsia="zh-CN"/>
        </w:rPr>
        <w:t>支付违约金</w:t>
      </w:r>
      <w:r>
        <w:rPr>
          <w:rFonts w:hint="eastAsia" w:ascii="宋体" w:hAnsi="宋体" w:eastAsia="宋体" w:cs="宋体"/>
          <w:color w:val="auto"/>
          <w:kern w:val="0"/>
          <w:sz w:val="24"/>
          <w:szCs w:val="24"/>
          <w:highlight w:val="none"/>
        </w:rPr>
        <w:t>外，甲方可随时单方解除本合同，所产生的损失由乙方承担</w:t>
      </w:r>
      <w:r>
        <w:rPr>
          <w:rFonts w:hint="eastAsia" w:ascii="宋体" w:hAnsi="宋体" w:eastAsia="宋体" w:cs="宋体"/>
          <w:color w:val="auto"/>
          <w:kern w:val="0"/>
          <w:sz w:val="24"/>
          <w:szCs w:val="24"/>
          <w:highlight w:val="none"/>
          <w:lang w:eastAsia="zh-CN"/>
        </w:rPr>
        <w:t>，且乙方还需向甲方支付合同总价</w:t>
      </w:r>
      <w:r>
        <w:rPr>
          <w:rFonts w:hint="eastAsia" w:ascii="宋体" w:hAnsi="宋体" w:eastAsia="宋体" w:cs="宋体"/>
          <w:color w:val="auto"/>
          <w:kern w:val="0"/>
          <w:sz w:val="24"/>
          <w:szCs w:val="24"/>
          <w:highlight w:val="none"/>
          <w:lang w:val="en-US" w:eastAsia="zh-CN"/>
        </w:rPr>
        <w:t>20%的违约金</w:t>
      </w:r>
      <w:r>
        <w:rPr>
          <w:rFonts w:hint="eastAsia" w:ascii="宋体" w:hAnsi="宋体" w:eastAsia="宋体" w:cs="宋体"/>
          <w:color w:val="auto"/>
          <w:kern w:val="0"/>
          <w:sz w:val="24"/>
          <w:szCs w:val="24"/>
          <w:highlight w:val="none"/>
        </w:rPr>
        <w:t>。本合同履行期间，</w:t>
      </w:r>
      <w:r>
        <w:rPr>
          <w:rFonts w:hint="eastAsia" w:ascii="宋体" w:hAnsi="宋体" w:eastAsia="宋体" w:cs="宋体"/>
          <w:color w:val="auto"/>
          <w:sz w:val="24"/>
          <w:szCs w:val="24"/>
          <w:highlight w:val="none"/>
          <w:lang w:val="en-US" w:eastAsia="zh-CN"/>
        </w:rPr>
        <w:t>乙方违反本合同约定给甲方造成损失的，须按本合同约定承担违约责任外，甲方有权直接从任意一期应付合同款中直接扣除乙方需承担的违约金、罚款等费用，如所扣款额不足以补偿甲方损失的，乙方在甲方通知之日起七个日历天内补齐差额给甲方，且甲方向乙方追偿责任所产生的律师费、诉讼费、鉴定费、财产保全担保费等费用由乙方全额承担</w:t>
      </w:r>
    </w:p>
    <w:p w14:paraId="7C3B00C8">
      <w:pPr>
        <w:shd w:val="clear"/>
        <w:spacing w:line="440" w:lineRule="exact"/>
        <w:ind w:firstLine="480" w:firstLineChars="200"/>
        <w:rPr>
          <w:rFonts w:hint="eastAsia" w:ascii="宋体" w:hAnsi="宋体" w:eastAsia="宋体" w:cs="宋体"/>
          <w:color w:val="auto"/>
          <w:kern w:val="0"/>
          <w:sz w:val="24"/>
          <w:szCs w:val="24"/>
          <w:highlight w:val="none"/>
          <w:u w:val="none"/>
          <w:lang w:val="en-US" w:eastAsia="zh-CN"/>
        </w:rPr>
      </w:pPr>
      <w:r>
        <w:rPr>
          <w:rFonts w:hint="eastAsia" w:ascii="宋体" w:hAnsi="宋体" w:cs="宋体"/>
          <w:color w:val="auto"/>
          <w:kern w:val="0"/>
          <w:sz w:val="24"/>
          <w:szCs w:val="24"/>
          <w:highlight w:val="none"/>
          <w:u w:val="none"/>
          <w:lang w:val="en-US" w:eastAsia="zh-CN"/>
        </w:rPr>
        <w:t>6</w:t>
      </w:r>
      <w:r>
        <w:rPr>
          <w:rFonts w:hint="eastAsia" w:ascii="宋体" w:hAnsi="宋体" w:eastAsia="宋体" w:cs="宋体"/>
          <w:color w:val="auto"/>
          <w:kern w:val="0"/>
          <w:sz w:val="24"/>
          <w:szCs w:val="24"/>
          <w:highlight w:val="none"/>
          <w:u w:val="none"/>
          <w:lang w:val="en-US" w:eastAsia="zh-CN"/>
        </w:rPr>
        <w:t>.12本合同所约定的违约金标准经双方友好协商确定，乙方不得对违约金标准提出任何主张或抗辩。</w:t>
      </w:r>
    </w:p>
    <w:p w14:paraId="2244F5F6">
      <w:pPr>
        <w:numPr>
          <w:ilvl w:val="0"/>
          <w:numId w:val="1"/>
        </w:numPr>
        <w:shd w:val="clear"/>
        <w:spacing w:line="440" w:lineRule="exact"/>
        <w:outlineLvl w:val="0"/>
        <w:rPr>
          <w:rFonts w:hint="eastAsia" w:ascii="宋体" w:hAnsi="宋体" w:eastAsia="宋体" w:cs="宋体"/>
          <w:b/>
          <w:bCs/>
          <w:color w:val="auto"/>
          <w:sz w:val="24"/>
          <w:szCs w:val="24"/>
          <w:highlight w:val="none"/>
          <w:lang w:val="en-US" w:eastAsia="zh-CN"/>
        </w:rPr>
      </w:pPr>
      <w:bookmarkStart w:id="13" w:name="_Toc18834"/>
      <w:r>
        <w:rPr>
          <w:rFonts w:hint="eastAsia" w:ascii="宋体" w:hAnsi="宋体" w:eastAsia="宋体" w:cs="宋体"/>
          <w:b/>
          <w:color w:val="auto"/>
          <w:sz w:val="24"/>
          <w:szCs w:val="24"/>
          <w:highlight w:val="none"/>
        </w:rPr>
        <w:t>保险</w:t>
      </w:r>
      <w:bookmarkEnd w:id="13"/>
    </w:p>
    <w:p w14:paraId="1571BF12">
      <w:pPr>
        <w:shd w:val="clear"/>
        <w:adjustRightInd w:val="0"/>
        <w:spacing w:line="440" w:lineRule="exact"/>
        <w:ind w:firstLine="480" w:firstLineChars="200"/>
        <w:jc w:val="left"/>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1乙方须为其属下人员、财产、现场各种施工设施、设备、材料购买保险，相关费用已含在本合同约定的合同价格中无需甲方另行支付给乙方。因各种原因导致乙方需要延长保险期所需增加的保险费由乙方自行承担，费用已包含在合同总价内</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乙方人员或因乙方原因造成任何事故导致的损失、</w:t>
      </w:r>
      <w:r>
        <w:rPr>
          <w:rFonts w:hint="eastAsia" w:ascii="宋体" w:hAnsi="宋体" w:eastAsia="宋体" w:cs="宋体"/>
          <w:color w:val="auto"/>
          <w:sz w:val="24"/>
          <w:szCs w:val="24"/>
          <w:highlight w:val="none"/>
          <w:lang w:eastAsia="zh-CN"/>
        </w:rPr>
        <w:t>人身或财产</w:t>
      </w:r>
      <w:r>
        <w:rPr>
          <w:rFonts w:hint="eastAsia" w:ascii="宋体" w:hAnsi="宋体" w:eastAsia="宋体" w:cs="宋体"/>
          <w:color w:val="auto"/>
          <w:sz w:val="24"/>
          <w:szCs w:val="24"/>
          <w:highlight w:val="none"/>
        </w:rPr>
        <w:t>赔偿、补偿等责任和费用由乙方承担。</w:t>
      </w:r>
    </w:p>
    <w:p w14:paraId="04274453">
      <w:pPr>
        <w:shd w:val="clear"/>
        <w:snapToGrid w:val="0"/>
        <w:spacing w:line="440" w:lineRule="exact"/>
        <w:ind w:firstLine="480" w:firstLineChars="200"/>
        <w:textAlignment w:val="baseline"/>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2乙方须对本工程涉及的乙方人员购买人身意外伤害险等保险，相关费用已含于合同总价中甲方无需另行支付给乙方。</w:t>
      </w:r>
    </w:p>
    <w:p w14:paraId="501B7912">
      <w:pPr>
        <w:shd w:val="clear"/>
        <w:snapToGrid w:val="0"/>
        <w:spacing w:line="440" w:lineRule="exact"/>
        <w:ind w:firstLine="480" w:firstLineChars="200"/>
        <w:textAlignment w:val="baseline"/>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3无论乙方有无按照本合同约定办理相关保险事宜，乙方人员或因乙方原因导致在</w:t>
      </w:r>
      <w:r>
        <w:rPr>
          <w:rFonts w:hint="eastAsia" w:ascii="宋体" w:hAnsi="宋体" w:eastAsia="宋体" w:cs="宋体"/>
          <w:color w:val="auto"/>
          <w:sz w:val="24"/>
          <w:szCs w:val="24"/>
          <w:highlight w:val="none"/>
          <w:lang w:val="en-US" w:eastAsia="zh-CN"/>
        </w:rPr>
        <w:t>本工程</w:t>
      </w:r>
      <w:r>
        <w:rPr>
          <w:rFonts w:hint="eastAsia" w:ascii="宋体" w:hAnsi="宋体" w:eastAsia="宋体" w:cs="宋体"/>
          <w:color w:val="auto"/>
          <w:sz w:val="24"/>
          <w:szCs w:val="24"/>
          <w:highlight w:val="none"/>
        </w:rPr>
        <w:t>范围内发生的伤亡事故，均由乙方承担责任和费用。</w:t>
      </w:r>
    </w:p>
    <w:p w14:paraId="18CC8C91">
      <w:pPr>
        <w:numPr>
          <w:ilvl w:val="0"/>
          <w:numId w:val="1"/>
        </w:numPr>
        <w:shd w:val="clear"/>
        <w:spacing w:line="440" w:lineRule="exact"/>
        <w:outlineLvl w:val="0"/>
        <w:rPr>
          <w:rFonts w:hint="eastAsia" w:ascii="宋体" w:hAnsi="宋体" w:eastAsia="宋体" w:cs="宋体"/>
          <w:b/>
          <w:color w:val="auto"/>
          <w:sz w:val="24"/>
          <w:szCs w:val="24"/>
          <w:highlight w:val="none"/>
        </w:rPr>
      </w:pPr>
      <w:bookmarkStart w:id="14" w:name="_Toc29670"/>
      <w:r>
        <w:rPr>
          <w:rFonts w:hint="eastAsia" w:ascii="宋体" w:hAnsi="宋体" w:eastAsia="宋体" w:cs="宋体"/>
          <w:b/>
          <w:color w:val="auto"/>
          <w:sz w:val="24"/>
          <w:szCs w:val="24"/>
          <w:highlight w:val="none"/>
        </w:rPr>
        <w:t>廉洁条款</w:t>
      </w:r>
      <w:bookmarkEnd w:id="14"/>
    </w:p>
    <w:p w14:paraId="0172E9C4">
      <w:pPr>
        <w:shd w:val="clear"/>
        <w:snapToGrid w:val="0"/>
        <w:spacing w:line="440" w:lineRule="exact"/>
        <w:ind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lang w:eastAsia="zh-CN"/>
        </w:rPr>
        <w:t>.1乙方在与甲方合作期间（包括本合同招标、签订、履行期间），不得向甲方职员提供请吃、送礼、旅游、色情服务、行贿、回扣或其他好处，如有违反，乙方每次向甲方支付合同总价的10％作为违约金（甲方可从任意一笔合同款中扣款），造成甲方经济或其他损失的，乙方全额赔偿甲方。</w:t>
      </w:r>
    </w:p>
    <w:p w14:paraId="2330A798">
      <w:pPr>
        <w:shd w:val="clear"/>
        <w:snapToGrid w:val="0"/>
        <w:spacing w:line="440" w:lineRule="exact"/>
        <w:ind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lang w:eastAsia="zh-CN"/>
        </w:rPr>
        <w:t>.2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14:paraId="121AEE51">
      <w:pPr>
        <w:shd w:val="clear"/>
        <w:snapToGrid w:val="0"/>
        <w:spacing w:line="440" w:lineRule="exact"/>
        <w:ind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lang w:eastAsia="zh-CN"/>
        </w:rPr>
        <w:t>.3如甲方发现乙方可能存在违反廉洁条款的行为时，甲方有权暂扣违约金/争议工程款/处罚款等对应等额的</w:t>
      </w:r>
      <w:r>
        <w:rPr>
          <w:rFonts w:hint="eastAsia" w:ascii="宋体" w:hAnsi="宋体" w:eastAsia="宋体" w:cs="宋体"/>
          <w:color w:val="auto"/>
          <w:sz w:val="24"/>
          <w:szCs w:val="24"/>
          <w:highlight w:val="none"/>
          <w:lang w:val="en-US" w:eastAsia="zh-CN"/>
        </w:rPr>
        <w:t>合同</w:t>
      </w:r>
      <w:r>
        <w:rPr>
          <w:rFonts w:hint="eastAsia" w:ascii="宋体" w:hAnsi="宋体" w:eastAsia="宋体" w:cs="宋体"/>
          <w:color w:val="auto"/>
          <w:sz w:val="24"/>
          <w:szCs w:val="24"/>
          <w:highlight w:val="none"/>
          <w:lang w:eastAsia="zh-CN"/>
        </w:rPr>
        <w:t>款，直至调查完毕后根据调查结果再作处理，甲方暂不付款的行为不视为甲方违约。</w:t>
      </w:r>
    </w:p>
    <w:p w14:paraId="7E3E87F5">
      <w:pPr>
        <w:numPr>
          <w:ilvl w:val="0"/>
          <w:numId w:val="1"/>
        </w:numPr>
        <w:shd w:val="clear"/>
        <w:spacing w:line="440" w:lineRule="exact"/>
        <w:outlineLvl w:val="0"/>
        <w:rPr>
          <w:rFonts w:hint="eastAsia" w:ascii="宋体" w:hAnsi="宋体" w:eastAsia="宋体" w:cs="宋体"/>
          <w:b/>
          <w:color w:val="auto"/>
          <w:sz w:val="24"/>
          <w:szCs w:val="24"/>
          <w:highlight w:val="none"/>
        </w:rPr>
      </w:pPr>
      <w:bookmarkStart w:id="15" w:name="_Toc14658"/>
      <w:r>
        <w:rPr>
          <w:rFonts w:hint="eastAsia" w:ascii="宋体" w:hAnsi="宋体" w:eastAsia="宋体" w:cs="宋体"/>
          <w:b/>
          <w:color w:val="auto"/>
          <w:sz w:val="24"/>
          <w:szCs w:val="24"/>
          <w:highlight w:val="none"/>
        </w:rPr>
        <w:t>其它</w:t>
      </w:r>
      <w:bookmarkEnd w:id="15"/>
    </w:p>
    <w:p w14:paraId="51943BC9">
      <w:pPr>
        <w:shd w:val="clear"/>
        <w:spacing w:line="440" w:lineRule="exact"/>
        <w:ind w:firstLine="480" w:firstLineChars="2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1合同价款及合同条款已考虑疫情</w:t>
      </w:r>
      <w:r>
        <w:rPr>
          <w:rFonts w:hint="eastAsia" w:ascii="宋体" w:hAnsi="宋体" w:eastAsia="宋体" w:cs="宋体"/>
          <w:color w:val="auto"/>
          <w:sz w:val="24"/>
          <w:szCs w:val="24"/>
          <w:highlight w:val="none"/>
          <w:lang w:val="en-US" w:eastAsia="zh-CN"/>
        </w:rPr>
        <w:t>或流行疾病的</w:t>
      </w:r>
      <w:r>
        <w:rPr>
          <w:rFonts w:hint="eastAsia" w:ascii="宋体" w:hAnsi="宋体" w:eastAsia="宋体" w:cs="宋体"/>
          <w:color w:val="auto"/>
          <w:sz w:val="24"/>
          <w:szCs w:val="24"/>
          <w:highlight w:val="none"/>
        </w:rPr>
        <w:t>影响，乙方不以</w:t>
      </w:r>
      <w:r>
        <w:rPr>
          <w:rFonts w:hint="eastAsia" w:ascii="宋体" w:hAnsi="宋体" w:eastAsia="宋体" w:cs="宋体"/>
          <w:color w:val="auto"/>
          <w:sz w:val="24"/>
          <w:szCs w:val="24"/>
          <w:highlight w:val="none"/>
          <w:lang w:val="en-US" w:eastAsia="zh-CN"/>
        </w:rPr>
        <w:t>此</w:t>
      </w:r>
      <w:r>
        <w:rPr>
          <w:rFonts w:hint="eastAsia" w:ascii="宋体" w:hAnsi="宋体" w:eastAsia="宋体" w:cs="宋体"/>
          <w:color w:val="auto"/>
          <w:sz w:val="24"/>
          <w:szCs w:val="24"/>
          <w:highlight w:val="none"/>
        </w:rPr>
        <w:t>为由要求甲方对合同价款、结算办法等合同条款进行调整，防</w:t>
      </w:r>
      <w:r>
        <w:rPr>
          <w:rFonts w:hint="eastAsia" w:ascii="宋体" w:hAnsi="宋体" w:eastAsia="宋体" w:cs="宋体"/>
          <w:color w:val="auto"/>
          <w:sz w:val="24"/>
          <w:szCs w:val="24"/>
          <w:highlight w:val="none"/>
          <w:lang w:val="en-US" w:eastAsia="zh-CN"/>
        </w:rPr>
        <w:t>控</w:t>
      </w:r>
      <w:r>
        <w:rPr>
          <w:rFonts w:hint="eastAsia" w:ascii="宋体" w:hAnsi="宋体" w:eastAsia="宋体" w:cs="宋体"/>
          <w:color w:val="auto"/>
          <w:sz w:val="24"/>
          <w:szCs w:val="24"/>
          <w:highlight w:val="none"/>
        </w:rPr>
        <w:t>措施的一切费用由乙方承担。</w:t>
      </w:r>
    </w:p>
    <w:p w14:paraId="3933BD37">
      <w:pPr>
        <w:shd w:val="clear"/>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lang w:eastAsia="zh-CN"/>
        </w:rPr>
        <w:t>.2本合同关于乙方责任和违约金方面前后写法不一致的，</w:t>
      </w:r>
      <w:r>
        <w:rPr>
          <w:rFonts w:hint="eastAsia" w:ascii="宋体" w:hAnsi="宋体" w:eastAsia="宋体" w:cs="宋体"/>
          <w:color w:val="auto"/>
          <w:sz w:val="24"/>
          <w:szCs w:val="24"/>
          <w:highlight w:val="none"/>
          <w:lang w:val="en-US" w:eastAsia="zh-CN"/>
        </w:rPr>
        <w:t>按</w:t>
      </w:r>
      <w:r>
        <w:rPr>
          <w:rFonts w:hint="eastAsia" w:ascii="宋体" w:hAnsi="宋体" w:eastAsia="宋体" w:cs="宋体"/>
          <w:color w:val="auto"/>
          <w:sz w:val="24"/>
          <w:szCs w:val="24"/>
          <w:highlight w:val="none"/>
          <w:lang w:eastAsia="zh-CN"/>
        </w:rPr>
        <w:t>有利于甲方的条款执行。</w:t>
      </w:r>
    </w:p>
    <w:p w14:paraId="68C871B1">
      <w:pPr>
        <w:shd w:val="clear"/>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lang w:eastAsia="zh-CN"/>
        </w:rPr>
        <w:t>.3甲乙双方不得随意变更或更改合同。本合同如有未尽事宜，须经双方共同协商，作出补充协议，补充协议与本合同具有同等法律效力。</w:t>
      </w:r>
    </w:p>
    <w:p w14:paraId="3B212DCB">
      <w:pPr>
        <w:shd w:val="clear"/>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lang w:eastAsia="zh-CN"/>
        </w:rPr>
        <w:t>.4本合同一经签订，双方应严格遵守，如发生争议，双方应友好协商解决，解决不成，可由任一方提交甲方所在地的人民法院诉讼处理。</w:t>
      </w:r>
    </w:p>
    <w:p w14:paraId="431AF4F7">
      <w:pPr>
        <w:shd w:val="clear"/>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lang w:eastAsia="zh-CN"/>
        </w:rPr>
        <w:t>.5国家或地方主管部门对</w:t>
      </w:r>
      <w:r>
        <w:rPr>
          <w:rFonts w:hint="eastAsia" w:ascii="宋体" w:hAnsi="宋体" w:eastAsia="宋体" w:cs="宋体"/>
          <w:color w:val="auto"/>
          <w:sz w:val="24"/>
          <w:szCs w:val="24"/>
          <w:highlight w:val="none"/>
          <w:lang w:val="en-US" w:eastAsia="zh-CN"/>
        </w:rPr>
        <w:t>锅炉</w:t>
      </w:r>
      <w:r>
        <w:rPr>
          <w:rFonts w:hint="eastAsia" w:ascii="宋体" w:hAnsi="宋体" w:eastAsia="宋体" w:cs="宋体"/>
          <w:color w:val="auto"/>
          <w:sz w:val="24"/>
          <w:szCs w:val="24"/>
          <w:highlight w:val="none"/>
          <w:lang w:eastAsia="zh-CN"/>
        </w:rPr>
        <w:t>维修保养的强制性、指导性标准或规范高于本合同约定的，以相关标准、规范或规定中要求最高者为准。</w:t>
      </w:r>
    </w:p>
    <w:p w14:paraId="656E717D">
      <w:pPr>
        <w:shd w:val="clear"/>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lang w:val="en-US" w:eastAsia="zh-CN"/>
        </w:rPr>
        <w:t>.6双方确认，与本合同履行有关而发出的所有书面通知或其他通讯，或者因争议解决由司法裁判机关发出的法律文书，均以本合同载明的地址为准。送达有关文书时，如采用邮寄送达的方式，发生收件人拒绝签收或其他无法送达情形的，则从发件人寄出文书之日起3日即视为已经送达。任何一方的通讯地址发生变化的，应书面通知对方，否则，应自行承担由此造成的一切法律后果。</w:t>
      </w:r>
    </w:p>
    <w:p w14:paraId="2A6B98AB">
      <w:pPr>
        <w:shd w:val="clear"/>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lang w:eastAsia="zh-CN"/>
        </w:rPr>
        <w:t>本合同壹式</w:t>
      </w:r>
      <w:r>
        <w:rPr>
          <w:rFonts w:hint="eastAsia" w:ascii="宋体" w:hAnsi="宋体" w:eastAsia="宋体" w:cs="宋体"/>
          <w:b/>
          <w:bCs/>
          <w:color w:val="auto"/>
          <w:sz w:val="24"/>
          <w:szCs w:val="24"/>
          <w:highlight w:val="none"/>
          <w:lang w:val="en-US" w:eastAsia="zh-CN"/>
        </w:rPr>
        <w:t>叁</w:t>
      </w:r>
      <w:r>
        <w:rPr>
          <w:rFonts w:hint="eastAsia" w:ascii="宋体" w:hAnsi="宋体" w:eastAsia="宋体" w:cs="宋体"/>
          <w:color w:val="auto"/>
          <w:sz w:val="24"/>
          <w:szCs w:val="24"/>
          <w:highlight w:val="none"/>
          <w:lang w:eastAsia="zh-CN"/>
        </w:rPr>
        <w:t>份，甲方执</w:t>
      </w:r>
      <w:r>
        <w:rPr>
          <w:rFonts w:hint="eastAsia" w:ascii="宋体" w:hAnsi="宋体" w:eastAsia="宋体" w:cs="宋体"/>
          <w:b/>
          <w:bCs/>
          <w:color w:val="auto"/>
          <w:sz w:val="24"/>
          <w:szCs w:val="24"/>
          <w:highlight w:val="none"/>
          <w:lang w:val="en-US" w:eastAsia="zh-CN"/>
        </w:rPr>
        <w:t>贰</w:t>
      </w:r>
      <w:r>
        <w:rPr>
          <w:rFonts w:hint="eastAsia" w:ascii="宋体" w:hAnsi="宋体" w:eastAsia="宋体" w:cs="宋体"/>
          <w:color w:val="auto"/>
          <w:sz w:val="24"/>
          <w:szCs w:val="24"/>
          <w:highlight w:val="none"/>
          <w:lang w:eastAsia="zh-CN"/>
        </w:rPr>
        <w:t>份、乙方执</w:t>
      </w:r>
      <w:r>
        <w:rPr>
          <w:rFonts w:hint="eastAsia" w:ascii="宋体" w:hAnsi="宋体" w:eastAsia="宋体" w:cs="宋体"/>
          <w:b/>
          <w:bCs/>
          <w:color w:val="auto"/>
          <w:sz w:val="24"/>
          <w:szCs w:val="24"/>
          <w:highlight w:val="none"/>
          <w:lang w:eastAsia="zh-CN"/>
        </w:rPr>
        <w:t>壹</w:t>
      </w:r>
      <w:r>
        <w:rPr>
          <w:rFonts w:hint="eastAsia" w:ascii="宋体" w:hAnsi="宋体" w:eastAsia="宋体" w:cs="宋体"/>
          <w:color w:val="auto"/>
          <w:sz w:val="24"/>
          <w:szCs w:val="24"/>
          <w:highlight w:val="none"/>
          <w:lang w:eastAsia="zh-CN"/>
        </w:rPr>
        <w:t>份，均具同等法律效力。本合同自甲乙双方法人代表或法人委托代理签字、加盖公章（或合同章）之日起生效，乙方履行完合同义务、责任之日起终止。</w:t>
      </w:r>
    </w:p>
    <w:p w14:paraId="3CE4417A">
      <w:pPr>
        <w:keepNext w:val="0"/>
        <w:keepLines w:val="0"/>
        <w:pageBreakBefore w:val="0"/>
        <w:widowControl w:val="0"/>
        <w:shd w:val="clear" w:color="auto" w:fill="auto"/>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9.8</w:t>
      </w:r>
      <w:r>
        <w:rPr>
          <w:rFonts w:hint="eastAsia" w:ascii="宋体" w:hAnsi="宋体" w:eastAsia="宋体" w:cs="宋体"/>
          <w:color w:val="auto"/>
          <w:sz w:val="24"/>
          <w:szCs w:val="24"/>
          <w:highlight w:val="none"/>
          <w:lang w:val="en-US" w:eastAsia="zh-CN"/>
        </w:rPr>
        <w:t>本合同正文为清洁打印文本，如双方对此合同有任何修改及补充均应另行签订补充协议。合同正文中任何非打印的文字或者图形，除非经双方确认同意，否则不产生约束力。</w:t>
      </w:r>
    </w:p>
    <w:p w14:paraId="4EAAEEC4">
      <w:pPr>
        <w:keepNext w:val="0"/>
        <w:keepLines w:val="0"/>
        <w:pageBreakBefore w:val="0"/>
        <w:widowControl w:val="0"/>
        <w:shd w:val="clear" w:color="auto" w:fill="auto"/>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9.9</w:t>
      </w:r>
      <w:r>
        <w:rPr>
          <w:rFonts w:hint="eastAsia" w:ascii="宋体" w:hAnsi="宋体" w:eastAsia="宋体" w:cs="宋体"/>
          <w:color w:val="auto"/>
          <w:sz w:val="24"/>
          <w:szCs w:val="24"/>
          <w:highlight w:val="none"/>
          <w:lang w:val="en-US" w:eastAsia="zh-CN"/>
        </w:rPr>
        <w:t>甲乙双方均确认已经审阅并理解本合同的条款，且已经就条款相关的任何疑问得到满意的解释，并确认本合同的条款为双方本着诚信互利的原则友好协商一致的结果，不属于任何一方的格式条款。</w:t>
      </w:r>
    </w:p>
    <w:p w14:paraId="6F88B134">
      <w:pPr>
        <w:keepNext w:val="0"/>
        <w:keepLines w:val="0"/>
        <w:pageBreakBefore w:val="0"/>
        <w:widowControl w:val="0"/>
        <w:shd w:val="clear" w:color="auto" w:fill="auto"/>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9.10</w:t>
      </w:r>
      <w:r>
        <w:rPr>
          <w:rFonts w:hint="eastAsia" w:ascii="宋体" w:hAnsi="宋体" w:eastAsia="宋体" w:cs="宋体"/>
          <w:color w:val="auto"/>
          <w:sz w:val="24"/>
          <w:szCs w:val="24"/>
          <w:highlight w:val="none"/>
          <w:lang w:val="en-US" w:eastAsia="zh-CN"/>
        </w:rPr>
        <w:t>以下文件均为合同有效组成部分，各文件互相解释，互为说明。当合同文件中出现不一致时，除合同另有约定外，以下排列顺序就是各合同文件的优先解释顺序：</w:t>
      </w:r>
    </w:p>
    <w:p w14:paraId="6758AE59">
      <w:pPr>
        <w:keepNext w:val="0"/>
        <w:keepLines w:val="0"/>
        <w:pageBreakBefore w:val="0"/>
        <w:widowControl w:val="0"/>
        <w:numPr>
          <w:ilvl w:val="0"/>
          <w:numId w:val="2"/>
        </w:numPr>
        <w:shd w:val="clear" w:color="auto" w:fill="auto"/>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合同履行过程中，双方法人代表或授权人签字并加盖公章的补充协议；</w:t>
      </w:r>
    </w:p>
    <w:p w14:paraId="7C9252E6">
      <w:pPr>
        <w:keepNext w:val="0"/>
        <w:keepLines w:val="0"/>
        <w:pageBreakBefore w:val="0"/>
        <w:widowControl w:val="0"/>
        <w:numPr>
          <w:ilvl w:val="0"/>
          <w:numId w:val="2"/>
        </w:numPr>
        <w:shd w:val="clear" w:color="auto" w:fill="auto"/>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本合同书（含附件）；</w:t>
      </w:r>
    </w:p>
    <w:p w14:paraId="31C81F8C">
      <w:pPr>
        <w:keepNext w:val="0"/>
        <w:keepLines w:val="0"/>
        <w:pageBreakBefore w:val="0"/>
        <w:widowControl w:val="0"/>
        <w:numPr>
          <w:ilvl w:val="0"/>
          <w:numId w:val="2"/>
        </w:numPr>
        <w:shd w:val="clear" w:color="auto" w:fill="auto"/>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经甲方确认的方案及相关设计变更；</w:t>
      </w:r>
    </w:p>
    <w:p w14:paraId="5695812E">
      <w:pPr>
        <w:keepNext w:val="0"/>
        <w:keepLines w:val="0"/>
        <w:pageBreakBefore w:val="0"/>
        <w:widowControl w:val="0"/>
        <w:numPr>
          <w:ilvl w:val="0"/>
          <w:numId w:val="2"/>
        </w:numPr>
        <w:shd w:val="clear" w:color="auto" w:fill="auto"/>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本合同招标文件（含相关答疑、补充通知等）；</w:t>
      </w:r>
    </w:p>
    <w:p w14:paraId="22D89DA1">
      <w:pPr>
        <w:keepNext w:val="0"/>
        <w:keepLines w:val="0"/>
        <w:pageBreakBefore w:val="0"/>
        <w:widowControl w:val="0"/>
        <w:numPr>
          <w:ilvl w:val="0"/>
          <w:numId w:val="2"/>
        </w:numPr>
        <w:shd w:val="clear" w:color="auto" w:fill="auto"/>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乙方发出的、经甲方确认的本合同投标文件及相关澄清文件；</w:t>
      </w:r>
    </w:p>
    <w:p w14:paraId="08D3AFED">
      <w:pPr>
        <w:keepNext w:val="0"/>
        <w:keepLines w:val="0"/>
        <w:pageBreakBefore w:val="0"/>
        <w:widowControl w:val="0"/>
        <w:numPr>
          <w:ilvl w:val="0"/>
          <w:numId w:val="2"/>
        </w:numPr>
        <w:shd w:val="clear" w:color="auto" w:fill="auto"/>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甲方所在地现行的法律、法规、标准、规范。</w:t>
      </w:r>
    </w:p>
    <w:p w14:paraId="34D6CB89">
      <w:pPr>
        <w:shd w:val="clear"/>
        <w:spacing w:line="440" w:lineRule="exact"/>
        <w:ind w:firstLine="480" w:firstLineChars="200"/>
        <w:rPr>
          <w:rFonts w:hint="eastAsia" w:ascii="宋体" w:hAnsi="宋体" w:eastAsia="宋体" w:cs="宋体"/>
          <w:color w:val="auto"/>
          <w:sz w:val="24"/>
          <w:szCs w:val="24"/>
          <w:highlight w:val="none"/>
          <w:lang w:eastAsia="zh-CN"/>
        </w:rPr>
      </w:pPr>
    </w:p>
    <w:p w14:paraId="261DFA15">
      <w:pPr>
        <w:shd w:val="clear"/>
        <w:spacing w:line="440" w:lineRule="exact"/>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（以下无正文）</w:t>
      </w:r>
    </w:p>
    <w:p w14:paraId="37B96DA3">
      <w:pPr>
        <w:shd w:val="clear"/>
        <w:snapToGrid w:val="0"/>
        <w:spacing w:line="440" w:lineRule="exact"/>
        <w:rPr>
          <w:rFonts w:hint="eastAsia" w:ascii="宋体" w:hAnsi="宋体" w:eastAsia="宋体" w:cs="宋体"/>
          <w:color w:val="auto"/>
          <w:sz w:val="24"/>
          <w:szCs w:val="24"/>
          <w:highlight w:val="none"/>
        </w:rPr>
      </w:pPr>
    </w:p>
    <w:p w14:paraId="65EEBFE9">
      <w:pPr>
        <w:shd w:val="clear"/>
        <w:snapToGrid w:val="0"/>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合同附件：</w:t>
      </w:r>
    </w:p>
    <w:p w14:paraId="4C6B2D5E">
      <w:pPr>
        <w:shd w:val="clear"/>
        <w:snapToGrid w:val="0"/>
        <w:spacing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附件一：</w:t>
      </w:r>
      <w:r>
        <w:rPr>
          <w:rFonts w:hint="eastAsia" w:ascii="宋体" w:hAnsi="宋体" w:eastAsia="宋体" w:cs="宋体"/>
          <w:color w:val="auto"/>
          <w:sz w:val="24"/>
          <w:szCs w:val="24"/>
          <w:highlight w:val="none"/>
        </w:rPr>
        <w:t>《报价清单》</w:t>
      </w:r>
    </w:p>
    <w:p w14:paraId="2930D9CA">
      <w:pPr>
        <w:shd w:val="clear"/>
        <w:snapToGrid w:val="0"/>
        <w:spacing w:line="440" w:lineRule="exac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附件二</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《维保要求》</w:t>
      </w:r>
    </w:p>
    <w:p w14:paraId="70EDA4AB">
      <w:pPr>
        <w:shd w:val="clear"/>
        <w:snapToGrid w:val="0"/>
        <w:spacing w:line="440" w:lineRule="exact"/>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附件三：《锅炉维修保养施工方案》</w:t>
      </w:r>
    </w:p>
    <w:p w14:paraId="11385716">
      <w:pPr>
        <w:shd w:val="clear"/>
        <w:snapToGrid w:val="0"/>
        <w:spacing w:line="440" w:lineRule="exact"/>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附件</w:t>
      </w:r>
      <w:r>
        <w:rPr>
          <w:rFonts w:hint="eastAsia" w:ascii="宋体" w:hAnsi="宋体" w:cs="宋体"/>
          <w:color w:val="auto"/>
          <w:sz w:val="24"/>
          <w:szCs w:val="24"/>
          <w:highlight w:val="none"/>
          <w:lang w:val="en-US" w:eastAsia="zh-CN"/>
        </w:rPr>
        <w:t>四</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《乙方专业维修人员名单》</w:t>
      </w:r>
    </w:p>
    <w:p w14:paraId="69B807A0">
      <w:pPr>
        <w:shd w:val="clear"/>
        <w:spacing w:line="440" w:lineRule="exac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 xml:space="preserve">  </w:t>
      </w:r>
    </w:p>
    <w:p w14:paraId="4F7B5754">
      <w:pPr>
        <w:shd w:val="clear"/>
        <w:spacing w:line="440" w:lineRule="exact"/>
        <w:rPr>
          <w:rFonts w:hint="eastAsia" w:ascii="宋体" w:hAnsi="宋体" w:eastAsia="宋体" w:cs="宋体"/>
          <w:b/>
          <w:color w:val="auto"/>
          <w:sz w:val="24"/>
          <w:szCs w:val="24"/>
          <w:highlight w:val="none"/>
          <w:lang w:val="en-US" w:eastAsia="zh-CN"/>
        </w:rPr>
      </w:pPr>
    </w:p>
    <w:p w14:paraId="62F7E5CE">
      <w:pPr>
        <w:shd w:val="clear"/>
        <w:spacing w:line="440" w:lineRule="exact"/>
        <w:rPr>
          <w:rFonts w:hint="eastAsia" w:ascii="宋体" w:hAnsi="宋体" w:eastAsia="宋体" w:cs="宋体"/>
          <w:b/>
          <w:color w:val="auto"/>
          <w:sz w:val="24"/>
          <w:szCs w:val="24"/>
          <w:highlight w:val="none"/>
          <w:lang w:val="en-US" w:eastAsia="zh-CN"/>
        </w:rPr>
      </w:pPr>
    </w:p>
    <w:p w14:paraId="658EAF01">
      <w:pPr>
        <w:shd w:val="clear"/>
        <w:spacing w:line="440" w:lineRule="exac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甲  方：东莞市南峰物业管理有限公司</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乙  方：</w:t>
      </w:r>
    </w:p>
    <w:p w14:paraId="372B7411">
      <w:pPr>
        <w:shd w:val="clear"/>
        <w:spacing w:line="440" w:lineRule="exact"/>
        <w:ind w:firstLine="964" w:firstLineChars="400"/>
        <w:rPr>
          <w:rFonts w:hint="eastAsia" w:ascii="宋体" w:hAnsi="宋体" w:eastAsia="宋体" w:cs="宋体"/>
          <w:b/>
          <w:color w:val="auto"/>
          <w:sz w:val="24"/>
          <w:szCs w:val="24"/>
          <w:highlight w:val="none"/>
          <w:lang w:val="en-US"/>
        </w:rPr>
      </w:pPr>
      <w:r>
        <w:rPr>
          <w:rFonts w:hint="eastAsia" w:ascii="宋体" w:hAnsi="宋体" w:eastAsia="宋体" w:cs="宋体"/>
          <w:b/>
          <w:color w:val="auto"/>
          <w:sz w:val="24"/>
          <w:szCs w:val="24"/>
          <w:highlight w:val="none"/>
        </w:rPr>
        <w:t>长沙分公司</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1"/>
          <w:szCs w:val="21"/>
          <w:highlight w:val="none"/>
          <w:lang w:val="en-US" w:eastAsia="zh-CN"/>
        </w:rPr>
        <w:t xml:space="preserve">                                    </w:t>
      </w:r>
    </w:p>
    <w:p w14:paraId="43215D2C">
      <w:pPr>
        <w:shd w:val="clear"/>
        <w:spacing w:line="440" w:lineRule="exact"/>
        <w:rPr>
          <w:rFonts w:hint="eastAsia" w:ascii="宋体" w:hAnsi="宋体" w:eastAsia="宋体" w:cs="宋体"/>
          <w:b/>
          <w:color w:val="auto"/>
          <w:sz w:val="24"/>
          <w:szCs w:val="24"/>
          <w:highlight w:val="none"/>
        </w:rPr>
      </w:pPr>
    </w:p>
    <w:p w14:paraId="7E128309">
      <w:pPr>
        <w:shd w:val="clear"/>
        <w:spacing w:line="440" w:lineRule="exac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（盖章）                                  （盖章）                      </w:t>
      </w:r>
    </w:p>
    <w:p w14:paraId="144F3697">
      <w:pPr>
        <w:shd w:val="clear"/>
        <w:spacing w:line="440" w:lineRule="exac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法人代表或其授权人                        法人代表或其授权人</w:t>
      </w:r>
    </w:p>
    <w:p w14:paraId="3CF3DF19">
      <w:pPr>
        <w:shd w:val="clear"/>
        <w:spacing w:line="440" w:lineRule="exac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（签字）：                                （签字）：</w:t>
      </w:r>
    </w:p>
    <w:p w14:paraId="24E0B39F">
      <w:pPr>
        <w:shd w:val="clear"/>
        <w:spacing w:line="440" w:lineRule="exact"/>
        <w:rPr>
          <w:rFonts w:hint="eastAsia" w:ascii="宋体" w:hAnsi="宋体" w:eastAsia="宋体" w:cs="宋体"/>
          <w:b/>
          <w:color w:val="auto"/>
          <w:sz w:val="24"/>
          <w:szCs w:val="24"/>
          <w:highlight w:val="none"/>
        </w:rPr>
      </w:pPr>
    </w:p>
    <w:p w14:paraId="723B3BB4">
      <w:pPr>
        <w:shd w:val="clear"/>
        <w:spacing w:line="440" w:lineRule="exac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签约日期：</w:t>
      </w:r>
      <w:r>
        <w:rPr>
          <w:rFonts w:hint="eastAsia" w:ascii="宋体" w:hAnsi="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年</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月</w:t>
      </w:r>
      <w:bookmarkStart w:id="22" w:name="_GoBack"/>
      <w:bookmarkEnd w:id="22"/>
      <w:r>
        <w:rPr>
          <w:rFonts w:hint="eastAsia" w:ascii="宋体" w:hAnsi="宋体" w:eastAsia="宋体" w:cs="宋体"/>
          <w:b/>
          <w:color w:val="auto"/>
          <w:sz w:val="24"/>
          <w:szCs w:val="24"/>
          <w:highlight w:val="none"/>
        </w:rPr>
        <w:t xml:space="preserve">  日                签约地点：广东东莞南城。</w:t>
      </w:r>
    </w:p>
    <w:p w14:paraId="7B36EB66">
      <w:pPr>
        <w:keepNext w:val="0"/>
        <w:keepLines w:val="0"/>
        <w:pageBreakBefore w:val="0"/>
        <w:widowControl w:val="0"/>
        <w:shd w:val="clear" w:color="auto" w:fill="auto"/>
        <w:kinsoku/>
        <w:wordWrap/>
        <w:overflowPunct/>
        <w:topLinePunct w:val="0"/>
        <w:autoSpaceDE/>
        <w:autoSpaceDN/>
        <w:bidi w:val="0"/>
        <w:spacing w:line="360" w:lineRule="auto"/>
        <w:jc w:val="left"/>
        <w:textAlignment w:val="auto"/>
        <w:rPr>
          <w:rFonts w:hint="eastAsia" w:ascii="宋体" w:hAnsi="宋体" w:eastAsia="宋体" w:cs="宋体"/>
          <w:b/>
          <w:color w:val="auto"/>
          <w:sz w:val="32"/>
          <w:szCs w:val="32"/>
          <w:highlight w:val="none"/>
          <w:lang w:val="en-US" w:eastAsia="zh-CN"/>
        </w:rPr>
      </w:pPr>
      <w:r>
        <w:rPr>
          <w:rFonts w:hint="eastAsia" w:ascii="宋体" w:hAnsi="宋体" w:eastAsia="宋体" w:cs="宋体"/>
          <w:color w:val="auto"/>
          <w:sz w:val="24"/>
          <w:szCs w:val="24"/>
          <w:highlight w:val="none"/>
          <w:lang w:val="en-US" w:eastAsia="zh-CN"/>
        </w:rPr>
        <w:t>【</w:t>
      </w:r>
      <w:r>
        <w:rPr>
          <w:rFonts w:hint="eastAsia" w:ascii="仿宋" w:hAnsi="仿宋" w:eastAsia="仿宋" w:cs="仿宋"/>
          <w:b/>
          <w:bCs/>
          <w:i w:val="0"/>
          <w:iCs w:val="0"/>
          <w:color w:val="auto"/>
          <w:sz w:val="24"/>
          <w:szCs w:val="24"/>
          <w:highlight w:val="none"/>
          <w:shd w:val="clear" w:color="auto" w:fill="auto"/>
          <w:lang w:eastAsia="zh-CN"/>
        </w:rPr>
        <w:t>甲方人员如有营私舞弊、吃拿卡要等损害乙方合法权益的行为，乙方可拨打投诉专线 4000968086或发邮件至投诉邮箱:zhglzx@nanfeng.cn，也可至广东省东莞市南城街道鸿福路 106号南峰中心12楼内控中心办公室面诉</w:t>
      </w:r>
      <w:r>
        <w:rPr>
          <w:rFonts w:hint="eastAsia" w:ascii="宋体" w:hAnsi="宋体" w:eastAsia="宋体" w:cs="宋体"/>
          <w:color w:val="auto"/>
          <w:sz w:val="24"/>
          <w:szCs w:val="24"/>
          <w:highlight w:val="none"/>
          <w:lang w:val="en-US" w:eastAsia="zh-CN"/>
        </w:rPr>
        <w:t>】</w:t>
      </w:r>
    </w:p>
    <w:p w14:paraId="3229C134">
      <w:pPr>
        <w:shd w:val="clear"/>
        <w:spacing w:line="440" w:lineRule="exact"/>
        <w:rPr>
          <w:rFonts w:hint="eastAsia" w:ascii="宋体" w:hAnsi="宋体" w:eastAsia="宋体" w:cs="宋体"/>
          <w:b/>
          <w:color w:val="auto"/>
          <w:sz w:val="24"/>
          <w:szCs w:val="24"/>
          <w:highlight w:val="none"/>
          <w:lang w:val="en-US" w:eastAsia="zh-CN"/>
        </w:rPr>
      </w:pPr>
    </w:p>
    <w:p w14:paraId="15B1332A">
      <w:pPr>
        <w:shd w:val="clear"/>
        <w:spacing w:line="440" w:lineRule="exact"/>
        <w:rPr>
          <w:rFonts w:hint="eastAsia" w:ascii="宋体" w:hAnsi="宋体" w:eastAsia="宋体" w:cs="宋体"/>
          <w:b/>
          <w:color w:val="auto"/>
          <w:sz w:val="24"/>
          <w:szCs w:val="24"/>
          <w:highlight w:val="none"/>
          <w:lang w:val="en-US" w:eastAsia="zh-CN"/>
        </w:rPr>
      </w:pPr>
    </w:p>
    <w:p w14:paraId="6FBEA4D6">
      <w:pPr>
        <w:shd w:val="clear"/>
        <w:spacing w:line="440" w:lineRule="exact"/>
        <w:rPr>
          <w:rFonts w:hint="eastAsia" w:ascii="宋体" w:hAnsi="宋体" w:eastAsia="宋体" w:cs="宋体"/>
          <w:b/>
          <w:color w:val="auto"/>
          <w:sz w:val="24"/>
          <w:szCs w:val="24"/>
          <w:highlight w:val="none"/>
          <w:lang w:val="en-US" w:eastAsia="zh-CN"/>
        </w:rPr>
      </w:pPr>
    </w:p>
    <w:p w14:paraId="1CF31AEB">
      <w:pPr>
        <w:shd w:val="clear"/>
        <w:spacing w:line="440" w:lineRule="exact"/>
        <w:rPr>
          <w:rFonts w:hint="eastAsia" w:ascii="宋体" w:hAnsi="宋体" w:eastAsia="宋体" w:cs="宋体"/>
          <w:b/>
          <w:color w:val="auto"/>
          <w:sz w:val="24"/>
          <w:szCs w:val="24"/>
          <w:highlight w:val="none"/>
          <w:lang w:val="en-US" w:eastAsia="zh-CN"/>
        </w:rPr>
      </w:pPr>
    </w:p>
    <w:p w14:paraId="15CD77CB">
      <w:pPr>
        <w:shd w:val="clear"/>
        <w:spacing w:line="440" w:lineRule="exact"/>
        <w:rPr>
          <w:rFonts w:hint="eastAsia" w:ascii="宋体" w:hAnsi="宋体" w:eastAsia="宋体" w:cs="宋体"/>
          <w:b/>
          <w:color w:val="auto"/>
          <w:sz w:val="24"/>
          <w:szCs w:val="24"/>
          <w:highlight w:val="none"/>
          <w:lang w:val="en-US" w:eastAsia="zh-CN"/>
        </w:rPr>
      </w:pPr>
    </w:p>
    <w:p w14:paraId="1B569C6E">
      <w:pPr>
        <w:shd w:val="clear"/>
        <w:spacing w:line="440" w:lineRule="exact"/>
        <w:rPr>
          <w:rFonts w:hint="eastAsia" w:ascii="宋体" w:hAnsi="宋体" w:eastAsia="宋体" w:cs="宋体"/>
          <w:b/>
          <w:color w:val="auto"/>
          <w:sz w:val="24"/>
          <w:szCs w:val="24"/>
          <w:highlight w:val="none"/>
          <w:lang w:val="en-US" w:eastAsia="zh-CN"/>
        </w:rPr>
      </w:pPr>
    </w:p>
    <w:p w14:paraId="28E33F5D">
      <w:pPr>
        <w:shd w:val="clear"/>
        <w:spacing w:line="440" w:lineRule="exac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附件一：报价清单</w:t>
      </w:r>
    </w:p>
    <w:p w14:paraId="3C634E57">
      <w:pPr>
        <w:shd w:val="clear"/>
        <w:spacing w:line="440" w:lineRule="exact"/>
        <w:rPr>
          <w:rFonts w:hint="default" w:ascii="宋体" w:hAnsi="宋体" w:eastAsia="宋体" w:cs="宋体"/>
          <w:b/>
          <w:bCs w:val="0"/>
          <w:color w:val="auto"/>
          <w:sz w:val="24"/>
          <w:szCs w:val="24"/>
          <w:highlight w:val="none"/>
          <w:lang w:val="en-US" w:eastAsia="zh-CN"/>
        </w:rPr>
      </w:pPr>
      <w:r>
        <w:rPr>
          <w:rFonts w:hint="eastAsia" w:ascii="宋体" w:hAnsi="宋体" w:cs="宋体"/>
          <w:b/>
          <w:bCs w:val="0"/>
          <w:color w:val="auto"/>
          <w:sz w:val="24"/>
          <w:szCs w:val="24"/>
          <w:highlight w:val="none"/>
          <w:lang w:val="en-US" w:eastAsia="zh-CN"/>
        </w:rPr>
        <w:t>1、长沙柏宁地王广场锅炉维保报价清单</w:t>
      </w:r>
    </w:p>
    <w:tbl>
      <w:tblPr>
        <w:tblStyle w:val="10"/>
        <w:tblW w:w="969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10"/>
        <w:gridCol w:w="4995"/>
        <w:gridCol w:w="1725"/>
        <w:gridCol w:w="1080"/>
        <w:gridCol w:w="1080"/>
      </w:tblGrid>
      <w:tr w14:paraId="5EE502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6FE7886">
            <w:pPr>
              <w:keepNext w:val="0"/>
              <w:keepLines w:val="0"/>
              <w:widowControl/>
              <w:suppressLineNumbers w:val="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序号</w:t>
            </w:r>
          </w:p>
        </w:tc>
        <w:tc>
          <w:tcPr>
            <w:tcW w:w="499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EDDD11">
            <w:pPr>
              <w:keepNext w:val="0"/>
              <w:keepLines w:val="0"/>
              <w:widowControl/>
              <w:suppressLineNumbers w:val="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 xml:space="preserve">                项目</w:t>
            </w:r>
          </w:p>
        </w:tc>
        <w:tc>
          <w:tcPr>
            <w:tcW w:w="172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C97707C">
            <w:pPr>
              <w:keepNext w:val="0"/>
              <w:keepLines w:val="0"/>
              <w:widowControl/>
              <w:suppressLineNumbers w:val="0"/>
              <w:jc w:val="center"/>
              <w:textAlignment w:val="center"/>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含税单价</w:t>
            </w:r>
          </w:p>
          <w:p w14:paraId="61745969">
            <w:pPr>
              <w:keepNext w:val="0"/>
              <w:keepLines w:val="0"/>
              <w:widowControl/>
              <w:suppressLineNumbers w:val="0"/>
              <w:jc w:val="center"/>
              <w:textAlignment w:val="center"/>
              <w:rPr>
                <w:rFonts w:hint="default" w:ascii="宋体" w:hAnsi="宋体" w:eastAsia="宋体" w:cs="宋体"/>
                <w:b/>
                <w:bCs/>
                <w:i w:val="0"/>
                <w:iCs w:val="0"/>
                <w:color w:val="auto"/>
                <w:sz w:val="21"/>
                <w:szCs w:val="21"/>
                <w:highlight w:val="none"/>
                <w:u w:val="none"/>
                <w:lang w:val="en-US"/>
              </w:rPr>
            </w:pPr>
            <w:r>
              <w:rPr>
                <w:rFonts w:hint="eastAsia" w:ascii="宋体" w:hAnsi="宋体" w:eastAsia="宋体" w:cs="宋体"/>
                <w:b/>
                <w:bCs/>
                <w:i w:val="0"/>
                <w:iCs w:val="0"/>
                <w:color w:val="auto"/>
                <w:kern w:val="0"/>
                <w:sz w:val="21"/>
                <w:szCs w:val="21"/>
                <w:highlight w:val="none"/>
                <w:u w:val="none"/>
                <w:lang w:val="en-US" w:eastAsia="zh-CN" w:bidi="ar"/>
              </w:rPr>
              <w:t>（元</w:t>
            </w:r>
            <w:r>
              <w:rPr>
                <w:rFonts w:hint="eastAsia" w:ascii="宋体" w:hAnsi="宋体" w:cs="宋体"/>
                <w:b/>
                <w:bCs/>
                <w:i w:val="0"/>
                <w:iCs w:val="0"/>
                <w:color w:val="auto"/>
                <w:kern w:val="0"/>
                <w:sz w:val="21"/>
                <w:szCs w:val="21"/>
                <w:highlight w:val="none"/>
                <w:u w:val="none"/>
                <w:lang w:val="en-US" w:eastAsia="zh-CN" w:bidi="ar"/>
              </w:rPr>
              <w:t>/</w:t>
            </w:r>
            <w:r>
              <w:rPr>
                <w:rFonts w:hint="eastAsia" w:ascii="宋体" w:hAnsi="宋体" w:cs="宋体"/>
                <w:b/>
                <w:bCs/>
                <w:i w:val="0"/>
                <w:iCs w:val="0"/>
                <w:color w:val="auto"/>
                <w:kern w:val="0"/>
                <w:sz w:val="21"/>
                <w:szCs w:val="21"/>
                <w:highlight w:val="none"/>
                <w:u w:val="single"/>
                <w:lang w:val="en-US" w:eastAsia="zh-CN" w:bidi="ar"/>
              </w:rPr>
              <w:t xml:space="preserve">   </w:t>
            </w:r>
            <w:r>
              <w:rPr>
                <w:rFonts w:hint="eastAsia" w:ascii="宋体" w:hAnsi="宋体" w:cs="宋体"/>
                <w:b/>
                <w:bCs/>
                <w:i w:val="0"/>
                <w:iCs w:val="0"/>
                <w:color w:val="auto"/>
                <w:kern w:val="0"/>
                <w:sz w:val="21"/>
                <w:szCs w:val="21"/>
                <w:highlight w:val="none"/>
                <w:u w:val="none"/>
                <w:lang w:val="en-US" w:eastAsia="zh-CN" w:bidi="ar"/>
              </w:rPr>
              <w:t>年</w:t>
            </w:r>
            <w:r>
              <w:rPr>
                <w:rFonts w:hint="eastAsia" w:ascii="宋体" w:hAnsi="宋体" w:eastAsia="宋体" w:cs="宋体"/>
                <w:b/>
                <w:bCs/>
                <w:i w:val="0"/>
                <w:iCs w:val="0"/>
                <w:color w:val="auto"/>
                <w:kern w:val="0"/>
                <w:sz w:val="21"/>
                <w:szCs w:val="21"/>
                <w:highlight w:val="none"/>
                <w:u w:val="none"/>
                <w:lang w:val="en-US" w:eastAsia="zh-CN" w:bidi="ar"/>
              </w:rPr>
              <w:t>）</w:t>
            </w:r>
            <w:r>
              <w:rPr>
                <w:rFonts w:hint="eastAsia" w:ascii="宋体" w:hAnsi="宋体" w:cs="宋体"/>
                <w:b/>
                <w:bCs/>
                <w:i w:val="0"/>
                <w:iCs w:val="0"/>
                <w:color w:val="auto"/>
                <w:kern w:val="0"/>
                <w:sz w:val="21"/>
                <w:szCs w:val="21"/>
                <w:highlight w:val="none"/>
                <w:u w:val="none"/>
                <w:lang w:val="en-US" w:eastAsia="zh-CN" w:bidi="ar"/>
              </w:rPr>
              <w:t xml:space="preserve"> </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D7D43F7">
            <w:pPr>
              <w:keepNext w:val="0"/>
              <w:keepLines w:val="0"/>
              <w:widowControl/>
              <w:suppressLineNumbers w:val="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数量</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FA528CD">
            <w:pPr>
              <w:keepNext w:val="0"/>
              <w:keepLines w:val="0"/>
              <w:widowControl/>
              <w:suppressLineNumbers w:val="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cs="宋体"/>
                <w:b/>
                <w:bCs/>
                <w:i w:val="0"/>
                <w:iCs w:val="0"/>
                <w:color w:val="auto"/>
                <w:kern w:val="0"/>
                <w:sz w:val="21"/>
                <w:szCs w:val="21"/>
                <w:highlight w:val="none"/>
                <w:u w:val="none"/>
                <w:lang w:val="en-US" w:eastAsia="zh-CN" w:bidi="ar"/>
              </w:rPr>
              <w:t>小计</w:t>
            </w:r>
            <w:r>
              <w:rPr>
                <w:rFonts w:hint="eastAsia" w:ascii="宋体" w:hAnsi="宋体" w:eastAsia="宋体" w:cs="宋体"/>
                <w:b/>
                <w:bCs/>
                <w:i w:val="0"/>
                <w:iCs w:val="0"/>
                <w:color w:val="auto"/>
                <w:kern w:val="0"/>
                <w:sz w:val="21"/>
                <w:szCs w:val="21"/>
                <w:highlight w:val="none"/>
                <w:u w:val="none"/>
                <w:lang w:val="en-US" w:eastAsia="zh-CN" w:bidi="ar"/>
              </w:rPr>
              <w:t>（元）</w:t>
            </w:r>
          </w:p>
        </w:tc>
      </w:tr>
      <w:tr w14:paraId="1057EB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810" w:type="dxa"/>
            <w:tcBorders>
              <w:top w:val="nil"/>
              <w:left w:val="single" w:color="000000" w:sz="8" w:space="0"/>
              <w:bottom w:val="single" w:color="000000" w:sz="8" w:space="0"/>
              <w:right w:val="single" w:color="000000" w:sz="8" w:space="0"/>
            </w:tcBorders>
            <w:shd w:val="clear" w:color="auto" w:fill="auto"/>
            <w:vAlign w:val="center"/>
          </w:tcPr>
          <w:p w14:paraId="5E2753EE">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一 、</w:t>
            </w:r>
          </w:p>
        </w:tc>
        <w:tc>
          <w:tcPr>
            <w:tcW w:w="8880" w:type="dxa"/>
            <w:gridSpan w:val="4"/>
            <w:tcBorders>
              <w:top w:val="nil"/>
              <w:left w:val="single" w:color="000000" w:sz="8" w:space="0"/>
              <w:bottom w:val="single" w:color="000000" w:sz="8" w:space="0"/>
              <w:right w:val="single" w:color="000000" w:sz="8" w:space="0"/>
            </w:tcBorders>
            <w:shd w:val="clear" w:color="auto" w:fill="auto"/>
            <w:vAlign w:val="center"/>
          </w:tcPr>
          <w:p w14:paraId="50950466">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锅炉年度保养及验证</w:t>
            </w:r>
          </w:p>
        </w:tc>
      </w:tr>
      <w:tr w14:paraId="256C74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810" w:type="dxa"/>
            <w:tcBorders>
              <w:top w:val="nil"/>
              <w:left w:val="single" w:color="000000" w:sz="8" w:space="0"/>
              <w:bottom w:val="single" w:color="000000" w:sz="8" w:space="0"/>
              <w:right w:val="single" w:color="000000" w:sz="8" w:space="0"/>
            </w:tcBorders>
            <w:shd w:val="clear" w:color="auto" w:fill="auto"/>
            <w:vAlign w:val="center"/>
          </w:tcPr>
          <w:p w14:paraId="0FC6E862">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w:t>
            </w:r>
          </w:p>
        </w:tc>
        <w:tc>
          <w:tcPr>
            <w:tcW w:w="4995" w:type="dxa"/>
            <w:tcBorders>
              <w:top w:val="nil"/>
              <w:left w:val="single" w:color="000000" w:sz="8" w:space="0"/>
              <w:bottom w:val="single" w:color="000000" w:sz="8" w:space="0"/>
              <w:right w:val="single" w:color="000000" w:sz="8" w:space="0"/>
            </w:tcBorders>
            <w:shd w:val="clear" w:color="auto" w:fill="auto"/>
            <w:vAlign w:val="center"/>
          </w:tcPr>
          <w:p w14:paraId="719A3EA0">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本体锅炉、除垢、冲洗、钝化（含碱洗煮炉料）</w:t>
            </w:r>
          </w:p>
        </w:tc>
        <w:tc>
          <w:tcPr>
            <w:tcW w:w="1725" w:type="dxa"/>
            <w:tcBorders>
              <w:top w:val="nil"/>
              <w:left w:val="single" w:color="000000" w:sz="8" w:space="0"/>
              <w:bottom w:val="single" w:color="000000" w:sz="8" w:space="0"/>
              <w:right w:val="single" w:color="000000" w:sz="8" w:space="0"/>
            </w:tcBorders>
            <w:shd w:val="clear" w:color="auto" w:fill="auto"/>
            <w:vAlign w:val="center"/>
          </w:tcPr>
          <w:p w14:paraId="43349EF2">
            <w:pPr>
              <w:jc w:val="center"/>
              <w:rPr>
                <w:rFonts w:hint="eastAsia" w:ascii="宋体" w:hAnsi="宋体" w:eastAsia="宋体" w:cs="宋体"/>
                <w:i w:val="0"/>
                <w:iCs w:val="0"/>
                <w:color w:val="auto"/>
                <w:sz w:val="21"/>
                <w:szCs w:val="21"/>
                <w:highlight w:val="none"/>
                <w:u w:val="none"/>
              </w:rPr>
            </w:pPr>
          </w:p>
        </w:tc>
        <w:tc>
          <w:tcPr>
            <w:tcW w:w="108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7BAEF39E">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Style w:val="31"/>
                <w:rFonts w:hint="eastAsia" w:ascii="宋体" w:hAnsi="宋体" w:eastAsia="宋体" w:cs="宋体"/>
                <w:color w:val="auto"/>
                <w:highlight w:val="none"/>
                <w:lang w:val="en-US" w:eastAsia="zh-CN" w:bidi="ar"/>
              </w:rPr>
              <w:t>3</w:t>
            </w:r>
            <w:r>
              <w:rPr>
                <w:rFonts w:hint="eastAsia" w:ascii="宋体" w:hAnsi="宋体" w:eastAsia="宋体" w:cs="宋体"/>
                <w:i w:val="0"/>
                <w:iCs w:val="0"/>
                <w:color w:val="auto"/>
                <w:kern w:val="0"/>
                <w:sz w:val="21"/>
                <w:szCs w:val="21"/>
                <w:highlight w:val="none"/>
                <w:u w:val="none"/>
                <w:lang w:val="en-US" w:eastAsia="zh-CN" w:bidi="ar"/>
              </w:rPr>
              <w:t>台</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FB5F891">
            <w:pPr>
              <w:jc w:val="center"/>
              <w:rPr>
                <w:rFonts w:hint="eastAsia" w:ascii="宋体" w:hAnsi="宋体" w:eastAsia="宋体" w:cs="宋体"/>
                <w:i w:val="0"/>
                <w:iCs w:val="0"/>
                <w:color w:val="auto"/>
                <w:sz w:val="21"/>
                <w:szCs w:val="21"/>
                <w:highlight w:val="none"/>
                <w:u w:val="none"/>
              </w:rPr>
            </w:pPr>
          </w:p>
        </w:tc>
      </w:tr>
      <w:tr w14:paraId="27679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810" w:type="dxa"/>
            <w:tcBorders>
              <w:top w:val="nil"/>
              <w:left w:val="single" w:color="000000" w:sz="8" w:space="0"/>
              <w:bottom w:val="single" w:color="000000" w:sz="8" w:space="0"/>
              <w:right w:val="single" w:color="000000" w:sz="8" w:space="0"/>
            </w:tcBorders>
            <w:shd w:val="clear" w:color="auto" w:fill="auto"/>
            <w:vAlign w:val="center"/>
          </w:tcPr>
          <w:p w14:paraId="58AEC180">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w:t>
            </w:r>
          </w:p>
        </w:tc>
        <w:tc>
          <w:tcPr>
            <w:tcW w:w="4995" w:type="dxa"/>
            <w:tcBorders>
              <w:top w:val="nil"/>
              <w:left w:val="single" w:color="000000" w:sz="8" w:space="0"/>
              <w:bottom w:val="single" w:color="000000" w:sz="8" w:space="0"/>
              <w:right w:val="single" w:color="000000" w:sz="8" w:space="0"/>
            </w:tcBorders>
            <w:shd w:val="clear" w:color="auto" w:fill="auto"/>
            <w:vAlign w:val="center"/>
          </w:tcPr>
          <w:p w14:paraId="5E8FDB3E">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控制系统（柜）、仪表、仪器、传感器维护、验证</w:t>
            </w:r>
          </w:p>
        </w:tc>
        <w:tc>
          <w:tcPr>
            <w:tcW w:w="1725" w:type="dxa"/>
            <w:tcBorders>
              <w:top w:val="nil"/>
              <w:left w:val="single" w:color="000000" w:sz="8" w:space="0"/>
              <w:bottom w:val="single" w:color="000000" w:sz="8" w:space="0"/>
              <w:right w:val="single" w:color="000000" w:sz="8" w:space="0"/>
            </w:tcBorders>
            <w:shd w:val="clear" w:color="auto" w:fill="auto"/>
            <w:vAlign w:val="center"/>
          </w:tcPr>
          <w:p w14:paraId="2BF6A1E9">
            <w:pPr>
              <w:jc w:val="center"/>
              <w:rPr>
                <w:rFonts w:hint="eastAsia" w:ascii="宋体" w:hAnsi="宋体" w:eastAsia="宋体" w:cs="宋体"/>
                <w:i w:val="0"/>
                <w:iCs w:val="0"/>
                <w:color w:val="auto"/>
                <w:sz w:val="21"/>
                <w:szCs w:val="21"/>
                <w:highlight w:val="none"/>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276EE38">
            <w:pPr>
              <w:jc w:val="center"/>
              <w:rPr>
                <w:rFonts w:hint="eastAsia" w:ascii="宋体" w:hAnsi="宋体" w:eastAsia="宋体" w:cs="宋体"/>
                <w:i w:val="0"/>
                <w:iCs w:val="0"/>
                <w:color w:val="auto"/>
                <w:sz w:val="21"/>
                <w:szCs w:val="21"/>
                <w:highlight w:val="none"/>
                <w:u w:val="none"/>
              </w:rPr>
            </w:pP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82AFAD0">
            <w:pPr>
              <w:jc w:val="center"/>
              <w:rPr>
                <w:rFonts w:hint="eastAsia" w:ascii="宋体" w:hAnsi="宋体" w:eastAsia="宋体" w:cs="宋体"/>
                <w:i w:val="0"/>
                <w:iCs w:val="0"/>
                <w:color w:val="auto"/>
                <w:sz w:val="21"/>
                <w:szCs w:val="21"/>
                <w:highlight w:val="none"/>
                <w:u w:val="none"/>
              </w:rPr>
            </w:pPr>
          </w:p>
        </w:tc>
      </w:tr>
      <w:tr w14:paraId="109C71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810" w:type="dxa"/>
            <w:tcBorders>
              <w:top w:val="nil"/>
              <w:left w:val="single" w:color="000000" w:sz="8" w:space="0"/>
              <w:bottom w:val="single" w:color="000000" w:sz="8" w:space="0"/>
              <w:right w:val="single" w:color="000000" w:sz="8" w:space="0"/>
            </w:tcBorders>
            <w:shd w:val="clear" w:color="auto" w:fill="auto"/>
            <w:vAlign w:val="center"/>
          </w:tcPr>
          <w:p w14:paraId="57EC1889">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3</w:t>
            </w:r>
          </w:p>
        </w:tc>
        <w:tc>
          <w:tcPr>
            <w:tcW w:w="4995" w:type="dxa"/>
            <w:tcBorders>
              <w:top w:val="nil"/>
              <w:left w:val="single" w:color="000000" w:sz="8" w:space="0"/>
              <w:bottom w:val="single" w:color="000000" w:sz="8" w:space="0"/>
              <w:right w:val="single" w:color="000000" w:sz="8" w:space="0"/>
            </w:tcBorders>
            <w:shd w:val="clear" w:color="auto" w:fill="auto"/>
            <w:vAlign w:val="center"/>
          </w:tcPr>
          <w:p w14:paraId="59BCAB78">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压力变送器检查验证</w:t>
            </w:r>
          </w:p>
        </w:tc>
        <w:tc>
          <w:tcPr>
            <w:tcW w:w="1725" w:type="dxa"/>
            <w:tcBorders>
              <w:top w:val="nil"/>
              <w:left w:val="single" w:color="000000" w:sz="8" w:space="0"/>
              <w:bottom w:val="single" w:color="000000" w:sz="8" w:space="0"/>
              <w:right w:val="single" w:color="000000" w:sz="8" w:space="0"/>
            </w:tcBorders>
            <w:shd w:val="clear" w:color="auto" w:fill="auto"/>
            <w:vAlign w:val="center"/>
          </w:tcPr>
          <w:p w14:paraId="069C84E8">
            <w:pPr>
              <w:jc w:val="center"/>
              <w:rPr>
                <w:rFonts w:hint="eastAsia" w:ascii="宋体" w:hAnsi="宋体" w:eastAsia="宋体" w:cs="宋体"/>
                <w:i w:val="0"/>
                <w:iCs w:val="0"/>
                <w:color w:val="auto"/>
                <w:sz w:val="21"/>
                <w:szCs w:val="21"/>
                <w:highlight w:val="none"/>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5322170">
            <w:pPr>
              <w:jc w:val="center"/>
              <w:rPr>
                <w:rFonts w:hint="eastAsia" w:ascii="宋体" w:hAnsi="宋体" w:eastAsia="宋体" w:cs="宋体"/>
                <w:i w:val="0"/>
                <w:iCs w:val="0"/>
                <w:color w:val="auto"/>
                <w:sz w:val="21"/>
                <w:szCs w:val="21"/>
                <w:highlight w:val="none"/>
                <w:u w:val="none"/>
              </w:rPr>
            </w:pP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FD49117">
            <w:pPr>
              <w:jc w:val="center"/>
              <w:rPr>
                <w:rFonts w:hint="eastAsia" w:ascii="宋体" w:hAnsi="宋体" w:eastAsia="宋体" w:cs="宋体"/>
                <w:i w:val="0"/>
                <w:iCs w:val="0"/>
                <w:color w:val="auto"/>
                <w:sz w:val="21"/>
                <w:szCs w:val="21"/>
                <w:highlight w:val="none"/>
                <w:u w:val="none"/>
              </w:rPr>
            </w:pPr>
          </w:p>
        </w:tc>
      </w:tr>
      <w:tr w14:paraId="0A535D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810" w:type="dxa"/>
            <w:tcBorders>
              <w:top w:val="nil"/>
              <w:left w:val="single" w:color="000000" w:sz="8" w:space="0"/>
              <w:bottom w:val="single" w:color="000000" w:sz="8" w:space="0"/>
              <w:right w:val="single" w:color="000000" w:sz="8" w:space="0"/>
            </w:tcBorders>
            <w:shd w:val="clear" w:color="auto" w:fill="auto"/>
            <w:vAlign w:val="center"/>
          </w:tcPr>
          <w:p w14:paraId="4581C8C1">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4</w:t>
            </w:r>
          </w:p>
        </w:tc>
        <w:tc>
          <w:tcPr>
            <w:tcW w:w="4995" w:type="dxa"/>
            <w:tcBorders>
              <w:top w:val="nil"/>
              <w:left w:val="single" w:color="000000" w:sz="8" w:space="0"/>
              <w:bottom w:val="single" w:color="000000" w:sz="8" w:space="0"/>
              <w:right w:val="single" w:color="000000" w:sz="8" w:space="0"/>
            </w:tcBorders>
            <w:shd w:val="clear" w:color="auto" w:fill="auto"/>
            <w:vAlign w:val="center"/>
          </w:tcPr>
          <w:p w14:paraId="131E7077">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烟温传感器检查验证</w:t>
            </w:r>
          </w:p>
        </w:tc>
        <w:tc>
          <w:tcPr>
            <w:tcW w:w="1725" w:type="dxa"/>
            <w:tcBorders>
              <w:top w:val="nil"/>
              <w:left w:val="single" w:color="000000" w:sz="8" w:space="0"/>
              <w:bottom w:val="single" w:color="000000" w:sz="8" w:space="0"/>
              <w:right w:val="single" w:color="000000" w:sz="8" w:space="0"/>
            </w:tcBorders>
            <w:shd w:val="clear" w:color="auto" w:fill="auto"/>
            <w:vAlign w:val="center"/>
          </w:tcPr>
          <w:p w14:paraId="155E810E">
            <w:pPr>
              <w:jc w:val="center"/>
              <w:rPr>
                <w:rFonts w:hint="eastAsia" w:ascii="宋体" w:hAnsi="宋体" w:eastAsia="宋体" w:cs="宋体"/>
                <w:i w:val="0"/>
                <w:iCs w:val="0"/>
                <w:color w:val="auto"/>
                <w:sz w:val="21"/>
                <w:szCs w:val="21"/>
                <w:highlight w:val="none"/>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6955BFE">
            <w:pPr>
              <w:jc w:val="center"/>
              <w:rPr>
                <w:rFonts w:hint="eastAsia" w:ascii="宋体" w:hAnsi="宋体" w:eastAsia="宋体" w:cs="宋体"/>
                <w:i w:val="0"/>
                <w:iCs w:val="0"/>
                <w:color w:val="auto"/>
                <w:sz w:val="21"/>
                <w:szCs w:val="21"/>
                <w:highlight w:val="none"/>
                <w:u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5957063D">
            <w:pPr>
              <w:jc w:val="center"/>
              <w:rPr>
                <w:rFonts w:hint="eastAsia" w:ascii="宋体" w:hAnsi="宋体" w:eastAsia="宋体" w:cs="宋体"/>
                <w:i w:val="0"/>
                <w:iCs w:val="0"/>
                <w:color w:val="auto"/>
                <w:sz w:val="21"/>
                <w:szCs w:val="21"/>
                <w:highlight w:val="none"/>
                <w:u w:val="none"/>
              </w:rPr>
            </w:pPr>
          </w:p>
        </w:tc>
      </w:tr>
      <w:tr w14:paraId="161193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810" w:type="dxa"/>
            <w:tcBorders>
              <w:top w:val="nil"/>
              <w:left w:val="single" w:color="000000" w:sz="8" w:space="0"/>
              <w:bottom w:val="single" w:color="000000" w:sz="8" w:space="0"/>
              <w:right w:val="single" w:color="000000" w:sz="8" w:space="0"/>
            </w:tcBorders>
            <w:shd w:val="clear" w:color="auto" w:fill="auto"/>
            <w:vAlign w:val="center"/>
          </w:tcPr>
          <w:p w14:paraId="1B0F2B13">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w:t>
            </w:r>
          </w:p>
        </w:tc>
        <w:tc>
          <w:tcPr>
            <w:tcW w:w="4995" w:type="dxa"/>
            <w:tcBorders>
              <w:top w:val="nil"/>
              <w:left w:val="single" w:color="000000" w:sz="8" w:space="0"/>
              <w:bottom w:val="single" w:color="000000" w:sz="8" w:space="0"/>
              <w:right w:val="single" w:color="000000" w:sz="8" w:space="0"/>
            </w:tcBorders>
            <w:shd w:val="clear" w:color="auto" w:fill="auto"/>
            <w:vAlign w:val="center"/>
          </w:tcPr>
          <w:p w14:paraId="3B5DEB74">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电接点压力表检查验证</w:t>
            </w:r>
          </w:p>
        </w:tc>
        <w:tc>
          <w:tcPr>
            <w:tcW w:w="1725" w:type="dxa"/>
            <w:tcBorders>
              <w:top w:val="nil"/>
              <w:left w:val="single" w:color="000000" w:sz="8" w:space="0"/>
              <w:bottom w:val="single" w:color="000000" w:sz="8" w:space="0"/>
              <w:right w:val="single" w:color="000000" w:sz="8" w:space="0"/>
            </w:tcBorders>
            <w:shd w:val="clear" w:color="auto" w:fill="auto"/>
            <w:vAlign w:val="center"/>
          </w:tcPr>
          <w:p w14:paraId="4C80C78C">
            <w:pPr>
              <w:jc w:val="center"/>
              <w:rPr>
                <w:rFonts w:hint="eastAsia" w:ascii="宋体" w:hAnsi="宋体" w:eastAsia="宋体" w:cs="宋体"/>
                <w:i w:val="0"/>
                <w:iCs w:val="0"/>
                <w:color w:val="auto"/>
                <w:sz w:val="21"/>
                <w:szCs w:val="21"/>
                <w:highlight w:val="none"/>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C3873F0">
            <w:pPr>
              <w:jc w:val="center"/>
              <w:rPr>
                <w:rFonts w:hint="eastAsia" w:ascii="宋体" w:hAnsi="宋体" w:eastAsia="宋体" w:cs="宋体"/>
                <w:i w:val="0"/>
                <w:iCs w:val="0"/>
                <w:color w:val="auto"/>
                <w:sz w:val="21"/>
                <w:szCs w:val="21"/>
                <w:highlight w:val="none"/>
                <w:u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658A1D86">
            <w:pPr>
              <w:jc w:val="center"/>
              <w:rPr>
                <w:rFonts w:hint="eastAsia" w:ascii="宋体" w:hAnsi="宋体" w:eastAsia="宋体" w:cs="宋体"/>
                <w:i w:val="0"/>
                <w:iCs w:val="0"/>
                <w:color w:val="auto"/>
                <w:sz w:val="21"/>
                <w:szCs w:val="21"/>
                <w:highlight w:val="none"/>
                <w:u w:val="none"/>
              </w:rPr>
            </w:pPr>
          </w:p>
        </w:tc>
      </w:tr>
      <w:tr w14:paraId="3094C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810" w:type="dxa"/>
            <w:tcBorders>
              <w:top w:val="nil"/>
              <w:left w:val="single" w:color="000000" w:sz="8" w:space="0"/>
              <w:bottom w:val="single" w:color="000000" w:sz="8" w:space="0"/>
              <w:right w:val="single" w:color="000000" w:sz="8" w:space="0"/>
            </w:tcBorders>
            <w:shd w:val="clear" w:color="auto" w:fill="auto"/>
            <w:vAlign w:val="center"/>
          </w:tcPr>
          <w:p w14:paraId="257BCD67">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6</w:t>
            </w:r>
          </w:p>
        </w:tc>
        <w:tc>
          <w:tcPr>
            <w:tcW w:w="4995" w:type="dxa"/>
            <w:tcBorders>
              <w:top w:val="nil"/>
              <w:left w:val="single" w:color="000000" w:sz="8" w:space="0"/>
              <w:bottom w:val="single" w:color="000000" w:sz="8" w:space="0"/>
              <w:right w:val="single" w:color="000000" w:sz="8" w:space="0"/>
            </w:tcBorders>
            <w:shd w:val="clear" w:color="auto" w:fill="auto"/>
            <w:vAlign w:val="center"/>
          </w:tcPr>
          <w:p w14:paraId="47F1B478">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控制柜器件检查验证</w:t>
            </w:r>
          </w:p>
        </w:tc>
        <w:tc>
          <w:tcPr>
            <w:tcW w:w="1725" w:type="dxa"/>
            <w:tcBorders>
              <w:top w:val="nil"/>
              <w:left w:val="single" w:color="000000" w:sz="8" w:space="0"/>
              <w:bottom w:val="single" w:color="000000" w:sz="8" w:space="0"/>
              <w:right w:val="single" w:color="000000" w:sz="8" w:space="0"/>
            </w:tcBorders>
            <w:shd w:val="clear" w:color="auto" w:fill="auto"/>
            <w:vAlign w:val="center"/>
          </w:tcPr>
          <w:p w14:paraId="4486E2C8">
            <w:pPr>
              <w:jc w:val="center"/>
              <w:rPr>
                <w:rFonts w:hint="eastAsia" w:ascii="宋体" w:hAnsi="宋体" w:eastAsia="宋体" w:cs="宋体"/>
                <w:i w:val="0"/>
                <w:iCs w:val="0"/>
                <w:color w:val="auto"/>
                <w:sz w:val="21"/>
                <w:szCs w:val="21"/>
                <w:highlight w:val="none"/>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7959696">
            <w:pPr>
              <w:jc w:val="center"/>
              <w:rPr>
                <w:rFonts w:hint="eastAsia" w:ascii="宋体" w:hAnsi="宋体" w:eastAsia="宋体" w:cs="宋体"/>
                <w:i w:val="0"/>
                <w:iCs w:val="0"/>
                <w:color w:val="auto"/>
                <w:sz w:val="21"/>
                <w:szCs w:val="21"/>
                <w:highlight w:val="none"/>
                <w:u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6B141D68">
            <w:pPr>
              <w:jc w:val="center"/>
              <w:rPr>
                <w:rFonts w:hint="eastAsia" w:ascii="宋体" w:hAnsi="宋体" w:eastAsia="宋体" w:cs="宋体"/>
                <w:i w:val="0"/>
                <w:iCs w:val="0"/>
                <w:color w:val="auto"/>
                <w:sz w:val="21"/>
                <w:szCs w:val="21"/>
                <w:highlight w:val="none"/>
                <w:u w:val="none"/>
              </w:rPr>
            </w:pPr>
          </w:p>
        </w:tc>
      </w:tr>
      <w:tr w14:paraId="613033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810" w:type="dxa"/>
            <w:tcBorders>
              <w:top w:val="nil"/>
              <w:left w:val="single" w:color="000000" w:sz="8" w:space="0"/>
              <w:bottom w:val="single" w:color="000000" w:sz="8" w:space="0"/>
              <w:right w:val="single" w:color="000000" w:sz="8" w:space="0"/>
            </w:tcBorders>
            <w:shd w:val="clear" w:color="auto" w:fill="auto"/>
            <w:vAlign w:val="center"/>
          </w:tcPr>
          <w:p w14:paraId="2E0E25C9">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7</w:t>
            </w:r>
          </w:p>
        </w:tc>
        <w:tc>
          <w:tcPr>
            <w:tcW w:w="4995" w:type="dxa"/>
            <w:tcBorders>
              <w:top w:val="nil"/>
              <w:left w:val="single" w:color="000000" w:sz="8" w:space="0"/>
              <w:bottom w:val="single" w:color="000000" w:sz="8" w:space="0"/>
              <w:right w:val="single" w:color="000000" w:sz="8" w:space="0"/>
            </w:tcBorders>
            <w:shd w:val="clear" w:color="auto" w:fill="auto"/>
            <w:vAlign w:val="center"/>
          </w:tcPr>
          <w:p w14:paraId="445FA2B0">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机组接地电阻检查</w:t>
            </w:r>
          </w:p>
        </w:tc>
        <w:tc>
          <w:tcPr>
            <w:tcW w:w="1725" w:type="dxa"/>
            <w:tcBorders>
              <w:top w:val="nil"/>
              <w:left w:val="single" w:color="000000" w:sz="8" w:space="0"/>
              <w:bottom w:val="single" w:color="000000" w:sz="8" w:space="0"/>
              <w:right w:val="single" w:color="000000" w:sz="8" w:space="0"/>
            </w:tcBorders>
            <w:shd w:val="clear" w:color="auto" w:fill="auto"/>
            <w:vAlign w:val="center"/>
          </w:tcPr>
          <w:p w14:paraId="2F8EC7FD">
            <w:pPr>
              <w:jc w:val="center"/>
              <w:rPr>
                <w:rFonts w:hint="eastAsia" w:ascii="宋体" w:hAnsi="宋体" w:eastAsia="宋体" w:cs="宋体"/>
                <w:i w:val="0"/>
                <w:iCs w:val="0"/>
                <w:color w:val="auto"/>
                <w:sz w:val="21"/>
                <w:szCs w:val="21"/>
                <w:highlight w:val="none"/>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FBBEA34">
            <w:pPr>
              <w:jc w:val="center"/>
              <w:rPr>
                <w:rFonts w:hint="eastAsia" w:ascii="宋体" w:hAnsi="宋体" w:eastAsia="宋体" w:cs="宋体"/>
                <w:i w:val="0"/>
                <w:iCs w:val="0"/>
                <w:color w:val="auto"/>
                <w:sz w:val="21"/>
                <w:szCs w:val="21"/>
                <w:highlight w:val="none"/>
                <w:u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326E3C7F">
            <w:pPr>
              <w:jc w:val="center"/>
              <w:rPr>
                <w:rFonts w:hint="eastAsia" w:ascii="宋体" w:hAnsi="宋体" w:eastAsia="宋体" w:cs="宋体"/>
                <w:i w:val="0"/>
                <w:iCs w:val="0"/>
                <w:color w:val="auto"/>
                <w:sz w:val="21"/>
                <w:szCs w:val="21"/>
                <w:highlight w:val="none"/>
                <w:u w:val="none"/>
              </w:rPr>
            </w:pPr>
          </w:p>
        </w:tc>
      </w:tr>
      <w:tr w14:paraId="3FB4FF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810" w:type="dxa"/>
            <w:tcBorders>
              <w:top w:val="nil"/>
              <w:left w:val="single" w:color="000000" w:sz="8" w:space="0"/>
              <w:bottom w:val="single" w:color="000000" w:sz="8" w:space="0"/>
              <w:right w:val="single" w:color="000000" w:sz="8" w:space="0"/>
            </w:tcBorders>
            <w:shd w:val="clear" w:color="auto" w:fill="auto"/>
            <w:vAlign w:val="center"/>
          </w:tcPr>
          <w:p w14:paraId="4132213D">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8</w:t>
            </w:r>
          </w:p>
        </w:tc>
        <w:tc>
          <w:tcPr>
            <w:tcW w:w="4995" w:type="dxa"/>
            <w:tcBorders>
              <w:top w:val="nil"/>
              <w:left w:val="single" w:color="000000" w:sz="8" w:space="0"/>
              <w:bottom w:val="single" w:color="000000" w:sz="8" w:space="0"/>
              <w:right w:val="single" w:color="000000" w:sz="8" w:space="0"/>
            </w:tcBorders>
            <w:shd w:val="clear" w:color="auto" w:fill="auto"/>
            <w:vAlign w:val="center"/>
          </w:tcPr>
          <w:p w14:paraId="639D00FF">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电机对地绝缘电阻检查</w:t>
            </w:r>
          </w:p>
        </w:tc>
        <w:tc>
          <w:tcPr>
            <w:tcW w:w="1725" w:type="dxa"/>
            <w:tcBorders>
              <w:top w:val="nil"/>
              <w:left w:val="single" w:color="000000" w:sz="8" w:space="0"/>
              <w:bottom w:val="single" w:color="000000" w:sz="8" w:space="0"/>
              <w:right w:val="single" w:color="000000" w:sz="8" w:space="0"/>
            </w:tcBorders>
            <w:shd w:val="clear" w:color="auto" w:fill="auto"/>
            <w:vAlign w:val="center"/>
          </w:tcPr>
          <w:p w14:paraId="6F72DA39">
            <w:pPr>
              <w:jc w:val="center"/>
              <w:rPr>
                <w:rFonts w:hint="eastAsia" w:ascii="宋体" w:hAnsi="宋体" w:eastAsia="宋体" w:cs="宋体"/>
                <w:i w:val="0"/>
                <w:iCs w:val="0"/>
                <w:color w:val="auto"/>
                <w:sz w:val="21"/>
                <w:szCs w:val="21"/>
                <w:highlight w:val="none"/>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A30324D">
            <w:pPr>
              <w:jc w:val="center"/>
              <w:rPr>
                <w:rFonts w:hint="eastAsia" w:ascii="宋体" w:hAnsi="宋体" w:eastAsia="宋体" w:cs="宋体"/>
                <w:i w:val="0"/>
                <w:iCs w:val="0"/>
                <w:color w:val="auto"/>
                <w:sz w:val="21"/>
                <w:szCs w:val="21"/>
                <w:highlight w:val="none"/>
                <w:u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129549CB">
            <w:pPr>
              <w:jc w:val="center"/>
              <w:rPr>
                <w:rFonts w:hint="eastAsia" w:ascii="宋体" w:hAnsi="宋体" w:eastAsia="宋体" w:cs="宋体"/>
                <w:i w:val="0"/>
                <w:iCs w:val="0"/>
                <w:color w:val="auto"/>
                <w:sz w:val="21"/>
                <w:szCs w:val="21"/>
                <w:highlight w:val="none"/>
                <w:u w:val="none"/>
              </w:rPr>
            </w:pPr>
          </w:p>
        </w:tc>
      </w:tr>
      <w:tr w14:paraId="769ADD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810" w:type="dxa"/>
            <w:tcBorders>
              <w:top w:val="nil"/>
              <w:left w:val="single" w:color="000000" w:sz="8" w:space="0"/>
              <w:bottom w:val="single" w:color="000000" w:sz="8" w:space="0"/>
              <w:right w:val="single" w:color="000000" w:sz="8" w:space="0"/>
            </w:tcBorders>
            <w:shd w:val="clear" w:color="auto" w:fill="auto"/>
            <w:vAlign w:val="center"/>
          </w:tcPr>
          <w:p w14:paraId="5D2B1F8F">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9</w:t>
            </w:r>
          </w:p>
        </w:tc>
        <w:tc>
          <w:tcPr>
            <w:tcW w:w="4995" w:type="dxa"/>
            <w:tcBorders>
              <w:top w:val="nil"/>
              <w:left w:val="single" w:color="000000" w:sz="8" w:space="0"/>
              <w:bottom w:val="single" w:color="000000" w:sz="8" w:space="0"/>
              <w:right w:val="single" w:color="000000" w:sz="8" w:space="0"/>
            </w:tcBorders>
            <w:shd w:val="clear" w:color="auto" w:fill="auto"/>
            <w:vAlign w:val="center"/>
          </w:tcPr>
          <w:p w14:paraId="04638B40">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补水电磁阀检查</w:t>
            </w:r>
          </w:p>
        </w:tc>
        <w:tc>
          <w:tcPr>
            <w:tcW w:w="1725" w:type="dxa"/>
            <w:tcBorders>
              <w:top w:val="nil"/>
              <w:left w:val="single" w:color="000000" w:sz="8" w:space="0"/>
              <w:bottom w:val="single" w:color="000000" w:sz="8" w:space="0"/>
              <w:right w:val="single" w:color="000000" w:sz="8" w:space="0"/>
            </w:tcBorders>
            <w:shd w:val="clear" w:color="auto" w:fill="auto"/>
            <w:vAlign w:val="center"/>
          </w:tcPr>
          <w:p w14:paraId="2CE4A88F">
            <w:pPr>
              <w:jc w:val="center"/>
              <w:rPr>
                <w:rFonts w:hint="eastAsia" w:ascii="宋体" w:hAnsi="宋体" w:eastAsia="宋体" w:cs="宋体"/>
                <w:i w:val="0"/>
                <w:iCs w:val="0"/>
                <w:color w:val="auto"/>
                <w:sz w:val="21"/>
                <w:szCs w:val="21"/>
                <w:highlight w:val="none"/>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801D660">
            <w:pPr>
              <w:jc w:val="center"/>
              <w:rPr>
                <w:rFonts w:hint="eastAsia" w:ascii="宋体" w:hAnsi="宋体" w:eastAsia="宋体" w:cs="宋体"/>
                <w:i w:val="0"/>
                <w:iCs w:val="0"/>
                <w:color w:val="auto"/>
                <w:sz w:val="21"/>
                <w:szCs w:val="21"/>
                <w:highlight w:val="none"/>
                <w:u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0BFB4E16">
            <w:pPr>
              <w:jc w:val="center"/>
              <w:rPr>
                <w:rFonts w:hint="eastAsia" w:ascii="宋体" w:hAnsi="宋体" w:eastAsia="宋体" w:cs="宋体"/>
                <w:i w:val="0"/>
                <w:iCs w:val="0"/>
                <w:color w:val="auto"/>
                <w:sz w:val="21"/>
                <w:szCs w:val="21"/>
                <w:highlight w:val="none"/>
                <w:u w:val="none"/>
              </w:rPr>
            </w:pPr>
          </w:p>
        </w:tc>
      </w:tr>
      <w:tr w14:paraId="6A6961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810" w:type="dxa"/>
            <w:tcBorders>
              <w:top w:val="nil"/>
              <w:left w:val="single" w:color="000000" w:sz="8" w:space="0"/>
              <w:bottom w:val="single" w:color="000000" w:sz="8" w:space="0"/>
              <w:right w:val="single" w:color="000000" w:sz="8" w:space="0"/>
            </w:tcBorders>
            <w:shd w:val="clear" w:color="auto" w:fill="auto"/>
            <w:vAlign w:val="center"/>
          </w:tcPr>
          <w:p w14:paraId="1F98A97A">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10</w:t>
            </w:r>
          </w:p>
        </w:tc>
        <w:tc>
          <w:tcPr>
            <w:tcW w:w="4995" w:type="dxa"/>
            <w:tcBorders>
              <w:top w:val="nil"/>
              <w:left w:val="single" w:color="000000" w:sz="8" w:space="0"/>
              <w:bottom w:val="single" w:color="000000" w:sz="8" w:space="0"/>
              <w:right w:val="single" w:color="000000" w:sz="8" w:space="0"/>
            </w:tcBorders>
            <w:shd w:val="clear" w:color="auto" w:fill="auto"/>
            <w:vAlign w:val="center"/>
          </w:tcPr>
          <w:p w14:paraId="4ECACC79">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控制柜及控制线缆检查、维护</w:t>
            </w:r>
          </w:p>
        </w:tc>
        <w:tc>
          <w:tcPr>
            <w:tcW w:w="1725" w:type="dxa"/>
            <w:tcBorders>
              <w:top w:val="nil"/>
              <w:left w:val="single" w:color="000000" w:sz="8" w:space="0"/>
              <w:bottom w:val="single" w:color="000000" w:sz="8" w:space="0"/>
              <w:right w:val="single" w:color="000000" w:sz="8" w:space="0"/>
            </w:tcBorders>
            <w:shd w:val="clear" w:color="auto" w:fill="auto"/>
            <w:vAlign w:val="center"/>
          </w:tcPr>
          <w:p w14:paraId="59981239">
            <w:pPr>
              <w:jc w:val="center"/>
              <w:rPr>
                <w:rFonts w:hint="eastAsia" w:ascii="宋体" w:hAnsi="宋体" w:eastAsia="宋体" w:cs="宋体"/>
                <w:i w:val="0"/>
                <w:iCs w:val="0"/>
                <w:color w:val="auto"/>
                <w:sz w:val="21"/>
                <w:szCs w:val="21"/>
                <w:highlight w:val="none"/>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7DA9CF8">
            <w:pPr>
              <w:jc w:val="center"/>
              <w:rPr>
                <w:rFonts w:hint="eastAsia" w:ascii="宋体" w:hAnsi="宋体" w:eastAsia="宋体" w:cs="宋体"/>
                <w:i w:val="0"/>
                <w:iCs w:val="0"/>
                <w:color w:val="auto"/>
                <w:sz w:val="21"/>
                <w:szCs w:val="21"/>
                <w:highlight w:val="none"/>
                <w:u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5F45E23C">
            <w:pPr>
              <w:jc w:val="center"/>
              <w:rPr>
                <w:rFonts w:hint="eastAsia" w:ascii="宋体" w:hAnsi="宋体" w:eastAsia="宋体" w:cs="宋体"/>
                <w:i w:val="0"/>
                <w:iCs w:val="0"/>
                <w:color w:val="auto"/>
                <w:sz w:val="21"/>
                <w:szCs w:val="21"/>
                <w:highlight w:val="none"/>
                <w:u w:val="none"/>
              </w:rPr>
            </w:pPr>
          </w:p>
        </w:tc>
      </w:tr>
      <w:tr w14:paraId="783F4C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810" w:type="dxa"/>
            <w:tcBorders>
              <w:top w:val="nil"/>
              <w:left w:val="single" w:color="000000" w:sz="8" w:space="0"/>
              <w:bottom w:val="single" w:color="000000" w:sz="8" w:space="0"/>
              <w:right w:val="single" w:color="000000" w:sz="8" w:space="0"/>
            </w:tcBorders>
            <w:shd w:val="clear" w:color="auto" w:fill="auto"/>
            <w:vAlign w:val="center"/>
          </w:tcPr>
          <w:p w14:paraId="59EAC67F">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二、</w:t>
            </w:r>
          </w:p>
        </w:tc>
        <w:tc>
          <w:tcPr>
            <w:tcW w:w="8880" w:type="dxa"/>
            <w:gridSpan w:val="4"/>
            <w:tcBorders>
              <w:top w:val="nil"/>
              <w:left w:val="single" w:color="000000" w:sz="8" w:space="0"/>
              <w:bottom w:val="single" w:color="000000" w:sz="8" w:space="0"/>
              <w:right w:val="single" w:color="000000" w:sz="8" w:space="0"/>
            </w:tcBorders>
            <w:shd w:val="clear" w:color="auto" w:fill="auto"/>
            <w:vAlign w:val="center"/>
          </w:tcPr>
          <w:p w14:paraId="3E17AE43">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燃烧机拆装、清洗、保养、调试</w:t>
            </w:r>
          </w:p>
        </w:tc>
      </w:tr>
      <w:tr w14:paraId="7C2AA3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810" w:type="dxa"/>
            <w:tcBorders>
              <w:top w:val="nil"/>
              <w:left w:val="single" w:color="000000" w:sz="8" w:space="0"/>
              <w:bottom w:val="single" w:color="000000" w:sz="8" w:space="0"/>
              <w:right w:val="single" w:color="000000" w:sz="8" w:space="0"/>
            </w:tcBorders>
            <w:shd w:val="clear" w:color="auto" w:fill="auto"/>
            <w:vAlign w:val="center"/>
          </w:tcPr>
          <w:p w14:paraId="7FA55609">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w:t>
            </w:r>
          </w:p>
        </w:tc>
        <w:tc>
          <w:tcPr>
            <w:tcW w:w="4995" w:type="dxa"/>
            <w:tcBorders>
              <w:top w:val="nil"/>
              <w:left w:val="single" w:color="000000" w:sz="8" w:space="0"/>
              <w:bottom w:val="single" w:color="000000" w:sz="8" w:space="0"/>
              <w:right w:val="single" w:color="000000" w:sz="8" w:space="0"/>
            </w:tcBorders>
            <w:shd w:val="clear" w:color="auto" w:fill="auto"/>
            <w:vAlign w:val="center"/>
          </w:tcPr>
          <w:p w14:paraId="027AB4D2">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燃烧机程序控制器测试</w:t>
            </w:r>
          </w:p>
        </w:tc>
        <w:tc>
          <w:tcPr>
            <w:tcW w:w="1725" w:type="dxa"/>
            <w:tcBorders>
              <w:top w:val="nil"/>
              <w:left w:val="single" w:color="000000" w:sz="8" w:space="0"/>
              <w:bottom w:val="single" w:color="000000" w:sz="8" w:space="0"/>
              <w:right w:val="single" w:color="000000" w:sz="8" w:space="0"/>
            </w:tcBorders>
            <w:shd w:val="clear" w:color="auto" w:fill="auto"/>
            <w:vAlign w:val="center"/>
          </w:tcPr>
          <w:p w14:paraId="52B86BBB">
            <w:pPr>
              <w:jc w:val="center"/>
              <w:rPr>
                <w:rFonts w:hint="eastAsia" w:ascii="宋体" w:hAnsi="宋体" w:eastAsia="宋体" w:cs="宋体"/>
                <w:i w:val="0"/>
                <w:iCs w:val="0"/>
                <w:color w:val="auto"/>
                <w:sz w:val="21"/>
                <w:szCs w:val="21"/>
                <w:highlight w:val="none"/>
                <w:u w:val="none"/>
              </w:rPr>
            </w:pP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14:paraId="2CA94021">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Style w:val="31"/>
                <w:rFonts w:hint="eastAsia" w:ascii="宋体" w:hAnsi="宋体" w:eastAsia="宋体" w:cs="宋体"/>
                <w:color w:val="auto"/>
                <w:highlight w:val="none"/>
                <w:lang w:val="en-US" w:eastAsia="zh-CN" w:bidi="ar"/>
              </w:rPr>
              <w:t>3</w:t>
            </w:r>
            <w:r>
              <w:rPr>
                <w:rFonts w:hint="eastAsia" w:ascii="宋体" w:hAnsi="宋体" w:eastAsia="宋体" w:cs="宋体"/>
                <w:i w:val="0"/>
                <w:iCs w:val="0"/>
                <w:color w:val="auto"/>
                <w:kern w:val="0"/>
                <w:sz w:val="21"/>
                <w:szCs w:val="21"/>
                <w:highlight w:val="none"/>
                <w:u w:val="none"/>
                <w:lang w:val="en-US" w:eastAsia="zh-CN" w:bidi="ar"/>
              </w:rPr>
              <w:t>台</w:t>
            </w: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2786B79F">
            <w:pPr>
              <w:jc w:val="center"/>
              <w:rPr>
                <w:rFonts w:hint="eastAsia" w:ascii="宋体" w:hAnsi="宋体" w:eastAsia="宋体" w:cs="宋体"/>
                <w:i w:val="0"/>
                <w:iCs w:val="0"/>
                <w:color w:val="auto"/>
                <w:sz w:val="21"/>
                <w:szCs w:val="21"/>
                <w:highlight w:val="none"/>
                <w:u w:val="none"/>
              </w:rPr>
            </w:pPr>
          </w:p>
        </w:tc>
      </w:tr>
      <w:tr w14:paraId="751538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810" w:type="dxa"/>
            <w:tcBorders>
              <w:top w:val="nil"/>
              <w:left w:val="single" w:color="000000" w:sz="8" w:space="0"/>
              <w:bottom w:val="single" w:color="000000" w:sz="8" w:space="0"/>
              <w:right w:val="single" w:color="000000" w:sz="8" w:space="0"/>
            </w:tcBorders>
            <w:shd w:val="clear" w:color="auto" w:fill="auto"/>
            <w:vAlign w:val="center"/>
          </w:tcPr>
          <w:p w14:paraId="0808DF32">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w:t>
            </w:r>
          </w:p>
        </w:tc>
        <w:tc>
          <w:tcPr>
            <w:tcW w:w="4995" w:type="dxa"/>
            <w:tcBorders>
              <w:top w:val="nil"/>
              <w:left w:val="single" w:color="000000" w:sz="8" w:space="0"/>
              <w:bottom w:val="single" w:color="000000" w:sz="8" w:space="0"/>
              <w:right w:val="single" w:color="000000" w:sz="8" w:space="0"/>
            </w:tcBorders>
            <w:shd w:val="clear" w:color="auto" w:fill="auto"/>
            <w:vAlign w:val="center"/>
          </w:tcPr>
          <w:p w14:paraId="76D03013">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安全保护功能验证及调试</w:t>
            </w:r>
          </w:p>
        </w:tc>
        <w:tc>
          <w:tcPr>
            <w:tcW w:w="1725" w:type="dxa"/>
            <w:tcBorders>
              <w:top w:val="nil"/>
              <w:left w:val="single" w:color="000000" w:sz="8" w:space="0"/>
              <w:bottom w:val="single" w:color="000000" w:sz="8" w:space="0"/>
              <w:right w:val="single" w:color="000000" w:sz="8" w:space="0"/>
            </w:tcBorders>
            <w:shd w:val="clear" w:color="auto" w:fill="auto"/>
            <w:vAlign w:val="center"/>
          </w:tcPr>
          <w:p w14:paraId="5A5FA8CC">
            <w:pPr>
              <w:jc w:val="center"/>
              <w:rPr>
                <w:rFonts w:hint="eastAsia" w:ascii="宋体" w:hAnsi="宋体" w:eastAsia="宋体" w:cs="宋体"/>
                <w:i w:val="0"/>
                <w:iCs w:val="0"/>
                <w:color w:val="auto"/>
                <w:sz w:val="21"/>
                <w:szCs w:val="21"/>
                <w:highlight w:val="none"/>
                <w:u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2EEA9866">
            <w:pPr>
              <w:jc w:val="center"/>
              <w:rPr>
                <w:rFonts w:hint="eastAsia" w:ascii="宋体" w:hAnsi="宋体" w:eastAsia="宋体" w:cs="宋体"/>
                <w:i w:val="0"/>
                <w:iCs w:val="0"/>
                <w:color w:val="auto"/>
                <w:sz w:val="21"/>
                <w:szCs w:val="21"/>
                <w:highlight w:val="none"/>
                <w:u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022EFC70">
            <w:pPr>
              <w:jc w:val="center"/>
              <w:rPr>
                <w:rFonts w:hint="eastAsia" w:ascii="宋体" w:hAnsi="宋体" w:eastAsia="宋体" w:cs="宋体"/>
                <w:i w:val="0"/>
                <w:iCs w:val="0"/>
                <w:color w:val="auto"/>
                <w:sz w:val="21"/>
                <w:szCs w:val="21"/>
                <w:highlight w:val="none"/>
                <w:u w:val="none"/>
              </w:rPr>
            </w:pPr>
          </w:p>
        </w:tc>
      </w:tr>
      <w:tr w14:paraId="1DC81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810" w:type="dxa"/>
            <w:tcBorders>
              <w:top w:val="nil"/>
              <w:left w:val="single" w:color="000000" w:sz="8" w:space="0"/>
              <w:bottom w:val="single" w:color="000000" w:sz="8" w:space="0"/>
              <w:right w:val="single" w:color="000000" w:sz="8" w:space="0"/>
            </w:tcBorders>
            <w:shd w:val="clear" w:color="auto" w:fill="auto"/>
            <w:vAlign w:val="center"/>
          </w:tcPr>
          <w:p w14:paraId="1A2C41A3">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3</w:t>
            </w:r>
          </w:p>
        </w:tc>
        <w:tc>
          <w:tcPr>
            <w:tcW w:w="4995" w:type="dxa"/>
            <w:tcBorders>
              <w:top w:val="nil"/>
              <w:left w:val="single" w:color="000000" w:sz="8" w:space="0"/>
              <w:bottom w:val="single" w:color="000000" w:sz="8" w:space="0"/>
              <w:right w:val="single" w:color="000000" w:sz="8" w:space="0"/>
            </w:tcBorders>
            <w:shd w:val="clear" w:color="auto" w:fill="auto"/>
            <w:vAlign w:val="center"/>
          </w:tcPr>
          <w:p w14:paraId="64C54112">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燃烧机雾化盘清理</w:t>
            </w:r>
          </w:p>
        </w:tc>
        <w:tc>
          <w:tcPr>
            <w:tcW w:w="1725" w:type="dxa"/>
            <w:tcBorders>
              <w:top w:val="nil"/>
              <w:left w:val="single" w:color="000000" w:sz="8" w:space="0"/>
              <w:bottom w:val="single" w:color="000000" w:sz="8" w:space="0"/>
              <w:right w:val="single" w:color="000000" w:sz="8" w:space="0"/>
            </w:tcBorders>
            <w:shd w:val="clear" w:color="auto" w:fill="auto"/>
            <w:vAlign w:val="center"/>
          </w:tcPr>
          <w:p w14:paraId="336D4EE4">
            <w:pPr>
              <w:jc w:val="center"/>
              <w:rPr>
                <w:rFonts w:hint="eastAsia" w:ascii="宋体" w:hAnsi="宋体" w:eastAsia="宋体" w:cs="宋体"/>
                <w:i w:val="0"/>
                <w:iCs w:val="0"/>
                <w:color w:val="auto"/>
                <w:sz w:val="21"/>
                <w:szCs w:val="21"/>
                <w:highlight w:val="none"/>
                <w:u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23213F0E">
            <w:pPr>
              <w:jc w:val="center"/>
              <w:rPr>
                <w:rFonts w:hint="eastAsia" w:ascii="宋体" w:hAnsi="宋体" w:eastAsia="宋体" w:cs="宋体"/>
                <w:i w:val="0"/>
                <w:iCs w:val="0"/>
                <w:color w:val="auto"/>
                <w:sz w:val="21"/>
                <w:szCs w:val="21"/>
                <w:highlight w:val="none"/>
                <w:u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4AE8FC93">
            <w:pPr>
              <w:jc w:val="center"/>
              <w:rPr>
                <w:rFonts w:hint="eastAsia" w:ascii="宋体" w:hAnsi="宋体" w:eastAsia="宋体" w:cs="宋体"/>
                <w:i w:val="0"/>
                <w:iCs w:val="0"/>
                <w:color w:val="auto"/>
                <w:sz w:val="21"/>
                <w:szCs w:val="21"/>
                <w:highlight w:val="none"/>
                <w:u w:val="none"/>
              </w:rPr>
            </w:pPr>
          </w:p>
        </w:tc>
      </w:tr>
      <w:tr w14:paraId="74E83C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810" w:type="dxa"/>
            <w:tcBorders>
              <w:top w:val="nil"/>
              <w:left w:val="single" w:color="000000" w:sz="8" w:space="0"/>
              <w:bottom w:val="single" w:color="000000" w:sz="8" w:space="0"/>
              <w:right w:val="single" w:color="000000" w:sz="8" w:space="0"/>
            </w:tcBorders>
            <w:shd w:val="clear" w:color="auto" w:fill="auto"/>
            <w:vAlign w:val="center"/>
          </w:tcPr>
          <w:p w14:paraId="01365F16">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4</w:t>
            </w:r>
          </w:p>
        </w:tc>
        <w:tc>
          <w:tcPr>
            <w:tcW w:w="4995" w:type="dxa"/>
            <w:tcBorders>
              <w:top w:val="nil"/>
              <w:left w:val="single" w:color="000000" w:sz="8" w:space="0"/>
              <w:bottom w:val="single" w:color="000000" w:sz="8" w:space="0"/>
              <w:right w:val="single" w:color="000000" w:sz="8" w:space="0"/>
            </w:tcBorders>
            <w:shd w:val="clear" w:color="auto" w:fill="auto"/>
            <w:vAlign w:val="center"/>
          </w:tcPr>
          <w:p w14:paraId="712BF6FE">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点火电机清洗及校验</w:t>
            </w:r>
          </w:p>
        </w:tc>
        <w:tc>
          <w:tcPr>
            <w:tcW w:w="1725" w:type="dxa"/>
            <w:tcBorders>
              <w:top w:val="nil"/>
              <w:left w:val="single" w:color="000000" w:sz="8" w:space="0"/>
              <w:bottom w:val="single" w:color="000000" w:sz="8" w:space="0"/>
              <w:right w:val="single" w:color="000000" w:sz="8" w:space="0"/>
            </w:tcBorders>
            <w:shd w:val="clear" w:color="auto" w:fill="auto"/>
            <w:vAlign w:val="center"/>
          </w:tcPr>
          <w:p w14:paraId="5FB6507B">
            <w:pPr>
              <w:jc w:val="center"/>
              <w:rPr>
                <w:rFonts w:hint="eastAsia" w:ascii="宋体" w:hAnsi="宋体" w:eastAsia="宋体" w:cs="宋体"/>
                <w:i w:val="0"/>
                <w:iCs w:val="0"/>
                <w:color w:val="auto"/>
                <w:sz w:val="21"/>
                <w:szCs w:val="21"/>
                <w:highlight w:val="none"/>
                <w:u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2E5216FA">
            <w:pPr>
              <w:jc w:val="center"/>
              <w:rPr>
                <w:rFonts w:hint="eastAsia" w:ascii="宋体" w:hAnsi="宋体" w:eastAsia="宋体" w:cs="宋体"/>
                <w:i w:val="0"/>
                <w:iCs w:val="0"/>
                <w:color w:val="auto"/>
                <w:sz w:val="21"/>
                <w:szCs w:val="21"/>
                <w:highlight w:val="none"/>
                <w:u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3CAB8D31">
            <w:pPr>
              <w:jc w:val="center"/>
              <w:rPr>
                <w:rFonts w:hint="eastAsia" w:ascii="宋体" w:hAnsi="宋体" w:eastAsia="宋体" w:cs="宋体"/>
                <w:i w:val="0"/>
                <w:iCs w:val="0"/>
                <w:color w:val="auto"/>
                <w:sz w:val="21"/>
                <w:szCs w:val="21"/>
                <w:highlight w:val="none"/>
                <w:u w:val="none"/>
              </w:rPr>
            </w:pPr>
          </w:p>
        </w:tc>
      </w:tr>
      <w:tr w14:paraId="6708BD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810" w:type="dxa"/>
            <w:tcBorders>
              <w:top w:val="nil"/>
              <w:left w:val="single" w:color="000000" w:sz="8" w:space="0"/>
              <w:bottom w:val="single" w:color="000000" w:sz="8" w:space="0"/>
              <w:right w:val="single" w:color="000000" w:sz="8" w:space="0"/>
            </w:tcBorders>
            <w:shd w:val="clear" w:color="auto" w:fill="auto"/>
            <w:vAlign w:val="center"/>
          </w:tcPr>
          <w:p w14:paraId="45E0642F">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w:t>
            </w:r>
          </w:p>
        </w:tc>
        <w:tc>
          <w:tcPr>
            <w:tcW w:w="4995" w:type="dxa"/>
            <w:tcBorders>
              <w:top w:val="nil"/>
              <w:left w:val="single" w:color="000000" w:sz="8" w:space="0"/>
              <w:bottom w:val="single" w:color="000000" w:sz="8" w:space="0"/>
              <w:right w:val="single" w:color="000000" w:sz="8" w:space="0"/>
            </w:tcBorders>
            <w:shd w:val="clear" w:color="auto" w:fill="auto"/>
            <w:vAlign w:val="center"/>
          </w:tcPr>
          <w:p w14:paraId="62070766">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燃烧机喷嘴清洗</w:t>
            </w:r>
          </w:p>
        </w:tc>
        <w:tc>
          <w:tcPr>
            <w:tcW w:w="1725" w:type="dxa"/>
            <w:tcBorders>
              <w:top w:val="nil"/>
              <w:left w:val="single" w:color="000000" w:sz="8" w:space="0"/>
              <w:bottom w:val="single" w:color="000000" w:sz="8" w:space="0"/>
              <w:right w:val="single" w:color="000000" w:sz="8" w:space="0"/>
            </w:tcBorders>
            <w:shd w:val="clear" w:color="auto" w:fill="auto"/>
            <w:vAlign w:val="center"/>
          </w:tcPr>
          <w:p w14:paraId="237E58D5">
            <w:pPr>
              <w:jc w:val="center"/>
              <w:rPr>
                <w:rFonts w:hint="eastAsia" w:ascii="宋体" w:hAnsi="宋体" w:eastAsia="宋体" w:cs="宋体"/>
                <w:i w:val="0"/>
                <w:iCs w:val="0"/>
                <w:color w:val="auto"/>
                <w:sz w:val="21"/>
                <w:szCs w:val="21"/>
                <w:highlight w:val="none"/>
                <w:u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3FE426F4">
            <w:pPr>
              <w:jc w:val="center"/>
              <w:rPr>
                <w:rFonts w:hint="eastAsia" w:ascii="宋体" w:hAnsi="宋体" w:eastAsia="宋体" w:cs="宋体"/>
                <w:i w:val="0"/>
                <w:iCs w:val="0"/>
                <w:color w:val="auto"/>
                <w:sz w:val="21"/>
                <w:szCs w:val="21"/>
                <w:highlight w:val="none"/>
                <w:u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6B6CA114">
            <w:pPr>
              <w:jc w:val="center"/>
              <w:rPr>
                <w:rFonts w:hint="eastAsia" w:ascii="宋体" w:hAnsi="宋体" w:eastAsia="宋体" w:cs="宋体"/>
                <w:i w:val="0"/>
                <w:iCs w:val="0"/>
                <w:color w:val="auto"/>
                <w:sz w:val="21"/>
                <w:szCs w:val="21"/>
                <w:highlight w:val="none"/>
                <w:u w:val="none"/>
              </w:rPr>
            </w:pPr>
          </w:p>
        </w:tc>
      </w:tr>
      <w:tr w14:paraId="46858A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810" w:type="dxa"/>
            <w:tcBorders>
              <w:top w:val="nil"/>
              <w:left w:val="single" w:color="000000" w:sz="8" w:space="0"/>
              <w:bottom w:val="single" w:color="000000" w:sz="8" w:space="0"/>
              <w:right w:val="single" w:color="000000" w:sz="8" w:space="0"/>
            </w:tcBorders>
            <w:shd w:val="clear" w:color="auto" w:fill="auto"/>
            <w:vAlign w:val="center"/>
          </w:tcPr>
          <w:p w14:paraId="6B8376A9">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6</w:t>
            </w:r>
          </w:p>
        </w:tc>
        <w:tc>
          <w:tcPr>
            <w:tcW w:w="4995" w:type="dxa"/>
            <w:tcBorders>
              <w:top w:val="nil"/>
              <w:left w:val="single" w:color="000000" w:sz="8" w:space="0"/>
              <w:bottom w:val="single" w:color="000000" w:sz="8" w:space="0"/>
              <w:right w:val="single" w:color="000000" w:sz="8" w:space="0"/>
            </w:tcBorders>
            <w:shd w:val="clear" w:color="auto" w:fill="auto"/>
            <w:vAlign w:val="center"/>
          </w:tcPr>
          <w:p w14:paraId="685D4A55">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电离子棒的清洗（或电眼清理）</w:t>
            </w:r>
          </w:p>
        </w:tc>
        <w:tc>
          <w:tcPr>
            <w:tcW w:w="1725" w:type="dxa"/>
            <w:tcBorders>
              <w:top w:val="nil"/>
              <w:left w:val="single" w:color="000000" w:sz="8" w:space="0"/>
              <w:bottom w:val="single" w:color="000000" w:sz="8" w:space="0"/>
              <w:right w:val="single" w:color="000000" w:sz="8" w:space="0"/>
            </w:tcBorders>
            <w:shd w:val="clear" w:color="auto" w:fill="auto"/>
            <w:vAlign w:val="center"/>
          </w:tcPr>
          <w:p w14:paraId="22344407">
            <w:pPr>
              <w:jc w:val="center"/>
              <w:rPr>
                <w:rFonts w:hint="eastAsia" w:ascii="宋体" w:hAnsi="宋体" w:eastAsia="宋体" w:cs="宋体"/>
                <w:i w:val="0"/>
                <w:iCs w:val="0"/>
                <w:color w:val="auto"/>
                <w:sz w:val="21"/>
                <w:szCs w:val="21"/>
                <w:highlight w:val="none"/>
                <w:u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7BB409FB">
            <w:pPr>
              <w:jc w:val="center"/>
              <w:rPr>
                <w:rFonts w:hint="eastAsia" w:ascii="宋体" w:hAnsi="宋体" w:eastAsia="宋体" w:cs="宋体"/>
                <w:i w:val="0"/>
                <w:iCs w:val="0"/>
                <w:color w:val="auto"/>
                <w:sz w:val="21"/>
                <w:szCs w:val="21"/>
                <w:highlight w:val="none"/>
                <w:u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6D3235FE">
            <w:pPr>
              <w:jc w:val="center"/>
              <w:rPr>
                <w:rFonts w:hint="eastAsia" w:ascii="宋体" w:hAnsi="宋体" w:eastAsia="宋体" w:cs="宋体"/>
                <w:i w:val="0"/>
                <w:iCs w:val="0"/>
                <w:color w:val="auto"/>
                <w:sz w:val="21"/>
                <w:szCs w:val="21"/>
                <w:highlight w:val="none"/>
                <w:u w:val="none"/>
              </w:rPr>
            </w:pPr>
          </w:p>
        </w:tc>
      </w:tr>
      <w:tr w14:paraId="2DF2C0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810" w:type="dxa"/>
            <w:tcBorders>
              <w:top w:val="nil"/>
              <w:left w:val="single" w:color="000000" w:sz="8" w:space="0"/>
              <w:bottom w:val="single" w:color="000000" w:sz="8" w:space="0"/>
              <w:right w:val="single" w:color="000000" w:sz="8" w:space="0"/>
            </w:tcBorders>
            <w:shd w:val="clear" w:color="auto" w:fill="auto"/>
            <w:vAlign w:val="center"/>
          </w:tcPr>
          <w:p w14:paraId="4DC490C2">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7</w:t>
            </w:r>
          </w:p>
        </w:tc>
        <w:tc>
          <w:tcPr>
            <w:tcW w:w="4995" w:type="dxa"/>
            <w:tcBorders>
              <w:top w:val="nil"/>
              <w:left w:val="single" w:color="000000" w:sz="8" w:space="0"/>
              <w:bottom w:val="single" w:color="000000" w:sz="8" w:space="0"/>
              <w:right w:val="single" w:color="000000" w:sz="8" w:space="0"/>
            </w:tcBorders>
            <w:shd w:val="clear" w:color="auto" w:fill="auto"/>
            <w:vAlign w:val="center"/>
          </w:tcPr>
          <w:p w14:paraId="273FDD3C">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电磁阀的校验</w:t>
            </w:r>
          </w:p>
        </w:tc>
        <w:tc>
          <w:tcPr>
            <w:tcW w:w="1725" w:type="dxa"/>
            <w:tcBorders>
              <w:top w:val="nil"/>
              <w:left w:val="single" w:color="000000" w:sz="8" w:space="0"/>
              <w:bottom w:val="single" w:color="000000" w:sz="8" w:space="0"/>
              <w:right w:val="single" w:color="000000" w:sz="8" w:space="0"/>
            </w:tcBorders>
            <w:shd w:val="clear" w:color="auto" w:fill="auto"/>
            <w:vAlign w:val="center"/>
          </w:tcPr>
          <w:p w14:paraId="069B7556">
            <w:pPr>
              <w:jc w:val="center"/>
              <w:rPr>
                <w:rFonts w:hint="eastAsia" w:ascii="宋体" w:hAnsi="宋体" w:eastAsia="宋体" w:cs="宋体"/>
                <w:i w:val="0"/>
                <w:iCs w:val="0"/>
                <w:color w:val="auto"/>
                <w:sz w:val="21"/>
                <w:szCs w:val="21"/>
                <w:highlight w:val="none"/>
                <w:u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5E89F9D2">
            <w:pPr>
              <w:jc w:val="center"/>
              <w:rPr>
                <w:rFonts w:hint="eastAsia" w:ascii="宋体" w:hAnsi="宋体" w:eastAsia="宋体" w:cs="宋体"/>
                <w:i w:val="0"/>
                <w:iCs w:val="0"/>
                <w:color w:val="auto"/>
                <w:sz w:val="21"/>
                <w:szCs w:val="21"/>
                <w:highlight w:val="none"/>
                <w:u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370658B9">
            <w:pPr>
              <w:jc w:val="center"/>
              <w:rPr>
                <w:rFonts w:hint="eastAsia" w:ascii="宋体" w:hAnsi="宋体" w:eastAsia="宋体" w:cs="宋体"/>
                <w:i w:val="0"/>
                <w:iCs w:val="0"/>
                <w:color w:val="auto"/>
                <w:sz w:val="21"/>
                <w:szCs w:val="21"/>
                <w:highlight w:val="none"/>
                <w:u w:val="none"/>
              </w:rPr>
            </w:pPr>
          </w:p>
        </w:tc>
      </w:tr>
      <w:tr w14:paraId="6066D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810" w:type="dxa"/>
            <w:tcBorders>
              <w:top w:val="nil"/>
              <w:left w:val="single" w:color="000000" w:sz="8" w:space="0"/>
              <w:bottom w:val="single" w:color="000000" w:sz="8" w:space="0"/>
              <w:right w:val="single" w:color="000000" w:sz="8" w:space="0"/>
            </w:tcBorders>
            <w:shd w:val="clear" w:color="auto" w:fill="auto"/>
            <w:vAlign w:val="center"/>
          </w:tcPr>
          <w:p w14:paraId="0BBAAA94">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三、</w:t>
            </w:r>
          </w:p>
        </w:tc>
        <w:tc>
          <w:tcPr>
            <w:tcW w:w="4995" w:type="dxa"/>
            <w:tcBorders>
              <w:top w:val="nil"/>
              <w:left w:val="single" w:color="000000" w:sz="8" w:space="0"/>
              <w:bottom w:val="single" w:color="000000" w:sz="8" w:space="0"/>
              <w:right w:val="single" w:color="000000" w:sz="8" w:space="0"/>
            </w:tcBorders>
            <w:shd w:val="clear" w:color="auto" w:fill="auto"/>
            <w:vAlign w:val="center"/>
          </w:tcPr>
          <w:p w14:paraId="0F135452">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炉膛、烟管铁锈或积碳清理</w:t>
            </w:r>
          </w:p>
        </w:tc>
        <w:tc>
          <w:tcPr>
            <w:tcW w:w="1725" w:type="dxa"/>
            <w:tcBorders>
              <w:top w:val="nil"/>
              <w:left w:val="single" w:color="000000" w:sz="8" w:space="0"/>
              <w:bottom w:val="single" w:color="000000" w:sz="8" w:space="0"/>
              <w:right w:val="single" w:color="000000" w:sz="8" w:space="0"/>
            </w:tcBorders>
            <w:shd w:val="clear" w:color="auto" w:fill="auto"/>
            <w:vAlign w:val="center"/>
          </w:tcPr>
          <w:p w14:paraId="37D06C7D">
            <w:pPr>
              <w:jc w:val="center"/>
              <w:rPr>
                <w:rFonts w:hint="eastAsia" w:ascii="宋体" w:hAnsi="宋体" w:eastAsia="宋体" w:cs="宋体"/>
                <w:i w:val="0"/>
                <w:iCs w:val="0"/>
                <w:color w:val="auto"/>
                <w:sz w:val="21"/>
                <w:szCs w:val="21"/>
                <w:highlight w:val="none"/>
                <w:u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5BC556E9">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Style w:val="31"/>
                <w:rFonts w:hint="eastAsia" w:ascii="宋体" w:hAnsi="宋体" w:eastAsia="宋体" w:cs="宋体"/>
                <w:color w:val="auto"/>
                <w:highlight w:val="none"/>
                <w:lang w:val="en-US" w:eastAsia="zh-CN" w:bidi="ar"/>
              </w:rPr>
              <w:t>3</w:t>
            </w:r>
            <w:r>
              <w:rPr>
                <w:rFonts w:hint="eastAsia" w:ascii="宋体" w:hAnsi="宋体" w:eastAsia="宋体" w:cs="宋体"/>
                <w:i w:val="0"/>
                <w:iCs w:val="0"/>
                <w:color w:val="auto"/>
                <w:kern w:val="0"/>
                <w:sz w:val="21"/>
                <w:szCs w:val="21"/>
                <w:highlight w:val="none"/>
                <w:u w:val="none"/>
                <w:lang w:val="en-US" w:eastAsia="zh-CN" w:bidi="ar"/>
              </w:rPr>
              <w:t>台</w:t>
            </w: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477C3AA8">
            <w:pPr>
              <w:jc w:val="center"/>
              <w:rPr>
                <w:rFonts w:hint="eastAsia" w:ascii="宋体" w:hAnsi="宋体" w:eastAsia="宋体" w:cs="宋体"/>
                <w:i w:val="0"/>
                <w:iCs w:val="0"/>
                <w:color w:val="auto"/>
                <w:sz w:val="21"/>
                <w:szCs w:val="21"/>
                <w:highlight w:val="none"/>
                <w:u w:val="none"/>
              </w:rPr>
            </w:pPr>
          </w:p>
        </w:tc>
      </w:tr>
      <w:tr w14:paraId="195A1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810" w:type="dxa"/>
            <w:tcBorders>
              <w:top w:val="nil"/>
              <w:left w:val="single" w:color="000000" w:sz="8" w:space="0"/>
              <w:bottom w:val="single" w:color="000000" w:sz="8" w:space="0"/>
              <w:right w:val="single" w:color="000000" w:sz="8" w:space="0"/>
            </w:tcBorders>
            <w:shd w:val="clear" w:color="auto" w:fill="auto"/>
            <w:vAlign w:val="center"/>
          </w:tcPr>
          <w:p w14:paraId="5B145D0A">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四、</w:t>
            </w:r>
          </w:p>
        </w:tc>
        <w:tc>
          <w:tcPr>
            <w:tcW w:w="4995" w:type="dxa"/>
            <w:tcBorders>
              <w:top w:val="nil"/>
              <w:left w:val="single" w:color="000000" w:sz="8" w:space="0"/>
              <w:bottom w:val="single" w:color="000000" w:sz="8" w:space="0"/>
              <w:right w:val="single" w:color="000000" w:sz="8" w:space="0"/>
            </w:tcBorders>
            <w:shd w:val="clear" w:color="auto" w:fill="auto"/>
            <w:vAlign w:val="center"/>
          </w:tcPr>
          <w:p w14:paraId="7E35F9BD">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锅炉煮炉药剂</w:t>
            </w:r>
          </w:p>
        </w:tc>
        <w:tc>
          <w:tcPr>
            <w:tcW w:w="1725" w:type="dxa"/>
            <w:tcBorders>
              <w:top w:val="nil"/>
              <w:left w:val="single" w:color="000000" w:sz="8" w:space="0"/>
              <w:bottom w:val="single" w:color="000000" w:sz="8" w:space="0"/>
              <w:right w:val="single" w:color="000000" w:sz="8" w:space="0"/>
            </w:tcBorders>
            <w:shd w:val="clear" w:color="auto" w:fill="auto"/>
            <w:vAlign w:val="center"/>
          </w:tcPr>
          <w:p w14:paraId="48681A88">
            <w:pPr>
              <w:jc w:val="center"/>
              <w:rPr>
                <w:rFonts w:hint="eastAsia" w:ascii="宋体" w:hAnsi="宋体" w:eastAsia="宋体" w:cs="宋体"/>
                <w:i w:val="0"/>
                <w:iCs w:val="0"/>
                <w:color w:val="auto"/>
                <w:sz w:val="21"/>
                <w:szCs w:val="21"/>
                <w:highlight w:val="none"/>
                <w:u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7F8C63FF">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Style w:val="31"/>
                <w:rFonts w:hint="eastAsia" w:ascii="宋体" w:hAnsi="宋体" w:eastAsia="宋体" w:cs="宋体"/>
                <w:color w:val="auto"/>
                <w:highlight w:val="none"/>
                <w:lang w:val="en-US" w:eastAsia="zh-CN" w:bidi="ar"/>
              </w:rPr>
              <w:t>12</w:t>
            </w:r>
            <w:r>
              <w:rPr>
                <w:rFonts w:hint="eastAsia" w:ascii="宋体" w:hAnsi="宋体" w:eastAsia="宋体" w:cs="宋体"/>
                <w:i w:val="0"/>
                <w:iCs w:val="0"/>
                <w:color w:val="auto"/>
                <w:kern w:val="0"/>
                <w:sz w:val="21"/>
                <w:szCs w:val="21"/>
                <w:highlight w:val="none"/>
                <w:u w:val="none"/>
                <w:lang w:val="en-US" w:eastAsia="zh-CN" w:bidi="ar"/>
              </w:rPr>
              <w:t>桶</w:t>
            </w: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49A73FEA">
            <w:pPr>
              <w:jc w:val="center"/>
              <w:rPr>
                <w:rFonts w:hint="eastAsia" w:ascii="宋体" w:hAnsi="宋体" w:eastAsia="宋体" w:cs="宋体"/>
                <w:i w:val="0"/>
                <w:iCs w:val="0"/>
                <w:color w:val="auto"/>
                <w:sz w:val="21"/>
                <w:szCs w:val="21"/>
                <w:highlight w:val="none"/>
                <w:u w:val="none"/>
              </w:rPr>
            </w:pPr>
          </w:p>
        </w:tc>
      </w:tr>
      <w:tr w14:paraId="1EB26C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810" w:type="dxa"/>
            <w:tcBorders>
              <w:top w:val="nil"/>
              <w:left w:val="single" w:color="000000" w:sz="8" w:space="0"/>
              <w:bottom w:val="single" w:color="000000" w:sz="8" w:space="0"/>
              <w:right w:val="single" w:color="000000" w:sz="8" w:space="0"/>
            </w:tcBorders>
            <w:shd w:val="clear" w:color="auto" w:fill="auto"/>
            <w:vAlign w:val="center"/>
          </w:tcPr>
          <w:p w14:paraId="22684CAC">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五、</w:t>
            </w:r>
          </w:p>
        </w:tc>
        <w:tc>
          <w:tcPr>
            <w:tcW w:w="7800" w:type="dxa"/>
            <w:gridSpan w:val="3"/>
            <w:tcBorders>
              <w:top w:val="nil"/>
              <w:left w:val="single" w:color="000000" w:sz="8" w:space="0"/>
              <w:bottom w:val="single" w:color="000000" w:sz="8" w:space="0"/>
              <w:right w:val="single" w:color="000000" w:sz="8" w:space="0"/>
            </w:tcBorders>
            <w:shd w:val="clear" w:color="auto" w:fill="auto"/>
            <w:vAlign w:val="center"/>
          </w:tcPr>
          <w:p w14:paraId="2782089E">
            <w:pPr>
              <w:keepNext w:val="0"/>
              <w:keepLines w:val="0"/>
              <w:widowControl/>
              <w:suppressLineNumbers w:val="0"/>
              <w:jc w:val="righ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合计（含税）</w:t>
            </w: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524F11D2">
            <w:pPr>
              <w:jc w:val="center"/>
              <w:rPr>
                <w:rFonts w:hint="eastAsia" w:ascii="宋体" w:hAnsi="宋体" w:eastAsia="宋体" w:cs="宋体"/>
                <w:i w:val="0"/>
                <w:iCs w:val="0"/>
                <w:color w:val="auto"/>
                <w:sz w:val="21"/>
                <w:szCs w:val="21"/>
                <w:highlight w:val="none"/>
                <w:u w:val="none"/>
              </w:rPr>
            </w:pPr>
          </w:p>
        </w:tc>
      </w:tr>
    </w:tbl>
    <w:p w14:paraId="12A053C7">
      <w:pPr>
        <w:shd w:val="clear"/>
        <w:spacing w:line="440" w:lineRule="exact"/>
        <w:jc w:val="both"/>
        <w:rPr>
          <w:rFonts w:hint="eastAsia" w:ascii="宋体" w:hAnsi="宋体" w:cs="宋体"/>
          <w:b w:val="0"/>
          <w:bCs/>
          <w:color w:val="auto"/>
          <w:sz w:val="24"/>
          <w:szCs w:val="24"/>
          <w:highlight w:val="none"/>
          <w:lang w:val="en-US" w:eastAsia="zh-CN"/>
        </w:rPr>
      </w:pPr>
      <w:r>
        <w:rPr>
          <w:rFonts w:hint="eastAsia" w:ascii="宋体" w:hAnsi="宋体" w:cs="宋体"/>
          <w:b/>
          <w:bCs w:val="0"/>
          <w:color w:val="auto"/>
          <w:sz w:val="24"/>
          <w:szCs w:val="24"/>
          <w:highlight w:val="none"/>
          <w:lang w:val="en-US" w:eastAsia="zh-CN"/>
        </w:rPr>
        <w:t>2、锅炉配件报价清单（视招标结果而定）</w:t>
      </w:r>
    </w:p>
    <w:p w14:paraId="6E9F6817">
      <w:pPr>
        <w:numPr>
          <w:ilvl w:val="0"/>
          <w:numId w:val="0"/>
        </w:numPr>
        <w:shd w:val="clear"/>
        <w:spacing w:line="360" w:lineRule="auto"/>
        <w:rPr>
          <w:rFonts w:hint="default" w:ascii="宋体" w:hAnsi="宋体" w:cs="宋体"/>
          <w:b w:val="0"/>
          <w:bCs/>
          <w:color w:val="auto"/>
          <w:sz w:val="24"/>
          <w:szCs w:val="24"/>
          <w:highlight w:val="none"/>
          <w:lang w:val="en-US" w:eastAsia="zh-CN"/>
        </w:rPr>
      </w:pPr>
    </w:p>
    <w:p w14:paraId="5E36D879">
      <w:pPr>
        <w:numPr>
          <w:ilvl w:val="0"/>
          <w:numId w:val="0"/>
        </w:numPr>
        <w:shd w:val="clear"/>
        <w:spacing w:line="360" w:lineRule="auto"/>
        <w:rPr>
          <w:rFonts w:hint="default" w:ascii="宋体" w:hAnsi="宋体" w:cs="宋体"/>
          <w:b w:val="0"/>
          <w:bCs/>
          <w:color w:val="auto"/>
          <w:sz w:val="24"/>
          <w:szCs w:val="24"/>
          <w:highlight w:val="none"/>
          <w:lang w:val="en-US" w:eastAsia="zh-CN"/>
        </w:rPr>
      </w:pPr>
    </w:p>
    <w:p w14:paraId="2C886136">
      <w:pPr>
        <w:numPr>
          <w:ilvl w:val="0"/>
          <w:numId w:val="0"/>
        </w:numPr>
        <w:shd w:val="clear"/>
        <w:spacing w:line="360" w:lineRule="auto"/>
        <w:rPr>
          <w:rFonts w:hint="default" w:ascii="宋体" w:hAnsi="宋体" w:cs="宋体"/>
          <w:b w:val="0"/>
          <w:bCs/>
          <w:color w:val="auto"/>
          <w:sz w:val="24"/>
          <w:szCs w:val="24"/>
          <w:highlight w:val="none"/>
          <w:lang w:val="en-US" w:eastAsia="zh-CN"/>
        </w:rPr>
      </w:pPr>
    </w:p>
    <w:p w14:paraId="29F2AFFB">
      <w:pPr>
        <w:shd w:val="clear"/>
        <w:spacing w:line="440" w:lineRule="exact"/>
        <w:rPr>
          <w:rFonts w:hint="eastAsia" w:ascii="宋体" w:hAnsi="宋体" w:eastAsia="宋体" w:cs="宋体"/>
          <w:b/>
          <w:color w:val="auto"/>
          <w:sz w:val="32"/>
          <w:szCs w:val="32"/>
          <w:highlight w:val="none"/>
          <w:lang w:val="en-US" w:eastAsia="zh-CN"/>
        </w:rPr>
      </w:pPr>
    </w:p>
    <w:p w14:paraId="7E9066F2">
      <w:pPr>
        <w:shd w:val="clear"/>
        <w:spacing w:line="440" w:lineRule="exact"/>
        <w:outlineLvl w:val="0"/>
        <w:rPr>
          <w:rFonts w:hint="eastAsia" w:ascii="宋体" w:hAnsi="宋体" w:eastAsia="宋体" w:cs="宋体"/>
          <w:b/>
          <w:color w:val="auto"/>
          <w:sz w:val="24"/>
          <w:szCs w:val="24"/>
          <w:highlight w:val="none"/>
        </w:rPr>
      </w:pPr>
      <w:bookmarkStart w:id="16" w:name="_Toc26451"/>
      <w:r>
        <w:rPr>
          <w:rFonts w:hint="eastAsia" w:ascii="宋体" w:hAnsi="宋体" w:eastAsia="宋体" w:cs="宋体"/>
          <w:b/>
          <w:color w:val="auto"/>
          <w:sz w:val="24"/>
          <w:szCs w:val="24"/>
          <w:highlight w:val="none"/>
          <w:lang w:val="en-US" w:eastAsia="zh-CN"/>
        </w:rPr>
        <w:t>附件二：维保要求</w:t>
      </w:r>
      <w:bookmarkEnd w:id="16"/>
    </w:p>
    <w:p w14:paraId="5FFDBB96">
      <w:pPr>
        <w:keepNext w:val="0"/>
        <w:keepLines w:val="0"/>
        <w:pageBreakBefore w:val="0"/>
        <w:widowControl w:val="0"/>
        <w:kinsoku/>
        <w:wordWrap/>
        <w:overflowPunct/>
        <w:topLinePunct w:val="0"/>
        <w:autoSpaceDE/>
        <w:autoSpaceDN/>
        <w:bidi w:val="0"/>
        <w:adjustRightInd/>
        <w:snapToGrid/>
        <w:spacing w:line="480" w:lineRule="exact"/>
        <w:textAlignment w:val="auto"/>
        <w:outlineLvl w:val="0"/>
        <w:rPr>
          <w:rFonts w:hint="eastAsia" w:ascii="宋体" w:hAnsi="宋体" w:eastAsia="宋体" w:cs="宋体"/>
          <w:b/>
          <w:bCs/>
          <w:color w:val="auto"/>
          <w:sz w:val="24"/>
          <w:szCs w:val="24"/>
          <w:highlight w:val="none"/>
        </w:rPr>
      </w:pPr>
      <w:bookmarkStart w:id="17" w:name="_Toc16675"/>
      <w:r>
        <w:rPr>
          <w:rFonts w:hint="eastAsia" w:ascii="宋体" w:hAnsi="宋体" w:eastAsia="宋体" w:cs="宋体"/>
          <w:b/>
          <w:bCs/>
          <w:color w:val="auto"/>
          <w:sz w:val="24"/>
          <w:szCs w:val="24"/>
          <w:highlight w:val="none"/>
        </w:rPr>
        <w:t>一．维护服务方案</w:t>
      </w:r>
      <w:bookmarkEnd w:id="17"/>
    </w:p>
    <w:p w14:paraId="7D127BE0">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1．定期巡检（供暖季节每半月一次，非供暖季节每两月一次）</w:t>
      </w:r>
    </w:p>
    <w:p w14:paraId="50E51AC3">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1.1</w:t>
      </w:r>
      <w:r>
        <w:rPr>
          <w:rFonts w:hint="eastAsia" w:ascii="宋体" w:hAnsi="宋体" w:eastAsia="宋体" w:cs="宋体"/>
          <w:color w:val="auto"/>
          <w:sz w:val="24"/>
          <w:szCs w:val="24"/>
          <w:highlight w:val="none"/>
        </w:rPr>
        <w:t>．与设备管理技术人员进行系统的技术交流和工作沟通。</w:t>
      </w:r>
    </w:p>
    <w:p w14:paraId="0F7EA317">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rPr>
        <w:t>．对锅炉故障隐患进行预前检查和排除。</w:t>
      </w:r>
    </w:p>
    <w:p w14:paraId="2B990437">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1.3</w:t>
      </w:r>
      <w:r>
        <w:rPr>
          <w:rFonts w:hint="eastAsia" w:ascii="宋体" w:hAnsi="宋体" w:eastAsia="宋体" w:cs="宋体"/>
          <w:color w:val="auto"/>
          <w:sz w:val="24"/>
          <w:szCs w:val="24"/>
          <w:highlight w:val="none"/>
        </w:rPr>
        <w:t>．分析调试锅炉运转状况，尽可能使锅炉运行高效节能、安全环保。</w:t>
      </w:r>
    </w:p>
    <w:p w14:paraId="55576AD5">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2．故障处理</w:t>
      </w:r>
    </w:p>
    <w:p w14:paraId="0AF71685">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乙方提供</w:t>
      </w:r>
      <w:r>
        <w:rPr>
          <w:rFonts w:hint="eastAsia" w:ascii="宋体" w:hAnsi="宋体" w:eastAsia="宋体" w:cs="宋体"/>
          <w:color w:val="auto"/>
          <w:sz w:val="24"/>
          <w:szCs w:val="24"/>
          <w:highlight w:val="none"/>
        </w:rPr>
        <w:t>24小时服务，保证接到报修通知后即以4小时内赴现场予以高效解决与处理，将故障损失控制在最低限度。</w:t>
      </w:r>
    </w:p>
    <w:p w14:paraId="40B9D303">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3．年度保养</w:t>
      </w:r>
    </w:p>
    <w:p w14:paraId="0A42653C">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3.1</w:t>
      </w:r>
      <w:r>
        <w:rPr>
          <w:rFonts w:hint="eastAsia" w:ascii="宋体" w:hAnsi="宋体" w:eastAsia="宋体" w:cs="宋体"/>
          <w:color w:val="auto"/>
          <w:sz w:val="24"/>
          <w:szCs w:val="24"/>
          <w:highlight w:val="none"/>
        </w:rPr>
        <w:t>．锅炉本体维护保养</w:t>
      </w:r>
    </w:p>
    <w:p w14:paraId="0176F55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打开锅炉各清洁口，观察每台锅炉火侧的积碳和积灰状况，分析产生原因，作出相应的维护保养措施，然后进行相应的清洁、维护保养；检查燃烧筒保温隔热层，根据实际使用状况确定紧固或更换保温隔热层；对锅炉水侧情况观察了解后，针对每台锅炉的腐蚀和结垢情况，提出改进意见或建议。</w:t>
      </w:r>
    </w:p>
    <w:p w14:paraId="3E2BEEB8">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3.2</w:t>
      </w:r>
      <w:r>
        <w:rPr>
          <w:rFonts w:hint="eastAsia" w:ascii="宋体" w:hAnsi="宋体" w:eastAsia="宋体" w:cs="宋体"/>
          <w:color w:val="auto"/>
          <w:sz w:val="24"/>
          <w:szCs w:val="24"/>
          <w:highlight w:val="none"/>
        </w:rPr>
        <w:t>．燃烧机维护保养</w:t>
      </w:r>
    </w:p>
    <w:p w14:paraId="7899E472">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经对燃烧机的拆卸、检查，对燃烧机下列部件做如下维护保养：</w:t>
      </w:r>
    </w:p>
    <w:p w14:paraId="7F5787A4">
      <w:pPr>
        <w:keepNext w:val="0"/>
        <w:keepLines w:val="0"/>
        <w:pageBreakBefore w:val="0"/>
        <w:widowControl w:val="0"/>
        <w:numPr>
          <w:ilvl w:val="0"/>
          <w:numId w:val="3"/>
        </w:numPr>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清洁燃烧机本体。</w:t>
      </w:r>
    </w:p>
    <w:p w14:paraId="2FF73322">
      <w:pPr>
        <w:keepNext w:val="0"/>
        <w:keepLines w:val="0"/>
        <w:pageBreakBefore w:val="0"/>
        <w:widowControl w:val="0"/>
        <w:numPr>
          <w:ilvl w:val="0"/>
          <w:numId w:val="3"/>
        </w:numPr>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清洗燃烧机喷嘴。</w:t>
      </w:r>
    </w:p>
    <w:p w14:paraId="3B981B98">
      <w:pPr>
        <w:keepNext w:val="0"/>
        <w:keepLines w:val="0"/>
        <w:pageBreakBefore w:val="0"/>
        <w:widowControl w:val="0"/>
        <w:numPr>
          <w:ilvl w:val="0"/>
          <w:numId w:val="3"/>
        </w:numPr>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清洗燃烧机燃气过滤器。</w:t>
      </w:r>
    </w:p>
    <w:p w14:paraId="04A42121">
      <w:pPr>
        <w:keepNext w:val="0"/>
        <w:keepLines w:val="0"/>
        <w:pageBreakBefore w:val="0"/>
        <w:widowControl w:val="0"/>
        <w:numPr>
          <w:ilvl w:val="0"/>
          <w:numId w:val="3"/>
        </w:numPr>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燃烧机风机及风门伺服机构进行清洁、润滑及紧固检查。</w:t>
      </w:r>
    </w:p>
    <w:p w14:paraId="2CC78A1C">
      <w:pPr>
        <w:keepNext w:val="0"/>
        <w:keepLines w:val="0"/>
        <w:pageBreakBefore w:val="0"/>
        <w:widowControl w:val="0"/>
        <w:numPr>
          <w:ilvl w:val="0"/>
          <w:numId w:val="3"/>
        </w:numPr>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对伺服机构零位及最大限位调整，使空气蝶板转动准确灵活。</w:t>
      </w:r>
    </w:p>
    <w:p w14:paraId="2872C8C5">
      <w:pPr>
        <w:keepNext w:val="0"/>
        <w:keepLines w:val="0"/>
        <w:pageBreakBefore w:val="0"/>
        <w:widowControl w:val="0"/>
        <w:numPr>
          <w:ilvl w:val="0"/>
          <w:numId w:val="3"/>
        </w:numPr>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检查电磁阀是否严密。</w:t>
      </w:r>
    </w:p>
    <w:p w14:paraId="04A981FA">
      <w:pPr>
        <w:keepNext w:val="0"/>
        <w:keepLines w:val="0"/>
        <w:pageBreakBefore w:val="0"/>
        <w:widowControl w:val="0"/>
        <w:numPr>
          <w:ilvl w:val="0"/>
          <w:numId w:val="3"/>
        </w:numPr>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打开并吹刷风压开关、风门限位开关、各压力限定器积尘。检查并重新紧固接线端子，手动调零并根据实际运行情况重新调整或调至设定值。</w:t>
      </w:r>
    </w:p>
    <w:p w14:paraId="3107D976">
      <w:pPr>
        <w:keepNext w:val="0"/>
        <w:keepLines w:val="0"/>
        <w:pageBreakBefore w:val="0"/>
        <w:widowControl w:val="0"/>
        <w:numPr>
          <w:ilvl w:val="0"/>
          <w:numId w:val="3"/>
        </w:numPr>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检查程序控制器的工作程序及每一程序的位置落点是否准确，避免提前点火或置后点火等情况的发生。</w:t>
      </w:r>
    </w:p>
    <w:p w14:paraId="4E2C64B0">
      <w:pPr>
        <w:keepNext w:val="0"/>
        <w:keepLines w:val="0"/>
        <w:pageBreakBefore w:val="0"/>
        <w:widowControl w:val="0"/>
        <w:numPr>
          <w:ilvl w:val="0"/>
          <w:numId w:val="3"/>
        </w:numPr>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检查并吹刷电离棒表面积灰和老化情况，检查并调整电离棒距火焰的位置，以保障运行过程中接收控制电流及保证中途熄火或点火未成功时控制系统及时切断燃料的供给</w:t>
      </w:r>
      <w:r>
        <w:rPr>
          <w:rFonts w:hint="eastAsia" w:ascii="宋体" w:hAnsi="宋体" w:cs="宋体"/>
          <w:color w:val="auto"/>
          <w:sz w:val="24"/>
          <w:szCs w:val="24"/>
          <w:highlight w:val="none"/>
          <w:lang w:eastAsia="zh-CN"/>
        </w:rPr>
        <w:t>。</w:t>
      </w:r>
    </w:p>
    <w:p w14:paraId="6C80BB5F">
      <w:pPr>
        <w:keepNext w:val="0"/>
        <w:keepLines w:val="0"/>
        <w:pageBreakBefore w:val="0"/>
        <w:widowControl w:val="0"/>
        <w:numPr>
          <w:ilvl w:val="0"/>
          <w:numId w:val="3"/>
        </w:numPr>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检查点火电极是否积碳积尘，相对位置是否合理、点火变压器工作状况等。</w:t>
      </w:r>
    </w:p>
    <w:p w14:paraId="388320C9">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3.3.</w:t>
      </w:r>
      <w:r>
        <w:rPr>
          <w:rFonts w:hint="eastAsia" w:ascii="宋体" w:hAnsi="宋体" w:eastAsia="宋体" w:cs="宋体"/>
          <w:color w:val="auto"/>
          <w:sz w:val="24"/>
          <w:szCs w:val="24"/>
          <w:highlight w:val="none"/>
        </w:rPr>
        <w:t>锅炉控制系统维护保养</w:t>
      </w:r>
    </w:p>
    <w:p w14:paraId="5717EF5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对锅炉控制元件做如下维护保养：</w:t>
      </w:r>
    </w:p>
    <w:p w14:paraId="779E7003">
      <w:pPr>
        <w:keepNext w:val="0"/>
        <w:keepLines w:val="0"/>
        <w:pageBreakBefore w:val="0"/>
        <w:widowControl w:val="0"/>
        <w:kinsoku/>
        <w:wordWrap/>
        <w:overflowPunct/>
        <w:topLinePunct w:val="0"/>
        <w:autoSpaceDE/>
        <w:autoSpaceDN/>
        <w:bidi w:val="0"/>
        <w:adjustRightInd/>
        <w:snapToGrid/>
        <w:spacing w:line="480" w:lineRule="exact"/>
        <w:ind w:left="0" w:leftChars="0" w:firstLine="547" w:firstLineChars="228"/>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水位限定器、安全温度限定器、最高压力限定器、最低压力限定器、锅炉出水温度传感器，回水温度传感器，烟气温度传感器等进行清洗保养。同时检查配线并其灵敏程度。</w:t>
      </w:r>
    </w:p>
    <w:p w14:paraId="36235A93">
      <w:pPr>
        <w:keepNext w:val="0"/>
        <w:keepLines w:val="0"/>
        <w:pageBreakBefore w:val="0"/>
        <w:widowControl w:val="0"/>
        <w:kinsoku/>
        <w:wordWrap/>
        <w:overflowPunct/>
        <w:topLinePunct w:val="0"/>
        <w:autoSpaceDE/>
        <w:autoSpaceDN/>
        <w:bidi w:val="0"/>
        <w:adjustRightInd/>
        <w:snapToGrid/>
        <w:spacing w:line="480" w:lineRule="exact"/>
        <w:ind w:left="0" w:leftChars="0" w:firstLine="547" w:firstLineChars="228"/>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对锅炉控制器进行电器清洁检查，参数设定检查。</w:t>
      </w:r>
    </w:p>
    <w:p w14:paraId="51ECE9F8">
      <w:pPr>
        <w:keepNext w:val="0"/>
        <w:keepLines w:val="0"/>
        <w:pageBreakBefore w:val="0"/>
        <w:widowControl w:val="0"/>
        <w:kinsoku/>
        <w:wordWrap/>
        <w:overflowPunct/>
        <w:topLinePunct w:val="0"/>
        <w:autoSpaceDE/>
        <w:autoSpaceDN/>
        <w:bidi w:val="0"/>
        <w:adjustRightInd/>
        <w:snapToGrid/>
        <w:spacing w:line="480" w:lineRule="exact"/>
        <w:ind w:left="0" w:leftChars="0" w:firstLine="547" w:firstLineChars="228"/>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测试锅炉安全链、调节链等调节保护功能的灵敏度和可靠性。</w:t>
      </w:r>
    </w:p>
    <w:p w14:paraId="1EAEAC1A">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3.4.</w:t>
      </w:r>
      <w:r>
        <w:rPr>
          <w:rFonts w:hint="eastAsia" w:ascii="宋体" w:hAnsi="宋体" w:eastAsia="宋体" w:cs="宋体"/>
          <w:color w:val="auto"/>
          <w:sz w:val="24"/>
          <w:szCs w:val="24"/>
          <w:highlight w:val="none"/>
        </w:rPr>
        <w:t>整体调试</w:t>
      </w:r>
    </w:p>
    <w:p w14:paraId="64EA6ABA">
      <w:pPr>
        <w:keepNext w:val="0"/>
        <w:keepLines w:val="0"/>
        <w:pageBreakBefore w:val="0"/>
        <w:widowControl w:val="0"/>
        <w:kinsoku/>
        <w:wordWrap/>
        <w:overflowPunct/>
        <w:topLinePunct w:val="0"/>
        <w:autoSpaceDE/>
        <w:autoSpaceDN/>
        <w:bidi w:val="0"/>
        <w:adjustRightInd/>
        <w:snapToGrid/>
        <w:spacing w:line="480" w:lineRule="exact"/>
        <w:ind w:left="0" w:leftChars="0" w:firstLine="547" w:firstLineChars="228"/>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锅炉燃烧系统连锁保护系统的调试：</w:t>
      </w:r>
    </w:p>
    <w:p w14:paraId="58D2EB03">
      <w:pPr>
        <w:keepNext w:val="0"/>
        <w:keepLines w:val="0"/>
        <w:pageBreakBefore w:val="0"/>
        <w:widowControl w:val="0"/>
        <w:kinsoku/>
        <w:wordWrap/>
        <w:overflowPunct/>
        <w:topLinePunct w:val="0"/>
        <w:autoSpaceDE/>
        <w:autoSpaceDN/>
        <w:bidi w:val="0"/>
        <w:adjustRightInd/>
        <w:snapToGrid/>
        <w:spacing w:line="480" w:lineRule="exact"/>
        <w:ind w:left="0" w:leftChars="0" w:firstLine="547" w:firstLineChars="228"/>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燃气压力保护系统</w:t>
      </w:r>
    </w:p>
    <w:p w14:paraId="4868E33B">
      <w:pPr>
        <w:keepNext w:val="0"/>
        <w:keepLines w:val="0"/>
        <w:pageBreakBefore w:val="0"/>
        <w:widowControl w:val="0"/>
        <w:kinsoku/>
        <w:wordWrap/>
        <w:overflowPunct/>
        <w:topLinePunct w:val="0"/>
        <w:autoSpaceDE/>
        <w:autoSpaceDN/>
        <w:bidi w:val="0"/>
        <w:adjustRightInd/>
        <w:snapToGrid/>
        <w:spacing w:line="480" w:lineRule="exact"/>
        <w:ind w:left="0" w:leftChars="0" w:firstLine="547" w:firstLineChars="228"/>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燃烧点火系统</w:t>
      </w:r>
    </w:p>
    <w:p w14:paraId="30542C67">
      <w:pPr>
        <w:keepNext w:val="0"/>
        <w:keepLines w:val="0"/>
        <w:pageBreakBefore w:val="0"/>
        <w:widowControl w:val="0"/>
        <w:kinsoku/>
        <w:wordWrap/>
        <w:overflowPunct/>
        <w:topLinePunct w:val="0"/>
        <w:autoSpaceDE/>
        <w:autoSpaceDN/>
        <w:bidi w:val="0"/>
        <w:adjustRightInd/>
        <w:snapToGrid/>
        <w:spacing w:line="480" w:lineRule="exact"/>
        <w:ind w:left="0" w:leftChars="0" w:firstLine="547" w:firstLineChars="228"/>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燃烧火焰检测保护系统</w:t>
      </w:r>
    </w:p>
    <w:p w14:paraId="76D9E2F3">
      <w:pPr>
        <w:keepNext w:val="0"/>
        <w:keepLines w:val="0"/>
        <w:pageBreakBefore w:val="0"/>
        <w:widowControl w:val="0"/>
        <w:kinsoku/>
        <w:wordWrap/>
        <w:overflowPunct/>
        <w:topLinePunct w:val="0"/>
        <w:autoSpaceDE/>
        <w:autoSpaceDN/>
        <w:bidi w:val="0"/>
        <w:adjustRightInd/>
        <w:snapToGrid/>
        <w:spacing w:line="480" w:lineRule="exact"/>
        <w:ind w:left="0" w:leftChars="0" w:firstLine="547" w:firstLineChars="228"/>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燃烧器安全保护连锁系统</w:t>
      </w:r>
    </w:p>
    <w:p w14:paraId="491B805E">
      <w:pPr>
        <w:keepNext w:val="0"/>
        <w:keepLines w:val="0"/>
        <w:pageBreakBefore w:val="0"/>
        <w:widowControl w:val="0"/>
        <w:kinsoku/>
        <w:wordWrap/>
        <w:overflowPunct/>
        <w:topLinePunct w:val="0"/>
        <w:autoSpaceDE/>
        <w:autoSpaceDN/>
        <w:bidi w:val="0"/>
        <w:adjustRightInd/>
        <w:snapToGrid/>
        <w:spacing w:line="480" w:lineRule="exact"/>
        <w:ind w:left="0" w:leftChars="0" w:firstLine="547" w:firstLineChars="228"/>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燃烧器各负荷，风、燃料配比系统调整</w:t>
      </w:r>
    </w:p>
    <w:p w14:paraId="55949476">
      <w:pPr>
        <w:keepNext w:val="0"/>
        <w:keepLines w:val="0"/>
        <w:pageBreakBefore w:val="0"/>
        <w:widowControl w:val="0"/>
        <w:kinsoku/>
        <w:wordWrap/>
        <w:overflowPunct/>
        <w:topLinePunct w:val="0"/>
        <w:autoSpaceDE/>
        <w:autoSpaceDN/>
        <w:bidi w:val="0"/>
        <w:adjustRightInd/>
        <w:snapToGrid/>
        <w:spacing w:line="480" w:lineRule="exact"/>
        <w:ind w:left="0" w:leftChars="0" w:firstLine="547" w:firstLineChars="228"/>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超压自动保护系统，报警系统定值设定及调整</w:t>
      </w:r>
    </w:p>
    <w:p w14:paraId="380F36F2">
      <w:pPr>
        <w:keepNext w:val="0"/>
        <w:keepLines w:val="0"/>
        <w:pageBreakBefore w:val="0"/>
        <w:widowControl w:val="0"/>
        <w:kinsoku/>
        <w:wordWrap/>
        <w:overflowPunct/>
        <w:topLinePunct w:val="0"/>
        <w:autoSpaceDE/>
        <w:autoSpaceDN/>
        <w:bidi w:val="0"/>
        <w:adjustRightInd/>
        <w:snapToGrid/>
        <w:spacing w:line="480" w:lineRule="exact"/>
        <w:ind w:left="0" w:leftChars="0" w:firstLine="547" w:firstLineChars="228"/>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锅炉燃烧器控制参数设定。</w:t>
      </w:r>
    </w:p>
    <w:p w14:paraId="664A80DF">
      <w:pPr>
        <w:keepNext w:val="0"/>
        <w:keepLines w:val="0"/>
        <w:pageBreakBefore w:val="0"/>
        <w:widowControl w:val="0"/>
        <w:kinsoku/>
        <w:wordWrap/>
        <w:overflowPunct/>
        <w:topLinePunct w:val="0"/>
        <w:autoSpaceDE/>
        <w:autoSpaceDN/>
        <w:bidi w:val="0"/>
        <w:adjustRightInd/>
        <w:snapToGrid/>
        <w:spacing w:line="480" w:lineRule="exact"/>
        <w:textAlignment w:val="auto"/>
        <w:outlineLvl w:val="0"/>
        <w:rPr>
          <w:rFonts w:hint="eastAsia" w:ascii="宋体" w:hAnsi="宋体" w:eastAsia="宋体" w:cs="宋体"/>
          <w:b/>
          <w:bCs/>
          <w:color w:val="auto"/>
          <w:sz w:val="24"/>
          <w:szCs w:val="24"/>
          <w:highlight w:val="none"/>
        </w:rPr>
      </w:pPr>
      <w:bookmarkStart w:id="18" w:name="_Toc11358"/>
      <w:r>
        <w:rPr>
          <w:rFonts w:hint="eastAsia" w:ascii="宋体" w:hAnsi="宋体" w:eastAsia="宋体" w:cs="宋体"/>
          <w:b/>
          <w:bCs/>
          <w:color w:val="auto"/>
          <w:sz w:val="24"/>
          <w:szCs w:val="24"/>
          <w:highlight w:val="none"/>
        </w:rPr>
        <w:t>二、供热系统维护保养</w:t>
      </w:r>
      <w:bookmarkEnd w:id="18"/>
    </w:p>
    <w:p w14:paraId="5CF8E3DB">
      <w:pPr>
        <w:keepNext w:val="0"/>
        <w:keepLines w:val="0"/>
        <w:pageBreakBefore w:val="0"/>
        <w:widowControl w:val="0"/>
        <w:numPr>
          <w:ilvl w:val="0"/>
          <w:numId w:val="4"/>
        </w:numPr>
        <w:kinsoku/>
        <w:wordWrap/>
        <w:overflowPunct/>
        <w:topLinePunct w:val="0"/>
        <w:autoSpaceDE/>
        <w:autoSpaceDN/>
        <w:bidi w:val="0"/>
        <w:adjustRightInd/>
        <w:snapToGrid/>
        <w:spacing w:line="480" w:lineRule="exact"/>
        <w:ind w:left="845" w:leftChars="0" w:hanging="425"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每月检查地沟内是否有杂物和积水。</w:t>
      </w:r>
    </w:p>
    <w:p w14:paraId="0F16E8CF">
      <w:pPr>
        <w:keepNext w:val="0"/>
        <w:keepLines w:val="0"/>
        <w:pageBreakBefore w:val="0"/>
        <w:widowControl w:val="0"/>
        <w:numPr>
          <w:ilvl w:val="0"/>
          <w:numId w:val="4"/>
        </w:numPr>
        <w:kinsoku/>
        <w:wordWrap/>
        <w:overflowPunct/>
        <w:topLinePunct w:val="0"/>
        <w:autoSpaceDE/>
        <w:autoSpaceDN/>
        <w:bidi w:val="0"/>
        <w:adjustRightInd/>
        <w:snapToGrid/>
        <w:spacing w:line="480" w:lineRule="exact"/>
        <w:ind w:left="845" w:leftChars="0" w:hanging="425"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每月检查管道和阀门是否漏水。</w:t>
      </w:r>
    </w:p>
    <w:p w14:paraId="07E592D0">
      <w:pPr>
        <w:keepNext w:val="0"/>
        <w:keepLines w:val="0"/>
        <w:pageBreakBefore w:val="0"/>
        <w:widowControl w:val="0"/>
        <w:numPr>
          <w:ilvl w:val="0"/>
          <w:numId w:val="4"/>
        </w:numPr>
        <w:kinsoku/>
        <w:wordWrap/>
        <w:overflowPunct/>
        <w:topLinePunct w:val="0"/>
        <w:autoSpaceDE/>
        <w:autoSpaceDN/>
        <w:bidi w:val="0"/>
        <w:adjustRightInd/>
        <w:snapToGrid/>
        <w:spacing w:line="480" w:lineRule="exact"/>
        <w:ind w:left="845" w:leftChars="0" w:hanging="425"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每月检查污水、雨水管道是否排水畅通。</w:t>
      </w:r>
    </w:p>
    <w:p w14:paraId="2EF9D9FA">
      <w:pPr>
        <w:keepNext w:val="0"/>
        <w:keepLines w:val="0"/>
        <w:pageBreakBefore w:val="0"/>
        <w:widowControl w:val="0"/>
        <w:numPr>
          <w:ilvl w:val="0"/>
          <w:numId w:val="4"/>
        </w:numPr>
        <w:kinsoku/>
        <w:wordWrap/>
        <w:overflowPunct/>
        <w:topLinePunct w:val="0"/>
        <w:autoSpaceDE/>
        <w:autoSpaceDN/>
        <w:bidi w:val="0"/>
        <w:adjustRightInd/>
        <w:snapToGrid/>
        <w:spacing w:line="480" w:lineRule="exact"/>
        <w:ind w:left="845" w:leftChars="0" w:hanging="425"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每年一次手动进行各项操作程序；检查各路阀门在各阶段的正确位置，有偏差的</w:t>
      </w:r>
    </w:p>
    <w:p w14:paraId="4D76A33F">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重新调整。</w:t>
      </w:r>
    </w:p>
    <w:p w14:paraId="5094E93B">
      <w:pPr>
        <w:keepNext w:val="0"/>
        <w:keepLines w:val="0"/>
        <w:pageBreakBefore w:val="0"/>
        <w:widowControl w:val="0"/>
        <w:numPr>
          <w:ilvl w:val="0"/>
          <w:numId w:val="4"/>
        </w:numPr>
        <w:kinsoku/>
        <w:wordWrap/>
        <w:overflowPunct/>
        <w:topLinePunct w:val="0"/>
        <w:autoSpaceDE/>
        <w:autoSpaceDN/>
        <w:bidi w:val="0"/>
        <w:adjustRightInd/>
        <w:snapToGrid/>
        <w:spacing w:line="480" w:lineRule="exact"/>
        <w:ind w:left="845" w:leftChars="0" w:hanging="425"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每年检查罐体有无裂纹、开焊或变形现象。</w:t>
      </w:r>
    </w:p>
    <w:p w14:paraId="72AA5C50">
      <w:pPr>
        <w:keepNext w:val="0"/>
        <w:keepLines w:val="0"/>
        <w:pageBreakBefore w:val="0"/>
        <w:widowControl w:val="0"/>
        <w:numPr>
          <w:ilvl w:val="0"/>
          <w:numId w:val="4"/>
        </w:numPr>
        <w:kinsoku/>
        <w:wordWrap/>
        <w:overflowPunct/>
        <w:topLinePunct w:val="0"/>
        <w:autoSpaceDE/>
        <w:autoSpaceDN/>
        <w:bidi w:val="0"/>
        <w:adjustRightInd/>
        <w:snapToGrid/>
        <w:spacing w:line="480" w:lineRule="exact"/>
        <w:ind w:left="845" w:leftChars="0" w:hanging="425"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每年打开树脂罐上下封口，将树脂取出清洗、筛选，清除破碎树脂，补充新树脂</w:t>
      </w:r>
    </w:p>
    <w:p w14:paraId="40AF4732">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（年补量约为5%）。</w:t>
      </w:r>
    </w:p>
    <w:p w14:paraId="349ECDCE">
      <w:pPr>
        <w:keepNext w:val="0"/>
        <w:keepLines w:val="0"/>
        <w:pageBreakBefore w:val="0"/>
        <w:widowControl w:val="0"/>
        <w:numPr>
          <w:ilvl w:val="0"/>
          <w:numId w:val="4"/>
        </w:numPr>
        <w:kinsoku/>
        <w:wordWrap/>
        <w:overflowPunct/>
        <w:topLinePunct w:val="0"/>
        <w:autoSpaceDE/>
        <w:autoSpaceDN/>
        <w:bidi w:val="0"/>
        <w:adjustRightInd/>
        <w:snapToGrid/>
        <w:spacing w:line="480" w:lineRule="exact"/>
        <w:ind w:left="845" w:leftChars="0" w:hanging="425"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每年根据热交换器的运行参数，对有故障的设备进行清理及保养。</w:t>
      </w:r>
    </w:p>
    <w:p w14:paraId="6C782674">
      <w:pPr>
        <w:keepNext w:val="0"/>
        <w:keepLines w:val="0"/>
        <w:pageBreakBefore w:val="0"/>
        <w:widowControl w:val="0"/>
        <w:numPr>
          <w:ilvl w:val="0"/>
          <w:numId w:val="4"/>
        </w:numPr>
        <w:kinsoku/>
        <w:wordWrap/>
        <w:overflowPunct/>
        <w:topLinePunct w:val="0"/>
        <w:autoSpaceDE/>
        <w:autoSpaceDN/>
        <w:bidi w:val="0"/>
        <w:adjustRightInd/>
        <w:snapToGrid/>
        <w:spacing w:line="480" w:lineRule="exact"/>
        <w:ind w:left="845" w:leftChars="0" w:hanging="425"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每年检查各设施的密封胶垫是否老化并及时更换。</w:t>
      </w:r>
    </w:p>
    <w:p w14:paraId="4DAF7203">
      <w:pPr>
        <w:keepNext w:val="0"/>
        <w:keepLines w:val="0"/>
        <w:pageBreakBefore w:val="0"/>
        <w:widowControl w:val="0"/>
        <w:numPr>
          <w:ilvl w:val="0"/>
          <w:numId w:val="4"/>
        </w:numPr>
        <w:kinsoku/>
        <w:wordWrap/>
        <w:overflowPunct/>
        <w:topLinePunct w:val="0"/>
        <w:autoSpaceDE/>
        <w:autoSpaceDN/>
        <w:bidi w:val="0"/>
        <w:adjustRightInd/>
        <w:snapToGrid/>
        <w:spacing w:line="480" w:lineRule="exact"/>
        <w:ind w:left="845" w:leftChars="0" w:hanging="425"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每年更换或保养各类设施锈蚀的螺栓。</w:t>
      </w:r>
    </w:p>
    <w:p w14:paraId="0F2BED99">
      <w:pPr>
        <w:keepNext w:val="0"/>
        <w:keepLines w:val="0"/>
        <w:pageBreakBefore w:val="0"/>
        <w:widowControl w:val="0"/>
        <w:numPr>
          <w:ilvl w:val="0"/>
          <w:numId w:val="4"/>
        </w:numPr>
        <w:kinsoku/>
        <w:wordWrap/>
        <w:overflowPunct/>
        <w:topLinePunct w:val="0"/>
        <w:autoSpaceDE/>
        <w:autoSpaceDN/>
        <w:bidi w:val="0"/>
        <w:adjustRightInd/>
        <w:snapToGrid/>
        <w:spacing w:line="480" w:lineRule="exact"/>
        <w:ind w:left="845" w:leftChars="0" w:hanging="425"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每年对各类阀门的部件进行保养。</w:t>
      </w:r>
    </w:p>
    <w:p w14:paraId="4EE3029D">
      <w:pPr>
        <w:keepNext w:val="0"/>
        <w:keepLines w:val="0"/>
        <w:pageBreakBefore w:val="0"/>
        <w:widowControl w:val="0"/>
        <w:numPr>
          <w:ilvl w:val="0"/>
          <w:numId w:val="4"/>
        </w:numPr>
        <w:kinsoku/>
        <w:wordWrap/>
        <w:overflowPunct/>
        <w:topLinePunct w:val="0"/>
        <w:autoSpaceDE/>
        <w:autoSpaceDN/>
        <w:bidi w:val="0"/>
        <w:adjustRightInd/>
        <w:snapToGrid/>
        <w:spacing w:line="480" w:lineRule="exact"/>
        <w:ind w:left="845" w:leftChars="0" w:hanging="425"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每年检查各类阀门的盘根，锈蚀严重的阀门、管道件应更换。</w:t>
      </w:r>
    </w:p>
    <w:p w14:paraId="714760F5">
      <w:pPr>
        <w:keepNext w:val="0"/>
        <w:keepLines w:val="0"/>
        <w:pageBreakBefore w:val="0"/>
        <w:widowControl w:val="0"/>
        <w:numPr>
          <w:ilvl w:val="0"/>
          <w:numId w:val="4"/>
        </w:numPr>
        <w:kinsoku/>
        <w:wordWrap/>
        <w:overflowPunct/>
        <w:topLinePunct w:val="0"/>
        <w:autoSpaceDE/>
        <w:autoSpaceDN/>
        <w:bidi w:val="0"/>
        <w:adjustRightInd/>
        <w:snapToGrid/>
        <w:spacing w:line="480" w:lineRule="exact"/>
        <w:ind w:left="845" w:leftChars="0" w:hanging="425"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对水泵进行年度保养。</w:t>
      </w:r>
    </w:p>
    <w:p w14:paraId="2BFBBF5C">
      <w:pPr>
        <w:keepNext w:val="0"/>
        <w:keepLines w:val="0"/>
        <w:pageBreakBefore w:val="0"/>
        <w:widowControl w:val="0"/>
        <w:numPr>
          <w:ilvl w:val="0"/>
          <w:numId w:val="4"/>
        </w:numPr>
        <w:kinsoku/>
        <w:wordWrap/>
        <w:overflowPunct/>
        <w:topLinePunct w:val="0"/>
        <w:autoSpaceDE/>
        <w:autoSpaceDN/>
        <w:bidi w:val="0"/>
        <w:adjustRightInd/>
        <w:snapToGrid/>
        <w:spacing w:line="480" w:lineRule="exact"/>
        <w:ind w:left="845" w:leftChars="0" w:hanging="425"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对系统管路、管井进行年度检查保养：管道和保温层保养，过滤器清理，管件</w:t>
      </w:r>
    </w:p>
    <w:p w14:paraId="41BF7C1F">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及阀门保养。</w:t>
      </w:r>
    </w:p>
    <w:p w14:paraId="18080D7D">
      <w:pPr>
        <w:keepNext w:val="0"/>
        <w:keepLines w:val="0"/>
        <w:pageBreakBefore w:val="0"/>
        <w:widowControl w:val="0"/>
        <w:numPr>
          <w:ilvl w:val="0"/>
          <w:numId w:val="4"/>
        </w:numPr>
        <w:kinsoku/>
        <w:wordWrap/>
        <w:overflowPunct/>
        <w:topLinePunct w:val="0"/>
        <w:autoSpaceDE/>
        <w:autoSpaceDN/>
        <w:bidi w:val="0"/>
        <w:adjustRightInd/>
        <w:snapToGrid/>
        <w:spacing w:line="480" w:lineRule="exact"/>
        <w:ind w:left="845" w:leftChars="0" w:hanging="425"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及时更换管道破损的保温及玻璃网布。</w:t>
      </w:r>
    </w:p>
    <w:p w14:paraId="63B9B4C9">
      <w:pPr>
        <w:keepNext w:val="0"/>
        <w:keepLines w:val="0"/>
        <w:pageBreakBefore w:val="0"/>
        <w:widowControl w:val="0"/>
        <w:numPr>
          <w:ilvl w:val="0"/>
          <w:numId w:val="4"/>
        </w:numPr>
        <w:kinsoku/>
        <w:wordWrap/>
        <w:overflowPunct/>
        <w:topLinePunct w:val="0"/>
        <w:autoSpaceDE/>
        <w:autoSpaceDN/>
        <w:bidi w:val="0"/>
        <w:adjustRightInd/>
        <w:snapToGrid/>
        <w:spacing w:line="480" w:lineRule="exact"/>
        <w:ind w:left="845" w:leftChars="0" w:hanging="425"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紧急维修使用中破损的管道。</w:t>
      </w:r>
    </w:p>
    <w:p w14:paraId="6495656F">
      <w:pPr>
        <w:keepNext w:val="0"/>
        <w:keepLines w:val="0"/>
        <w:pageBreakBefore w:val="0"/>
        <w:widowControl w:val="0"/>
        <w:numPr>
          <w:ilvl w:val="0"/>
          <w:numId w:val="4"/>
        </w:numPr>
        <w:kinsoku/>
        <w:wordWrap/>
        <w:overflowPunct/>
        <w:topLinePunct w:val="0"/>
        <w:autoSpaceDE/>
        <w:autoSpaceDN/>
        <w:bidi w:val="0"/>
        <w:adjustRightInd/>
        <w:snapToGrid/>
        <w:spacing w:line="480" w:lineRule="exact"/>
        <w:ind w:left="845" w:leftChars="0" w:hanging="425"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紧急维修维保范围内的各种系统故障。</w:t>
      </w:r>
    </w:p>
    <w:p w14:paraId="5B62904A">
      <w:pPr>
        <w:keepNext w:val="0"/>
        <w:keepLines w:val="0"/>
        <w:pageBreakBefore w:val="0"/>
        <w:widowControl w:val="0"/>
        <w:kinsoku/>
        <w:wordWrap/>
        <w:overflowPunct/>
        <w:topLinePunct w:val="0"/>
        <w:autoSpaceDE/>
        <w:autoSpaceDN/>
        <w:bidi w:val="0"/>
        <w:adjustRightInd/>
        <w:snapToGrid/>
        <w:spacing w:line="480" w:lineRule="exact"/>
        <w:textAlignment w:val="auto"/>
        <w:outlineLvl w:val="0"/>
        <w:rPr>
          <w:rFonts w:hint="eastAsia" w:ascii="宋体" w:hAnsi="宋体" w:eastAsia="宋体" w:cs="宋体"/>
          <w:b/>
          <w:bCs/>
          <w:color w:val="auto"/>
          <w:sz w:val="24"/>
          <w:szCs w:val="24"/>
          <w:highlight w:val="none"/>
        </w:rPr>
      </w:pPr>
      <w:bookmarkStart w:id="19" w:name="_Toc21147"/>
      <w:r>
        <w:rPr>
          <w:rFonts w:hint="eastAsia" w:ascii="宋体" w:hAnsi="宋体" w:eastAsia="宋体" w:cs="宋体"/>
          <w:b/>
          <w:bCs/>
          <w:color w:val="auto"/>
          <w:sz w:val="24"/>
          <w:szCs w:val="24"/>
          <w:highlight w:val="none"/>
        </w:rPr>
        <w:t>三、供热系统清洗除垢</w:t>
      </w:r>
      <w:bookmarkEnd w:id="19"/>
    </w:p>
    <w:p w14:paraId="42C3B0BC">
      <w:pPr>
        <w:keepNext w:val="0"/>
        <w:keepLines w:val="0"/>
        <w:pageBreakBefore w:val="0"/>
        <w:widowControl w:val="0"/>
        <w:kinsoku/>
        <w:wordWrap/>
        <w:overflowPunct/>
        <w:topLinePunct w:val="0"/>
        <w:autoSpaceDE/>
        <w:autoSpaceDN/>
        <w:bidi w:val="0"/>
        <w:adjustRightInd/>
        <w:snapToGrid/>
        <w:spacing w:line="480" w:lineRule="exact"/>
        <w:ind w:left="0" w:leftChars="0" w:firstLine="360" w:firstLineChars="15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锅炉和换热器需一年定期清洗一次，时间选择在停暖以后、供暖以前。采用化学清洗和手工清洗相结合的方法。先进行排水冲洗，然后根据结垢情况添加清洗溶液对锅炉和换热器进行溶液循环清洗，再进行中和钝化处理，最后进行人工清理及检查。清洗溶液一般选用专用的水垢清洗剂。</w:t>
      </w:r>
    </w:p>
    <w:p w14:paraId="0DA92390">
      <w:pPr>
        <w:keepNext w:val="0"/>
        <w:keepLines w:val="0"/>
        <w:pageBreakBefore w:val="0"/>
        <w:widowControl w:val="0"/>
        <w:kinsoku/>
        <w:wordWrap/>
        <w:overflowPunct/>
        <w:topLinePunct w:val="0"/>
        <w:autoSpaceDE/>
        <w:autoSpaceDN/>
        <w:bidi w:val="0"/>
        <w:adjustRightInd/>
        <w:snapToGrid/>
        <w:spacing w:line="480" w:lineRule="exact"/>
        <w:ind w:left="0" w:leftChars="0" w:firstLine="360" w:firstLineChars="15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系统管道及其他部分也同步进行循环清洗。</w:t>
      </w:r>
    </w:p>
    <w:p w14:paraId="3E3250B6">
      <w:pPr>
        <w:shd w:val="clear"/>
        <w:spacing w:line="440" w:lineRule="exact"/>
        <w:rPr>
          <w:rFonts w:hint="eastAsia" w:ascii="宋体" w:hAnsi="宋体" w:eastAsia="宋体" w:cs="宋体"/>
          <w:b/>
          <w:color w:val="auto"/>
          <w:sz w:val="24"/>
          <w:szCs w:val="24"/>
          <w:highlight w:val="none"/>
          <w:lang w:val="en-US" w:eastAsia="zh-CN"/>
        </w:rPr>
      </w:pPr>
    </w:p>
    <w:p w14:paraId="138FF83C">
      <w:pPr>
        <w:shd w:val="clear"/>
        <w:spacing w:line="440" w:lineRule="exact"/>
        <w:rPr>
          <w:rFonts w:hint="eastAsia" w:ascii="宋体" w:hAnsi="宋体" w:eastAsia="宋体" w:cs="宋体"/>
          <w:b/>
          <w:color w:val="auto"/>
          <w:sz w:val="24"/>
          <w:szCs w:val="24"/>
          <w:highlight w:val="none"/>
          <w:lang w:val="en-US" w:eastAsia="zh-CN"/>
        </w:rPr>
      </w:pPr>
    </w:p>
    <w:p w14:paraId="31175FFD">
      <w:pPr>
        <w:shd w:val="clear"/>
        <w:spacing w:line="440" w:lineRule="exact"/>
        <w:rPr>
          <w:rFonts w:hint="eastAsia" w:ascii="宋体" w:hAnsi="宋体" w:eastAsia="宋体" w:cs="宋体"/>
          <w:b/>
          <w:color w:val="auto"/>
          <w:sz w:val="24"/>
          <w:szCs w:val="24"/>
          <w:highlight w:val="none"/>
          <w:lang w:val="en-US" w:eastAsia="zh-CN"/>
        </w:rPr>
      </w:pPr>
    </w:p>
    <w:p w14:paraId="732E2220">
      <w:pPr>
        <w:shd w:val="clear"/>
        <w:spacing w:line="440" w:lineRule="exact"/>
        <w:rPr>
          <w:rFonts w:hint="eastAsia" w:ascii="宋体" w:hAnsi="宋体" w:eastAsia="宋体" w:cs="宋体"/>
          <w:b/>
          <w:color w:val="auto"/>
          <w:sz w:val="24"/>
          <w:szCs w:val="24"/>
          <w:highlight w:val="none"/>
          <w:lang w:val="en-US" w:eastAsia="zh-CN"/>
        </w:rPr>
      </w:pPr>
    </w:p>
    <w:p w14:paraId="57AD15FD">
      <w:pPr>
        <w:shd w:val="clear"/>
        <w:spacing w:line="440" w:lineRule="exact"/>
        <w:rPr>
          <w:rFonts w:hint="eastAsia" w:ascii="宋体" w:hAnsi="宋体" w:eastAsia="宋体" w:cs="宋体"/>
          <w:b/>
          <w:color w:val="auto"/>
          <w:sz w:val="24"/>
          <w:szCs w:val="24"/>
          <w:highlight w:val="none"/>
          <w:lang w:val="en-US" w:eastAsia="zh-CN"/>
        </w:rPr>
      </w:pPr>
    </w:p>
    <w:p w14:paraId="28659E26">
      <w:pPr>
        <w:shd w:val="clear"/>
        <w:spacing w:line="440" w:lineRule="exact"/>
        <w:rPr>
          <w:rFonts w:hint="eastAsia" w:ascii="宋体" w:hAnsi="宋体" w:eastAsia="宋体" w:cs="宋体"/>
          <w:b/>
          <w:color w:val="auto"/>
          <w:sz w:val="24"/>
          <w:szCs w:val="24"/>
          <w:highlight w:val="none"/>
          <w:lang w:val="en-US" w:eastAsia="zh-CN"/>
        </w:rPr>
      </w:pPr>
    </w:p>
    <w:p w14:paraId="24AD9A96">
      <w:pPr>
        <w:shd w:val="clear"/>
        <w:spacing w:line="440" w:lineRule="exact"/>
        <w:rPr>
          <w:rFonts w:hint="eastAsia" w:ascii="宋体" w:hAnsi="宋体" w:eastAsia="宋体" w:cs="宋体"/>
          <w:b/>
          <w:color w:val="auto"/>
          <w:sz w:val="24"/>
          <w:szCs w:val="24"/>
          <w:highlight w:val="none"/>
          <w:lang w:val="en-US" w:eastAsia="zh-CN"/>
        </w:rPr>
      </w:pPr>
    </w:p>
    <w:p w14:paraId="0724E57B">
      <w:pPr>
        <w:shd w:val="clear"/>
        <w:spacing w:line="440" w:lineRule="exact"/>
        <w:rPr>
          <w:rFonts w:hint="eastAsia" w:ascii="宋体" w:hAnsi="宋体" w:eastAsia="宋体" w:cs="宋体"/>
          <w:b/>
          <w:color w:val="auto"/>
          <w:sz w:val="24"/>
          <w:szCs w:val="24"/>
          <w:highlight w:val="none"/>
          <w:lang w:val="en-US" w:eastAsia="zh-CN"/>
        </w:rPr>
      </w:pPr>
    </w:p>
    <w:p w14:paraId="72DE8FAF">
      <w:pPr>
        <w:shd w:val="clear"/>
        <w:spacing w:line="440" w:lineRule="exact"/>
        <w:rPr>
          <w:rFonts w:hint="eastAsia" w:ascii="宋体" w:hAnsi="宋体" w:eastAsia="宋体" w:cs="宋体"/>
          <w:b/>
          <w:color w:val="auto"/>
          <w:sz w:val="24"/>
          <w:szCs w:val="24"/>
          <w:highlight w:val="none"/>
          <w:lang w:val="en-US" w:eastAsia="zh-CN"/>
        </w:rPr>
      </w:pPr>
    </w:p>
    <w:p w14:paraId="0B0A330D">
      <w:pPr>
        <w:shd w:val="clear"/>
        <w:spacing w:line="440" w:lineRule="exact"/>
        <w:rPr>
          <w:rFonts w:hint="eastAsia" w:ascii="宋体" w:hAnsi="宋体" w:eastAsia="宋体" w:cs="宋体"/>
          <w:b/>
          <w:color w:val="auto"/>
          <w:sz w:val="24"/>
          <w:szCs w:val="24"/>
          <w:highlight w:val="none"/>
          <w:lang w:val="en-US" w:eastAsia="zh-CN"/>
        </w:rPr>
      </w:pPr>
    </w:p>
    <w:p w14:paraId="7A5F4A03">
      <w:pPr>
        <w:shd w:val="clear"/>
        <w:spacing w:line="440" w:lineRule="exact"/>
        <w:rPr>
          <w:rFonts w:hint="eastAsia" w:ascii="宋体" w:hAnsi="宋体" w:eastAsia="宋体" w:cs="宋体"/>
          <w:b/>
          <w:color w:val="auto"/>
          <w:sz w:val="24"/>
          <w:szCs w:val="24"/>
          <w:highlight w:val="none"/>
          <w:lang w:val="en-US" w:eastAsia="zh-CN"/>
        </w:rPr>
      </w:pPr>
    </w:p>
    <w:p w14:paraId="4409C965">
      <w:pPr>
        <w:shd w:val="clear"/>
        <w:spacing w:line="440" w:lineRule="exact"/>
        <w:rPr>
          <w:rFonts w:hint="eastAsia" w:ascii="宋体" w:hAnsi="宋体" w:eastAsia="宋体" w:cs="宋体"/>
          <w:b/>
          <w:color w:val="auto"/>
          <w:sz w:val="24"/>
          <w:szCs w:val="24"/>
          <w:highlight w:val="none"/>
          <w:lang w:val="en-US" w:eastAsia="zh-CN"/>
        </w:rPr>
      </w:pPr>
    </w:p>
    <w:p w14:paraId="2BBAF839">
      <w:pPr>
        <w:shd w:val="clear"/>
        <w:spacing w:line="440" w:lineRule="exact"/>
        <w:rPr>
          <w:rFonts w:hint="eastAsia" w:ascii="宋体" w:hAnsi="宋体" w:eastAsia="宋体" w:cs="宋体"/>
          <w:b/>
          <w:color w:val="auto"/>
          <w:sz w:val="24"/>
          <w:szCs w:val="24"/>
          <w:highlight w:val="none"/>
          <w:lang w:val="en-US" w:eastAsia="zh-CN"/>
        </w:rPr>
      </w:pPr>
    </w:p>
    <w:p w14:paraId="20D27B00">
      <w:pPr>
        <w:shd w:val="clear"/>
        <w:spacing w:line="440" w:lineRule="exact"/>
        <w:rPr>
          <w:rFonts w:hint="eastAsia" w:ascii="宋体" w:hAnsi="宋体" w:eastAsia="宋体" w:cs="宋体"/>
          <w:b/>
          <w:color w:val="auto"/>
          <w:sz w:val="24"/>
          <w:szCs w:val="24"/>
          <w:highlight w:val="none"/>
          <w:lang w:val="en-US" w:eastAsia="zh-CN"/>
        </w:rPr>
      </w:pPr>
    </w:p>
    <w:p w14:paraId="6AD47C93">
      <w:pPr>
        <w:shd w:val="clear"/>
        <w:spacing w:line="440" w:lineRule="exact"/>
        <w:rPr>
          <w:rFonts w:hint="eastAsia" w:ascii="宋体" w:hAnsi="宋体" w:eastAsia="宋体" w:cs="宋体"/>
          <w:b/>
          <w:color w:val="auto"/>
          <w:sz w:val="24"/>
          <w:szCs w:val="24"/>
          <w:highlight w:val="none"/>
          <w:lang w:val="en-US" w:eastAsia="zh-CN"/>
        </w:rPr>
      </w:pPr>
    </w:p>
    <w:p w14:paraId="0CF343B5">
      <w:pPr>
        <w:shd w:val="clear"/>
        <w:spacing w:line="440" w:lineRule="exact"/>
        <w:rPr>
          <w:rFonts w:hint="eastAsia" w:ascii="宋体" w:hAnsi="宋体" w:eastAsia="宋体" w:cs="宋体"/>
          <w:b/>
          <w:color w:val="auto"/>
          <w:sz w:val="24"/>
          <w:szCs w:val="24"/>
          <w:highlight w:val="none"/>
          <w:lang w:val="en-US" w:eastAsia="zh-CN"/>
        </w:rPr>
      </w:pPr>
    </w:p>
    <w:p w14:paraId="7F8AA7DD">
      <w:pPr>
        <w:shd w:val="clear"/>
        <w:spacing w:line="440" w:lineRule="exact"/>
        <w:rPr>
          <w:rFonts w:hint="eastAsia" w:ascii="宋体" w:hAnsi="宋体" w:eastAsia="宋体" w:cs="宋体"/>
          <w:b/>
          <w:color w:val="auto"/>
          <w:sz w:val="24"/>
          <w:szCs w:val="24"/>
          <w:highlight w:val="none"/>
          <w:lang w:val="en-US" w:eastAsia="zh-CN"/>
        </w:rPr>
      </w:pPr>
    </w:p>
    <w:p w14:paraId="51F81B0A">
      <w:pPr>
        <w:shd w:val="clear"/>
        <w:spacing w:line="440" w:lineRule="exact"/>
        <w:rPr>
          <w:rFonts w:hint="eastAsia" w:ascii="宋体" w:hAnsi="宋体" w:eastAsia="宋体" w:cs="宋体"/>
          <w:b/>
          <w:color w:val="auto"/>
          <w:sz w:val="24"/>
          <w:szCs w:val="24"/>
          <w:highlight w:val="none"/>
          <w:lang w:val="en-US" w:eastAsia="zh-CN"/>
        </w:rPr>
      </w:pPr>
    </w:p>
    <w:p w14:paraId="6BF8DF6E">
      <w:pPr>
        <w:shd w:val="clear"/>
        <w:spacing w:line="440" w:lineRule="exact"/>
        <w:rPr>
          <w:rFonts w:hint="eastAsia" w:ascii="宋体" w:hAnsi="宋体" w:eastAsia="宋体" w:cs="宋体"/>
          <w:b/>
          <w:color w:val="auto"/>
          <w:sz w:val="24"/>
          <w:szCs w:val="24"/>
          <w:highlight w:val="none"/>
          <w:lang w:val="en-US" w:eastAsia="zh-CN"/>
        </w:rPr>
      </w:pPr>
    </w:p>
    <w:p w14:paraId="63F1611C">
      <w:pPr>
        <w:shd w:val="clear"/>
        <w:spacing w:line="440" w:lineRule="exact"/>
        <w:rPr>
          <w:rFonts w:hint="eastAsia" w:ascii="宋体" w:hAnsi="宋体" w:eastAsia="宋体" w:cs="宋体"/>
          <w:b/>
          <w:color w:val="auto"/>
          <w:sz w:val="24"/>
          <w:szCs w:val="24"/>
          <w:highlight w:val="none"/>
          <w:lang w:val="en-US" w:eastAsia="zh-CN"/>
        </w:rPr>
      </w:pPr>
    </w:p>
    <w:p w14:paraId="28225464">
      <w:pPr>
        <w:shd w:val="clear"/>
        <w:spacing w:line="440" w:lineRule="exact"/>
        <w:rPr>
          <w:rFonts w:hint="eastAsia" w:ascii="宋体" w:hAnsi="宋体" w:eastAsia="宋体" w:cs="宋体"/>
          <w:b/>
          <w:color w:val="auto"/>
          <w:sz w:val="24"/>
          <w:szCs w:val="24"/>
          <w:highlight w:val="none"/>
          <w:lang w:val="en-US" w:eastAsia="zh-CN"/>
        </w:rPr>
      </w:pPr>
    </w:p>
    <w:p w14:paraId="020106F1">
      <w:pPr>
        <w:shd w:val="clear"/>
        <w:spacing w:line="440" w:lineRule="exact"/>
        <w:rPr>
          <w:rFonts w:hint="eastAsia" w:ascii="宋体" w:hAnsi="宋体" w:eastAsia="宋体" w:cs="宋体"/>
          <w:b/>
          <w:color w:val="auto"/>
          <w:sz w:val="24"/>
          <w:szCs w:val="24"/>
          <w:highlight w:val="none"/>
          <w:lang w:val="en-US" w:eastAsia="zh-CN"/>
        </w:rPr>
      </w:pPr>
    </w:p>
    <w:p w14:paraId="345F2EAB">
      <w:pPr>
        <w:shd w:val="clear"/>
        <w:spacing w:line="440" w:lineRule="exact"/>
        <w:rPr>
          <w:rFonts w:hint="eastAsia" w:ascii="宋体" w:hAnsi="宋体" w:eastAsia="宋体" w:cs="宋体"/>
          <w:b/>
          <w:color w:val="auto"/>
          <w:sz w:val="24"/>
          <w:szCs w:val="24"/>
          <w:highlight w:val="none"/>
          <w:lang w:val="en-US" w:eastAsia="zh-CN"/>
        </w:rPr>
      </w:pPr>
    </w:p>
    <w:p w14:paraId="69202A2E">
      <w:pPr>
        <w:shd w:val="clear"/>
        <w:spacing w:line="440" w:lineRule="exact"/>
        <w:rPr>
          <w:rFonts w:hint="eastAsia" w:ascii="宋体" w:hAnsi="宋体" w:eastAsia="宋体" w:cs="宋体"/>
          <w:b/>
          <w:color w:val="auto"/>
          <w:sz w:val="24"/>
          <w:szCs w:val="24"/>
          <w:highlight w:val="none"/>
          <w:lang w:val="en-US" w:eastAsia="zh-CN"/>
        </w:rPr>
      </w:pPr>
    </w:p>
    <w:p w14:paraId="7DF3C30D">
      <w:pPr>
        <w:shd w:val="clear"/>
        <w:spacing w:line="440" w:lineRule="exact"/>
        <w:outlineLvl w:val="0"/>
        <w:rPr>
          <w:rFonts w:hint="eastAsia" w:ascii="宋体" w:hAnsi="宋体" w:eastAsia="宋体" w:cs="宋体"/>
          <w:b/>
          <w:bCs w:val="0"/>
          <w:color w:val="auto"/>
          <w:sz w:val="24"/>
          <w:szCs w:val="24"/>
          <w:highlight w:val="none"/>
          <w:lang w:val="en-US" w:eastAsia="zh-CN"/>
        </w:rPr>
      </w:pPr>
      <w:bookmarkStart w:id="20" w:name="_Toc29261"/>
      <w:r>
        <w:rPr>
          <w:rFonts w:hint="eastAsia" w:ascii="宋体" w:hAnsi="宋体" w:cs="宋体"/>
          <w:b/>
          <w:bCs w:val="0"/>
          <w:color w:val="auto"/>
          <w:sz w:val="24"/>
          <w:szCs w:val="24"/>
          <w:highlight w:val="none"/>
          <w:lang w:val="en-US" w:eastAsia="zh-CN"/>
        </w:rPr>
        <w:t>附件三：锅炉维修保养施工方案</w:t>
      </w:r>
      <w:bookmarkEnd w:id="20"/>
    </w:p>
    <w:p w14:paraId="49B117D4">
      <w:pPr>
        <w:shd w:val="clear"/>
        <w:spacing w:line="440" w:lineRule="exact"/>
        <w:jc w:val="center"/>
        <w:rPr>
          <w:rFonts w:hint="eastAsia" w:ascii="宋体" w:hAnsi="宋体" w:cs="宋体"/>
          <w:b w:val="0"/>
          <w:bCs/>
          <w:color w:val="auto"/>
          <w:sz w:val="24"/>
          <w:szCs w:val="24"/>
          <w:highlight w:val="none"/>
          <w:lang w:val="en-US" w:eastAsia="zh-CN"/>
        </w:rPr>
      </w:pPr>
    </w:p>
    <w:p w14:paraId="7B5732FC">
      <w:pPr>
        <w:shd w:val="clear"/>
        <w:spacing w:line="440" w:lineRule="exact"/>
        <w:jc w:val="center"/>
        <w:rPr>
          <w:rFonts w:hint="eastAsia" w:ascii="宋体" w:hAnsi="宋体" w:cs="宋体"/>
          <w:b w:val="0"/>
          <w:bCs/>
          <w:color w:val="auto"/>
          <w:sz w:val="24"/>
          <w:szCs w:val="24"/>
          <w:highlight w:val="none"/>
          <w:lang w:val="en-US" w:eastAsia="zh-CN"/>
        </w:rPr>
      </w:pPr>
    </w:p>
    <w:p w14:paraId="3657DCC3">
      <w:pPr>
        <w:shd w:val="clear"/>
        <w:spacing w:line="440" w:lineRule="exact"/>
        <w:jc w:val="center"/>
        <w:rPr>
          <w:rFonts w:hint="eastAsia" w:ascii="宋体" w:hAnsi="宋体" w:eastAsia="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（视招标结果而定）</w:t>
      </w:r>
    </w:p>
    <w:p w14:paraId="2AB6D3A7">
      <w:pPr>
        <w:shd w:val="clear"/>
        <w:spacing w:line="440" w:lineRule="exact"/>
        <w:rPr>
          <w:rFonts w:hint="eastAsia" w:ascii="宋体" w:hAnsi="宋体" w:eastAsia="宋体" w:cs="宋体"/>
          <w:b/>
          <w:color w:val="auto"/>
          <w:sz w:val="24"/>
          <w:szCs w:val="24"/>
          <w:highlight w:val="none"/>
          <w:lang w:val="en-US" w:eastAsia="zh-CN"/>
        </w:rPr>
      </w:pPr>
    </w:p>
    <w:p w14:paraId="6F821336">
      <w:pPr>
        <w:shd w:val="clear"/>
        <w:spacing w:line="440" w:lineRule="exact"/>
        <w:rPr>
          <w:rFonts w:hint="eastAsia" w:ascii="宋体" w:hAnsi="宋体" w:eastAsia="宋体" w:cs="宋体"/>
          <w:b/>
          <w:color w:val="auto"/>
          <w:sz w:val="24"/>
          <w:szCs w:val="24"/>
          <w:highlight w:val="none"/>
          <w:lang w:val="en-US" w:eastAsia="zh-CN"/>
        </w:rPr>
      </w:pPr>
    </w:p>
    <w:p w14:paraId="7B127B74">
      <w:pPr>
        <w:shd w:val="clear"/>
        <w:spacing w:line="440" w:lineRule="exact"/>
        <w:rPr>
          <w:rFonts w:hint="eastAsia" w:ascii="宋体" w:hAnsi="宋体" w:eastAsia="宋体" w:cs="宋体"/>
          <w:b/>
          <w:color w:val="auto"/>
          <w:sz w:val="24"/>
          <w:szCs w:val="24"/>
          <w:highlight w:val="none"/>
          <w:lang w:val="en-US" w:eastAsia="zh-CN"/>
        </w:rPr>
      </w:pPr>
    </w:p>
    <w:p w14:paraId="0B5ABF68">
      <w:pPr>
        <w:shd w:val="clear"/>
        <w:spacing w:line="440" w:lineRule="exact"/>
        <w:rPr>
          <w:rFonts w:hint="eastAsia" w:ascii="宋体" w:hAnsi="宋体" w:eastAsia="宋体" w:cs="宋体"/>
          <w:b/>
          <w:color w:val="auto"/>
          <w:sz w:val="24"/>
          <w:szCs w:val="24"/>
          <w:highlight w:val="none"/>
          <w:lang w:val="en-US" w:eastAsia="zh-CN"/>
        </w:rPr>
      </w:pPr>
    </w:p>
    <w:p w14:paraId="48FF0E2C">
      <w:pPr>
        <w:shd w:val="clear"/>
        <w:spacing w:line="440" w:lineRule="exact"/>
        <w:rPr>
          <w:rFonts w:hint="eastAsia" w:ascii="宋体" w:hAnsi="宋体" w:eastAsia="宋体" w:cs="宋体"/>
          <w:b/>
          <w:color w:val="auto"/>
          <w:sz w:val="24"/>
          <w:szCs w:val="24"/>
          <w:highlight w:val="none"/>
          <w:lang w:val="en-US" w:eastAsia="zh-CN"/>
        </w:rPr>
      </w:pPr>
    </w:p>
    <w:p w14:paraId="0BEEBE2C">
      <w:pPr>
        <w:shd w:val="clear"/>
        <w:spacing w:line="440" w:lineRule="exact"/>
        <w:rPr>
          <w:rFonts w:hint="eastAsia" w:ascii="宋体" w:hAnsi="宋体" w:eastAsia="宋体" w:cs="宋体"/>
          <w:b/>
          <w:color w:val="auto"/>
          <w:sz w:val="24"/>
          <w:szCs w:val="24"/>
          <w:highlight w:val="none"/>
          <w:lang w:val="en-US" w:eastAsia="zh-CN"/>
        </w:rPr>
      </w:pPr>
    </w:p>
    <w:p w14:paraId="412887FF">
      <w:pPr>
        <w:shd w:val="clear"/>
        <w:spacing w:line="440" w:lineRule="exact"/>
        <w:rPr>
          <w:rFonts w:hint="eastAsia" w:ascii="宋体" w:hAnsi="宋体" w:eastAsia="宋体" w:cs="宋体"/>
          <w:b/>
          <w:color w:val="auto"/>
          <w:sz w:val="24"/>
          <w:szCs w:val="24"/>
          <w:highlight w:val="none"/>
          <w:lang w:val="en-US" w:eastAsia="zh-CN"/>
        </w:rPr>
      </w:pPr>
    </w:p>
    <w:p w14:paraId="48211682">
      <w:pPr>
        <w:shd w:val="clear"/>
        <w:spacing w:line="440" w:lineRule="exact"/>
        <w:rPr>
          <w:rFonts w:hint="eastAsia" w:ascii="宋体" w:hAnsi="宋体" w:eastAsia="宋体" w:cs="宋体"/>
          <w:b/>
          <w:color w:val="auto"/>
          <w:sz w:val="24"/>
          <w:szCs w:val="24"/>
          <w:highlight w:val="none"/>
          <w:lang w:val="en-US" w:eastAsia="zh-CN"/>
        </w:rPr>
      </w:pPr>
    </w:p>
    <w:p w14:paraId="2BC6A4F9">
      <w:pPr>
        <w:shd w:val="clear"/>
        <w:spacing w:line="440" w:lineRule="exact"/>
        <w:rPr>
          <w:rFonts w:hint="eastAsia" w:ascii="宋体" w:hAnsi="宋体" w:eastAsia="宋体" w:cs="宋体"/>
          <w:b/>
          <w:color w:val="auto"/>
          <w:sz w:val="24"/>
          <w:szCs w:val="24"/>
          <w:highlight w:val="none"/>
          <w:lang w:val="en-US" w:eastAsia="zh-CN"/>
        </w:rPr>
      </w:pPr>
    </w:p>
    <w:p w14:paraId="1A9E7030">
      <w:pPr>
        <w:shd w:val="clear"/>
        <w:spacing w:line="440" w:lineRule="exact"/>
        <w:rPr>
          <w:rFonts w:hint="eastAsia" w:ascii="宋体" w:hAnsi="宋体" w:eastAsia="宋体" w:cs="宋体"/>
          <w:b/>
          <w:color w:val="auto"/>
          <w:sz w:val="24"/>
          <w:szCs w:val="24"/>
          <w:highlight w:val="none"/>
          <w:lang w:val="en-US" w:eastAsia="zh-CN"/>
        </w:rPr>
      </w:pPr>
    </w:p>
    <w:p w14:paraId="207EE96D">
      <w:pPr>
        <w:shd w:val="clear"/>
        <w:spacing w:line="440" w:lineRule="exact"/>
        <w:rPr>
          <w:rFonts w:hint="eastAsia" w:ascii="宋体" w:hAnsi="宋体" w:eastAsia="宋体" w:cs="宋体"/>
          <w:b/>
          <w:color w:val="auto"/>
          <w:sz w:val="24"/>
          <w:szCs w:val="24"/>
          <w:highlight w:val="none"/>
          <w:lang w:val="en-US" w:eastAsia="zh-CN"/>
        </w:rPr>
      </w:pPr>
    </w:p>
    <w:p w14:paraId="427258F7">
      <w:pPr>
        <w:shd w:val="clear"/>
        <w:spacing w:line="440" w:lineRule="exact"/>
        <w:rPr>
          <w:rFonts w:hint="eastAsia" w:ascii="宋体" w:hAnsi="宋体" w:eastAsia="宋体" w:cs="宋体"/>
          <w:b/>
          <w:color w:val="auto"/>
          <w:sz w:val="24"/>
          <w:szCs w:val="24"/>
          <w:highlight w:val="none"/>
          <w:lang w:val="en-US" w:eastAsia="zh-CN"/>
        </w:rPr>
      </w:pPr>
    </w:p>
    <w:p w14:paraId="54C8C520">
      <w:pPr>
        <w:shd w:val="clear"/>
        <w:spacing w:line="440" w:lineRule="exact"/>
        <w:rPr>
          <w:rFonts w:hint="eastAsia" w:ascii="宋体" w:hAnsi="宋体" w:eastAsia="宋体" w:cs="宋体"/>
          <w:b/>
          <w:color w:val="auto"/>
          <w:sz w:val="24"/>
          <w:szCs w:val="24"/>
          <w:highlight w:val="none"/>
          <w:lang w:val="en-US" w:eastAsia="zh-CN"/>
        </w:rPr>
      </w:pPr>
    </w:p>
    <w:p w14:paraId="62EF6F9D">
      <w:pPr>
        <w:shd w:val="clear"/>
        <w:spacing w:line="440" w:lineRule="exact"/>
        <w:rPr>
          <w:rFonts w:hint="eastAsia" w:ascii="宋体" w:hAnsi="宋体" w:eastAsia="宋体" w:cs="宋体"/>
          <w:b/>
          <w:color w:val="auto"/>
          <w:sz w:val="24"/>
          <w:szCs w:val="24"/>
          <w:highlight w:val="none"/>
          <w:lang w:val="en-US" w:eastAsia="zh-CN"/>
        </w:rPr>
      </w:pPr>
    </w:p>
    <w:p w14:paraId="3F859569">
      <w:pPr>
        <w:shd w:val="clear"/>
        <w:spacing w:line="440" w:lineRule="exact"/>
        <w:rPr>
          <w:rFonts w:hint="eastAsia" w:ascii="宋体" w:hAnsi="宋体" w:eastAsia="宋体" w:cs="宋体"/>
          <w:b/>
          <w:color w:val="auto"/>
          <w:sz w:val="24"/>
          <w:szCs w:val="24"/>
          <w:highlight w:val="none"/>
          <w:lang w:val="en-US" w:eastAsia="zh-CN"/>
        </w:rPr>
      </w:pPr>
    </w:p>
    <w:p w14:paraId="70F283CE">
      <w:pPr>
        <w:shd w:val="clear"/>
        <w:spacing w:line="440" w:lineRule="exact"/>
        <w:rPr>
          <w:rFonts w:hint="eastAsia" w:ascii="宋体" w:hAnsi="宋体" w:eastAsia="宋体" w:cs="宋体"/>
          <w:b/>
          <w:color w:val="auto"/>
          <w:sz w:val="24"/>
          <w:szCs w:val="24"/>
          <w:highlight w:val="none"/>
          <w:lang w:val="en-US" w:eastAsia="zh-CN"/>
        </w:rPr>
      </w:pPr>
    </w:p>
    <w:p w14:paraId="79133E51">
      <w:pPr>
        <w:shd w:val="clear"/>
        <w:spacing w:line="440" w:lineRule="exact"/>
        <w:rPr>
          <w:rFonts w:hint="eastAsia" w:ascii="宋体" w:hAnsi="宋体" w:eastAsia="宋体" w:cs="宋体"/>
          <w:b/>
          <w:color w:val="auto"/>
          <w:sz w:val="24"/>
          <w:szCs w:val="24"/>
          <w:highlight w:val="none"/>
          <w:lang w:val="en-US" w:eastAsia="zh-CN"/>
        </w:rPr>
      </w:pPr>
    </w:p>
    <w:p w14:paraId="54A4A0A9">
      <w:pPr>
        <w:shd w:val="clear"/>
        <w:spacing w:line="440" w:lineRule="exact"/>
        <w:rPr>
          <w:rFonts w:hint="eastAsia" w:ascii="宋体" w:hAnsi="宋体" w:eastAsia="宋体" w:cs="宋体"/>
          <w:b/>
          <w:color w:val="auto"/>
          <w:sz w:val="24"/>
          <w:szCs w:val="24"/>
          <w:highlight w:val="none"/>
          <w:lang w:val="en-US" w:eastAsia="zh-CN"/>
        </w:rPr>
      </w:pPr>
    </w:p>
    <w:p w14:paraId="229F6F6A">
      <w:pPr>
        <w:shd w:val="clear"/>
        <w:spacing w:line="440" w:lineRule="exact"/>
        <w:rPr>
          <w:rFonts w:hint="eastAsia" w:ascii="宋体" w:hAnsi="宋体" w:eastAsia="宋体" w:cs="宋体"/>
          <w:b/>
          <w:color w:val="auto"/>
          <w:sz w:val="24"/>
          <w:szCs w:val="24"/>
          <w:highlight w:val="none"/>
          <w:lang w:val="en-US" w:eastAsia="zh-CN"/>
        </w:rPr>
      </w:pPr>
    </w:p>
    <w:p w14:paraId="1A38ADE4">
      <w:pPr>
        <w:shd w:val="clear"/>
        <w:spacing w:line="440" w:lineRule="exact"/>
        <w:rPr>
          <w:rFonts w:hint="eastAsia" w:ascii="宋体" w:hAnsi="宋体" w:eastAsia="宋体" w:cs="宋体"/>
          <w:b/>
          <w:color w:val="auto"/>
          <w:sz w:val="24"/>
          <w:szCs w:val="24"/>
          <w:highlight w:val="none"/>
          <w:lang w:val="en-US" w:eastAsia="zh-CN"/>
        </w:rPr>
      </w:pPr>
    </w:p>
    <w:p w14:paraId="2672D493">
      <w:pPr>
        <w:shd w:val="clear"/>
        <w:spacing w:line="440" w:lineRule="exact"/>
        <w:rPr>
          <w:rFonts w:hint="eastAsia" w:ascii="宋体" w:hAnsi="宋体" w:eastAsia="宋体" w:cs="宋体"/>
          <w:b/>
          <w:color w:val="auto"/>
          <w:sz w:val="24"/>
          <w:szCs w:val="24"/>
          <w:highlight w:val="none"/>
          <w:lang w:val="en-US" w:eastAsia="zh-CN"/>
        </w:rPr>
      </w:pPr>
    </w:p>
    <w:p w14:paraId="0C082808">
      <w:pPr>
        <w:shd w:val="clear"/>
        <w:spacing w:line="440" w:lineRule="exact"/>
        <w:rPr>
          <w:rFonts w:hint="eastAsia" w:ascii="宋体" w:hAnsi="宋体" w:eastAsia="宋体" w:cs="宋体"/>
          <w:b/>
          <w:color w:val="auto"/>
          <w:sz w:val="24"/>
          <w:szCs w:val="24"/>
          <w:highlight w:val="none"/>
          <w:lang w:val="en-US" w:eastAsia="zh-CN"/>
        </w:rPr>
      </w:pPr>
    </w:p>
    <w:p w14:paraId="0CE3F8DA">
      <w:pPr>
        <w:shd w:val="clear"/>
        <w:spacing w:line="440" w:lineRule="exact"/>
        <w:rPr>
          <w:rFonts w:hint="eastAsia" w:ascii="宋体" w:hAnsi="宋体" w:eastAsia="宋体" w:cs="宋体"/>
          <w:b/>
          <w:color w:val="auto"/>
          <w:sz w:val="24"/>
          <w:szCs w:val="24"/>
          <w:highlight w:val="none"/>
          <w:lang w:val="en-US" w:eastAsia="zh-CN"/>
        </w:rPr>
      </w:pPr>
    </w:p>
    <w:p w14:paraId="10606143">
      <w:pPr>
        <w:shd w:val="clear"/>
        <w:spacing w:line="440" w:lineRule="exact"/>
        <w:rPr>
          <w:rFonts w:hint="eastAsia" w:ascii="宋体" w:hAnsi="宋体" w:eastAsia="宋体" w:cs="宋体"/>
          <w:b/>
          <w:color w:val="auto"/>
          <w:sz w:val="24"/>
          <w:szCs w:val="24"/>
          <w:highlight w:val="none"/>
          <w:lang w:val="en-US" w:eastAsia="zh-CN"/>
        </w:rPr>
      </w:pPr>
    </w:p>
    <w:p w14:paraId="18AF585F">
      <w:pPr>
        <w:shd w:val="clear"/>
        <w:spacing w:line="440" w:lineRule="exact"/>
        <w:rPr>
          <w:rFonts w:hint="eastAsia" w:ascii="宋体" w:hAnsi="宋体" w:eastAsia="宋体" w:cs="宋体"/>
          <w:b/>
          <w:color w:val="auto"/>
          <w:sz w:val="24"/>
          <w:szCs w:val="24"/>
          <w:highlight w:val="none"/>
          <w:lang w:val="en-US" w:eastAsia="zh-CN"/>
        </w:rPr>
      </w:pPr>
    </w:p>
    <w:p w14:paraId="12E94E6F">
      <w:pPr>
        <w:shd w:val="clear"/>
        <w:spacing w:line="440" w:lineRule="exact"/>
        <w:rPr>
          <w:rFonts w:hint="eastAsia" w:ascii="宋体" w:hAnsi="宋体" w:eastAsia="宋体" w:cs="宋体"/>
          <w:b/>
          <w:color w:val="auto"/>
          <w:sz w:val="24"/>
          <w:szCs w:val="24"/>
          <w:highlight w:val="none"/>
          <w:lang w:val="en-US" w:eastAsia="zh-CN"/>
        </w:rPr>
      </w:pPr>
    </w:p>
    <w:p w14:paraId="0E1EFFB2">
      <w:pPr>
        <w:shd w:val="clear"/>
        <w:spacing w:line="440" w:lineRule="exact"/>
        <w:rPr>
          <w:rFonts w:hint="eastAsia" w:ascii="宋体" w:hAnsi="宋体" w:eastAsia="宋体" w:cs="宋体"/>
          <w:b/>
          <w:color w:val="auto"/>
          <w:sz w:val="24"/>
          <w:szCs w:val="24"/>
          <w:highlight w:val="none"/>
          <w:lang w:val="en-US" w:eastAsia="zh-CN"/>
        </w:rPr>
      </w:pPr>
    </w:p>
    <w:p w14:paraId="65B845AA">
      <w:pPr>
        <w:shd w:val="clear"/>
        <w:spacing w:line="440" w:lineRule="exact"/>
        <w:rPr>
          <w:rFonts w:hint="eastAsia" w:ascii="宋体" w:hAnsi="宋体" w:eastAsia="宋体" w:cs="宋体"/>
          <w:b/>
          <w:color w:val="auto"/>
          <w:sz w:val="24"/>
          <w:szCs w:val="24"/>
          <w:highlight w:val="none"/>
          <w:lang w:val="en-US" w:eastAsia="zh-CN"/>
        </w:rPr>
      </w:pPr>
    </w:p>
    <w:p w14:paraId="64E25642">
      <w:pPr>
        <w:shd w:val="clear"/>
        <w:spacing w:line="440" w:lineRule="exact"/>
        <w:rPr>
          <w:rFonts w:hint="eastAsia" w:ascii="宋体" w:hAnsi="宋体" w:eastAsia="宋体" w:cs="宋体"/>
          <w:b/>
          <w:color w:val="auto"/>
          <w:sz w:val="24"/>
          <w:szCs w:val="24"/>
          <w:highlight w:val="none"/>
          <w:lang w:val="en-US" w:eastAsia="zh-CN"/>
        </w:rPr>
      </w:pPr>
    </w:p>
    <w:p w14:paraId="4A091685">
      <w:pPr>
        <w:shd w:val="clear"/>
        <w:spacing w:line="440" w:lineRule="exact"/>
        <w:rPr>
          <w:rFonts w:hint="eastAsia" w:ascii="宋体" w:hAnsi="宋体" w:eastAsia="宋体" w:cs="宋体"/>
          <w:b/>
          <w:color w:val="auto"/>
          <w:sz w:val="24"/>
          <w:szCs w:val="24"/>
          <w:highlight w:val="none"/>
          <w:lang w:val="en-US" w:eastAsia="zh-CN"/>
        </w:rPr>
      </w:pPr>
    </w:p>
    <w:p w14:paraId="27E5FDFA">
      <w:pPr>
        <w:keepNext w:val="0"/>
        <w:keepLines w:val="0"/>
        <w:pageBreakBefore w:val="0"/>
        <w:widowControl w:val="0"/>
        <w:shd w:val="clear" w:color="auto" w:fill="auto"/>
        <w:kinsoku/>
        <w:wordWrap/>
        <w:overflowPunct/>
        <w:topLinePunct w:val="0"/>
        <w:autoSpaceDE/>
        <w:autoSpaceDN/>
        <w:bidi w:val="0"/>
        <w:spacing w:line="360" w:lineRule="auto"/>
        <w:jc w:val="left"/>
        <w:textAlignment w:val="auto"/>
        <w:outlineLvl w:val="0"/>
        <w:rPr>
          <w:rFonts w:hint="default" w:ascii="宋体" w:hAnsi="宋体" w:eastAsia="宋体" w:cs="宋体"/>
          <w:color w:val="auto"/>
          <w:sz w:val="24"/>
          <w:szCs w:val="24"/>
          <w:highlight w:val="none"/>
          <w:lang w:val="en-US" w:eastAsia="zh-CN"/>
        </w:rPr>
      </w:pPr>
      <w:bookmarkStart w:id="21" w:name="_Toc15720"/>
      <w:r>
        <w:rPr>
          <w:rFonts w:hint="eastAsia" w:ascii="宋体" w:hAnsi="宋体" w:eastAsia="宋体" w:cs="宋体"/>
          <w:b/>
          <w:bCs w:val="0"/>
          <w:color w:val="auto"/>
          <w:sz w:val="24"/>
          <w:szCs w:val="24"/>
          <w:highlight w:val="none"/>
          <w:lang w:val="en-US" w:eastAsia="zh-CN"/>
        </w:rPr>
        <w:t>附件</w:t>
      </w:r>
      <w:r>
        <w:rPr>
          <w:rFonts w:hint="eastAsia" w:ascii="宋体" w:hAnsi="宋体" w:cs="宋体"/>
          <w:b/>
          <w:bCs w:val="0"/>
          <w:color w:val="auto"/>
          <w:sz w:val="24"/>
          <w:szCs w:val="24"/>
          <w:highlight w:val="none"/>
          <w:lang w:val="en-US" w:eastAsia="zh-CN"/>
        </w:rPr>
        <w:t>四</w:t>
      </w:r>
      <w:r>
        <w:rPr>
          <w:rFonts w:hint="eastAsia" w:ascii="宋体" w:hAnsi="宋体" w:eastAsia="宋体" w:cs="宋体"/>
          <w:b/>
          <w:bCs w:val="0"/>
          <w:color w:val="auto"/>
          <w:sz w:val="24"/>
          <w:szCs w:val="24"/>
          <w:highlight w:val="none"/>
          <w:lang w:val="en-US" w:eastAsia="zh-CN"/>
        </w:rPr>
        <w:t>：</w:t>
      </w:r>
      <w:r>
        <w:rPr>
          <w:rFonts w:hint="default" w:ascii="宋体" w:hAnsi="宋体" w:eastAsia="宋体" w:cs="宋体"/>
          <w:b/>
          <w:bCs/>
          <w:color w:val="auto"/>
          <w:sz w:val="24"/>
          <w:szCs w:val="24"/>
          <w:highlight w:val="none"/>
          <w:lang w:val="en-US" w:eastAsia="zh-CN"/>
        </w:rPr>
        <w:t>乙方专业维修人员名单</w:t>
      </w:r>
      <w:bookmarkEnd w:id="21"/>
    </w:p>
    <w:tbl>
      <w:tblPr>
        <w:tblStyle w:val="11"/>
        <w:tblW w:w="0" w:type="auto"/>
        <w:tblInd w:w="1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8"/>
        <w:gridCol w:w="2433"/>
        <w:gridCol w:w="2796"/>
        <w:gridCol w:w="3293"/>
      </w:tblGrid>
      <w:tr w14:paraId="183E6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8" w:type="dxa"/>
            <w:noWrap w:val="0"/>
            <w:vAlign w:val="center"/>
          </w:tcPr>
          <w:p w14:paraId="6D723B4A">
            <w:pPr>
              <w:keepNext w:val="0"/>
              <w:keepLines w:val="0"/>
              <w:pageBreakBefore w:val="0"/>
              <w:widowControl w:val="0"/>
              <w:shd w:val="clear" w:color="auto" w:fill="auto"/>
              <w:kinsoku/>
              <w:wordWrap/>
              <w:overflowPunct/>
              <w:topLinePunct w:val="0"/>
              <w:autoSpaceDE/>
              <w:autoSpaceDN/>
              <w:bidi w:val="0"/>
              <w:spacing w:line="360" w:lineRule="auto"/>
              <w:jc w:val="center"/>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序号</w:t>
            </w:r>
          </w:p>
        </w:tc>
        <w:tc>
          <w:tcPr>
            <w:tcW w:w="2433" w:type="dxa"/>
            <w:noWrap w:val="0"/>
            <w:vAlign w:val="center"/>
          </w:tcPr>
          <w:p w14:paraId="672E0908">
            <w:pPr>
              <w:keepNext w:val="0"/>
              <w:keepLines w:val="0"/>
              <w:pageBreakBefore w:val="0"/>
              <w:widowControl w:val="0"/>
              <w:shd w:val="clear" w:color="auto" w:fill="auto"/>
              <w:kinsoku/>
              <w:wordWrap/>
              <w:overflowPunct/>
              <w:topLinePunct w:val="0"/>
              <w:autoSpaceDE/>
              <w:autoSpaceDN/>
              <w:bidi w:val="0"/>
              <w:spacing w:line="360" w:lineRule="auto"/>
              <w:jc w:val="center"/>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联系人</w:t>
            </w:r>
          </w:p>
        </w:tc>
        <w:tc>
          <w:tcPr>
            <w:tcW w:w="2796" w:type="dxa"/>
            <w:noWrap w:val="0"/>
            <w:vAlign w:val="center"/>
          </w:tcPr>
          <w:p w14:paraId="0644D567">
            <w:pPr>
              <w:keepNext w:val="0"/>
              <w:keepLines w:val="0"/>
              <w:pageBreakBefore w:val="0"/>
              <w:widowControl w:val="0"/>
              <w:shd w:val="clear" w:color="auto" w:fill="auto"/>
              <w:kinsoku/>
              <w:wordWrap/>
              <w:overflowPunct/>
              <w:topLinePunct w:val="0"/>
              <w:autoSpaceDE/>
              <w:autoSpaceDN/>
              <w:bidi w:val="0"/>
              <w:spacing w:line="360" w:lineRule="auto"/>
              <w:jc w:val="center"/>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技术职称</w:t>
            </w:r>
          </w:p>
        </w:tc>
        <w:tc>
          <w:tcPr>
            <w:tcW w:w="3293" w:type="dxa"/>
            <w:noWrap w:val="0"/>
            <w:vAlign w:val="center"/>
          </w:tcPr>
          <w:p w14:paraId="7934CEEC">
            <w:pPr>
              <w:keepNext w:val="0"/>
              <w:keepLines w:val="0"/>
              <w:pageBreakBefore w:val="0"/>
              <w:widowControl w:val="0"/>
              <w:shd w:val="clear" w:color="auto" w:fill="auto"/>
              <w:kinsoku/>
              <w:wordWrap/>
              <w:overflowPunct/>
              <w:topLinePunct w:val="0"/>
              <w:autoSpaceDE/>
              <w:autoSpaceDN/>
              <w:bidi w:val="0"/>
              <w:spacing w:line="360" w:lineRule="auto"/>
              <w:jc w:val="center"/>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联系电话</w:t>
            </w:r>
          </w:p>
        </w:tc>
      </w:tr>
      <w:tr w14:paraId="54285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8" w:type="dxa"/>
            <w:noWrap w:val="0"/>
            <w:vAlign w:val="center"/>
          </w:tcPr>
          <w:p w14:paraId="6F5C9F67">
            <w:pPr>
              <w:keepNext w:val="0"/>
              <w:keepLines w:val="0"/>
              <w:pageBreakBefore w:val="0"/>
              <w:widowControl w:val="0"/>
              <w:shd w:val="clear" w:color="auto" w:fill="auto"/>
              <w:kinsoku/>
              <w:wordWrap/>
              <w:overflowPunct/>
              <w:topLinePunct w:val="0"/>
              <w:autoSpaceDE/>
              <w:autoSpaceDN/>
              <w:bidi w:val="0"/>
              <w:spacing w:line="360" w:lineRule="auto"/>
              <w:jc w:val="center"/>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1</w:t>
            </w:r>
          </w:p>
        </w:tc>
        <w:tc>
          <w:tcPr>
            <w:tcW w:w="2433" w:type="dxa"/>
            <w:noWrap w:val="0"/>
            <w:vAlign w:val="center"/>
          </w:tcPr>
          <w:p w14:paraId="3BA928CE">
            <w:pPr>
              <w:keepNext w:val="0"/>
              <w:keepLines w:val="0"/>
              <w:pageBreakBefore w:val="0"/>
              <w:widowControl w:val="0"/>
              <w:shd w:val="clear" w:color="auto" w:fill="auto"/>
              <w:kinsoku/>
              <w:wordWrap/>
              <w:overflowPunct/>
              <w:topLinePunct w:val="0"/>
              <w:autoSpaceDE/>
              <w:autoSpaceDN/>
              <w:bidi w:val="0"/>
              <w:spacing w:line="360" w:lineRule="auto"/>
              <w:jc w:val="center"/>
              <w:textAlignment w:val="auto"/>
              <w:rPr>
                <w:rFonts w:hint="default" w:ascii="宋体" w:hAnsi="宋体" w:eastAsia="宋体" w:cs="宋体"/>
                <w:color w:val="auto"/>
                <w:sz w:val="24"/>
                <w:szCs w:val="24"/>
                <w:highlight w:val="none"/>
                <w:lang w:val="en-US" w:eastAsia="zh-CN"/>
              </w:rPr>
            </w:pPr>
          </w:p>
        </w:tc>
        <w:tc>
          <w:tcPr>
            <w:tcW w:w="2796" w:type="dxa"/>
            <w:noWrap w:val="0"/>
            <w:vAlign w:val="center"/>
          </w:tcPr>
          <w:p w14:paraId="3071448B">
            <w:pPr>
              <w:keepNext w:val="0"/>
              <w:keepLines w:val="0"/>
              <w:pageBreakBefore w:val="0"/>
              <w:widowControl w:val="0"/>
              <w:shd w:val="clear" w:color="auto" w:fill="auto"/>
              <w:kinsoku/>
              <w:wordWrap/>
              <w:overflowPunct/>
              <w:topLinePunct w:val="0"/>
              <w:autoSpaceDE/>
              <w:autoSpaceDN/>
              <w:bidi w:val="0"/>
              <w:spacing w:line="360" w:lineRule="auto"/>
              <w:jc w:val="center"/>
              <w:textAlignment w:val="auto"/>
              <w:rPr>
                <w:rFonts w:hint="default" w:ascii="宋体" w:hAnsi="宋体" w:eastAsia="宋体" w:cs="宋体"/>
                <w:color w:val="auto"/>
                <w:sz w:val="24"/>
                <w:szCs w:val="24"/>
                <w:highlight w:val="none"/>
                <w:lang w:val="en-US" w:eastAsia="zh-CN"/>
              </w:rPr>
            </w:pPr>
          </w:p>
        </w:tc>
        <w:tc>
          <w:tcPr>
            <w:tcW w:w="3293" w:type="dxa"/>
            <w:noWrap w:val="0"/>
            <w:vAlign w:val="center"/>
          </w:tcPr>
          <w:p w14:paraId="2E6F3D96">
            <w:pPr>
              <w:keepNext w:val="0"/>
              <w:keepLines w:val="0"/>
              <w:pageBreakBefore w:val="0"/>
              <w:widowControl w:val="0"/>
              <w:shd w:val="clear" w:color="auto" w:fill="auto"/>
              <w:kinsoku/>
              <w:wordWrap/>
              <w:overflowPunct/>
              <w:topLinePunct w:val="0"/>
              <w:autoSpaceDE/>
              <w:autoSpaceDN/>
              <w:bidi w:val="0"/>
              <w:spacing w:line="360" w:lineRule="auto"/>
              <w:jc w:val="center"/>
              <w:textAlignment w:val="auto"/>
              <w:rPr>
                <w:rFonts w:hint="default" w:ascii="宋体" w:hAnsi="宋体" w:eastAsia="宋体" w:cs="宋体"/>
                <w:color w:val="auto"/>
                <w:sz w:val="24"/>
                <w:szCs w:val="24"/>
                <w:highlight w:val="none"/>
                <w:lang w:val="en-US" w:eastAsia="zh-CN"/>
              </w:rPr>
            </w:pPr>
          </w:p>
        </w:tc>
      </w:tr>
      <w:tr w14:paraId="75976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8" w:type="dxa"/>
            <w:noWrap w:val="0"/>
            <w:vAlign w:val="center"/>
          </w:tcPr>
          <w:p w14:paraId="3184C54C">
            <w:pPr>
              <w:keepNext w:val="0"/>
              <w:keepLines w:val="0"/>
              <w:pageBreakBefore w:val="0"/>
              <w:widowControl w:val="0"/>
              <w:shd w:val="clear" w:color="auto" w:fill="auto"/>
              <w:kinsoku/>
              <w:wordWrap/>
              <w:overflowPunct/>
              <w:topLinePunct w:val="0"/>
              <w:autoSpaceDE/>
              <w:autoSpaceDN/>
              <w:bidi w:val="0"/>
              <w:spacing w:line="360" w:lineRule="auto"/>
              <w:jc w:val="center"/>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p>
        </w:tc>
        <w:tc>
          <w:tcPr>
            <w:tcW w:w="2433" w:type="dxa"/>
            <w:noWrap w:val="0"/>
            <w:vAlign w:val="center"/>
          </w:tcPr>
          <w:p w14:paraId="0724AEF1">
            <w:pPr>
              <w:keepNext w:val="0"/>
              <w:keepLines w:val="0"/>
              <w:pageBreakBefore w:val="0"/>
              <w:widowControl w:val="0"/>
              <w:shd w:val="clear" w:color="auto" w:fill="auto"/>
              <w:kinsoku/>
              <w:wordWrap/>
              <w:overflowPunct/>
              <w:topLinePunct w:val="0"/>
              <w:autoSpaceDE/>
              <w:autoSpaceDN/>
              <w:bidi w:val="0"/>
              <w:spacing w:line="360" w:lineRule="auto"/>
              <w:jc w:val="center"/>
              <w:textAlignment w:val="auto"/>
              <w:rPr>
                <w:rFonts w:hint="default" w:ascii="宋体" w:hAnsi="宋体" w:eastAsia="宋体" w:cs="宋体"/>
                <w:color w:val="auto"/>
                <w:sz w:val="24"/>
                <w:szCs w:val="24"/>
                <w:highlight w:val="none"/>
                <w:lang w:val="en-US" w:eastAsia="zh-CN"/>
              </w:rPr>
            </w:pPr>
          </w:p>
        </w:tc>
        <w:tc>
          <w:tcPr>
            <w:tcW w:w="2796" w:type="dxa"/>
            <w:noWrap w:val="0"/>
            <w:vAlign w:val="center"/>
          </w:tcPr>
          <w:p w14:paraId="10FB867A">
            <w:pPr>
              <w:keepNext w:val="0"/>
              <w:keepLines w:val="0"/>
              <w:pageBreakBefore w:val="0"/>
              <w:widowControl w:val="0"/>
              <w:shd w:val="clear" w:color="auto" w:fill="auto"/>
              <w:kinsoku/>
              <w:wordWrap/>
              <w:overflowPunct/>
              <w:topLinePunct w:val="0"/>
              <w:autoSpaceDE/>
              <w:autoSpaceDN/>
              <w:bidi w:val="0"/>
              <w:spacing w:line="360" w:lineRule="auto"/>
              <w:jc w:val="center"/>
              <w:textAlignment w:val="auto"/>
              <w:rPr>
                <w:rFonts w:hint="default" w:ascii="宋体" w:hAnsi="宋体" w:eastAsia="宋体" w:cs="宋体"/>
                <w:color w:val="auto"/>
                <w:sz w:val="24"/>
                <w:szCs w:val="24"/>
                <w:highlight w:val="none"/>
                <w:lang w:val="en-US" w:eastAsia="zh-CN"/>
              </w:rPr>
            </w:pPr>
          </w:p>
        </w:tc>
        <w:tc>
          <w:tcPr>
            <w:tcW w:w="3293" w:type="dxa"/>
            <w:noWrap w:val="0"/>
            <w:vAlign w:val="center"/>
          </w:tcPr>
          <w:p w14:paraId="60A1FF1A">
            <w:pPr>
              <w:keepNext w:val="0"/>
              <w:keepLines w:val="0"/>
              <w:pageBreakBefore w:val="0"/>
              <w:widowControl w:val="0"/>
              <w:shd w:val="clear" w:color="auto" w:fill="auto"/>
              <w:kinsoku/>
              <w:wordWrap/>
              <w:overflowPunct/>
              <w:topLinePunct w:val="0"/>
              <w:autoSpaceDE/>
              <w:autoSpaceDN/>
              <w:bidi w:val="0"/>
              <w:spacing w:line="360" w:lineRule="auto"/>
              <w:jc w:val="center"/>
              <w:textAlignment w:val="auto"/>
              <w:rPr>
                <w:rFonts w:hint="default" w:ascii="宋体" w:hAnsi="宋体" w:eastAsia="宋体" w:cs="宋体"/>
                <w:color w:val="auto"/>
                <w:sz w:val="24"/>
                <w:szCs w:val="24"/>
                <w:highlight w:val="none"/>
                <w:lang w:val="en-US" w:eastAsia="zh-CN"/>
              </w:rPr>
            </w:pPr>
          </w:p>
        </w:tc>
      </w:tr>
      <w:tr w14:paraId="02801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8" w:type="dxa"/>
            <w:noWrap w:val="0"/>
            <w:vAlign w:val="center"/>
          </w:tcPr>
          <w:p w14:paraId="6D73FFAE">
            <w:pPr>
              <w:keepNext w:val="0"/>
              <w:keepLines w:val="0"/>
              <w:pageBreakBefore w:val="0"/>
              <w:widowControl w:val="0"/>
              <w:shd w:val="clear" w:color="auto" w:fill="auto"/>
              <w:kinsoku/>
              <w:wordWrap/>
              <w:overflowPunct/>
              <w:topLinePunct w:val="0"/>
              <w:autoSpaceDE/>
              <w:autoSpaceDN/>
              <w:bidi w:val="0"/>
              <w:spacing w:line="360" w:lineRule="auto"/>
              <w:jc w:val="center"/>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w:t>
            </w:r>
          </w:p>
        </w:tc>
        <w:tc>
          <w:tcPr>
            <w:tcW w:w="2433" w:type="dxa"/>
            <w:noWrap w:val="0"/>
            <w:vAlign w:val="center"/>
          </w:tcPr>
          <w:p w14:paraId="23EC941D">
            <w:pPr>
              <w:keepNext w:val="0"/>
              <w:keepLines w:val="0"/>
              <w:pageBreakBefore w:val="0"/>
              <w:widowControl w:val="0"/>
              <w:shd w:val="clear" w:color="auto" w:fill="auto"/>
              <w:kinsoku/>
              <w:wordWrap/>
              <w:overflowPunct/>
              <w:topLinePunct w:val="0"/>
              <w:autoSpaceDE/>
              <w:autoSpaceDN/>
              <w:bidi w:val="0"/>
              <w:spacing w:line="360" w:lineRule="auto"/>
              <w:jc w:val="center"/>
              <w:textAlignment w:val="auto"/>
              <w:rPr>
                <w:rFonts w:hint="default" w:ascii="宋体" w:hAnsi="宋体" w:eastAsia="宋体" w:cs="宋体"/>
                <w:color w:val="auto"/>
                <w:sz w:val="24"/>
                <w:szCs w:val="24"/>
                <w:highlight w:val="none"/>
                <w:lang w:val="en-US" w:eastAsia="zh-CN"/>
              </w:rPr>
            </w:pPr>
          </w:p>
        </w:tc>
        <w:tc>
          <w:tcPr>
            <w:tcW w:w="2796" w:type="dxa"/>
            <w:noWrap w:val="0"/>
            <w:vAlign w:val="center"/>
          </w:tcPr>
          <w:p w14:paraId="57DD9C2C">
            <w:pPr>
              <w:keepNext w:val="0"/>
              <w:keepLines w:val="0"/>
              <w:pageBreakBefore w:val="0"/>
              <w:widowControl w:val="0"/>
              <w:shd w:val="clear" w:color="auto" w:fill="auto"/>
              <w:kinsoku/>
              <w:wordWrap/>
              <w:overflowPunct/>
              <w:topLinePunct w:val="0"/>
              <w:autoSpaceDE/>
              <w:autoSpaceDN/>
              <w:bidi w:val="0"/>
              <w:spacing w:line="360" w:lineRule="auto"/>
              <w:jc w:val="center"/>
              <w:textAlignment w:val="auto"/>
              <w:rPr>
                <w:rFonts w:hint="default" w:ascii="宋体" w:hAnsi="宋体" w:eastAsia="宋体" w:cs="宋体"/>
                <w:color w:val="auto"/>
                <w:sz w:val="24"/>
                <w:szCs w:val="24"/>
                <w:highlight w:val="none"/>
                <w:lang w:val="en-US" w:eastAsia="zh-CN"/>
              </w:rPr>
            </w:pPr>
          </w:p>
        </w:tc>
        <w:tc>
          <w:tcPr>
            <w:tcW w:w="3293" w:type="dxa"/>
            <w:noWrap w:val="0"/>
            <w:vAlign w:val="center"/>
          </w:tcPr>
          <w:p w14:paraId="597A8170">
            <w:pPr>
              <w:keepNext w:val="0"/>
              <w:keepLines w:val="0"/>
              <w:pageBreakBefore w:val="0"/>
              <w:widowControl w:val="0"/>
              <w:shd w:val="clear" w:color="auto" w:fill="auto"/>
              <w:kinsoku/>
              <w:wordWrap/>
              <w:overflowPunct/>
              <w:topLinePunct w:val="0"/>
              <w:autoSpaceDE/>
              <w:autoSpaceDN/>
              <w:bidi w:val="0"/>
              <w:spacing w:line="360" w:lineRule="auto"/>
              <w:jc w:val="center"/>
              <w:textAlignment w:val="auto"/>
              <w:rPr>
                <w:rFonts w:hint="default" w:ascii="宋体" w:hAnsi="宋体" w:eastAsia="宋体" w:cs="宋体"/>
                <w:color w:val="auto"/>
                <w:sz w:val="24"/>
                <w:szCs w:val="24"/>
                <w:highlight w:val="none"/>
                <w:lang w:val="en-US" w:eastAsia="zh-CN"/>
              </w:rPr>
            </w:pPr>
          </w:p>
        </w:tc>
      </w:tr>
      <w:tr w14:paraId="38928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8" w:type="dxa"/>
            <w:noWrap w:val="0"/>
            <w:vAlign w:val="center"/>
          </w:tcPr>
          <w:p w14:paraId="67E875E9">
            <w:pPr>
              <w:keepNext w:val="0"/>
              <w:keepLines w:val="0"/>
              <w:pageBreakBefore w:val="0"/>
              <w:widowControl w:val="0"/>
              <w:shd w:val="clear" w:color="auto" w:fill="auto"/>
              <w:kinsoku/>
              <w:wordWrap/>
              <w:overflowPunct/>
              <w:topLinePunct w:val="0"/>
              <w:autoSpaceDE/>
              <w:autoSpaceDN/>
              <w:bidi w:val="0"/>
              <w:spacing w:line="360" w:lineRule="auto"/>
              <w:jc w:val="center"/>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p>
        </w:tc>
        <w:tc>
          <w:tcPr>
            <w:tcW w:w="2433" w:type="dxa"/>
            <w:noWrap w:val="0"/>
            <w:vAlign w:val="center"/>
          </w:tcPr>
          <w:p w14:paraId="4ABFD3A8">
            <w:pPr>
              <w:keepNext w:val="0"/>
              <w:keepLines w:val="0"/>
              <w:pageBreakBefore w:val="0"/>
              <w:widowControl w:val="0"/>
              <w:shd w:val="clear" w:color="auto" w:fill="auto"/>
              <w:kinsoku/>
              <w:wordWrap/>
              <w:overflowPunct/>
              <w:topLinePunct w:val="0"/>
              <w:autoSpaceDE/>
              <w:autoSpaceDN/>
              <w:bidi w:val="0"/>
              <w:spacing w:line="360" w:lineRule="auto"/>
              <w:jc w:val="center"/>
              <w:textAlignment w:val="auto"/>
              <w:rPr>
                <w:rFonts w:hint="default" w:ascii="宋体" w:hAnsi="宋体" w:eastAsia="宋体" w:cs="宋体"/>
                <w:color w:val="auto"/>
                <w:sz w:val="24"/>
                <w:szCs w:val="24"/>
                <w:highlight w:val="none"/>
                <w:lang w:val="en-US" w:eastAsia="zh-CN"/>
              </w:rPr>
            </w:pPr>
          </w:p>
        </w:tc>
        <w:tc>
          <w:tcPr>
            <w:tcW w:w="2796" w:type="dxa"/>
            <w:noWrap w:val="0"/>
            <w:vAlign w:val="center"/>
          </w:tcPr>
          <w:p w14:paraId="288D5572">
            <w:pPr>
              <w:keepNext w:val="0"/>
              <w:keepLines w:val="0"/>
              <w:pageBreakBefore w:val="0"/>
              <w:widowControl w:val="0"/>
              <w:shd w:val="clear" w:color="auto" w:fill="auto"/>
              <w:kinsoku/>
              <w:wordWrap/>
              <w:overflowPunct/>
              <w:topLinePunct w:val="0"/>
              <w:autoSpaceDE/>
              <w:autoSpaceDN/>
              <w:bidi w:val="0"/>
              <w:spacing w:line="360" w:lineRule="auto"/>
              <w:jc w:val="center"/>
              <w:textAlignment w:val="auto"/>
              <w:rPr>
                <w:rFonts w:hint="default" w:ascii="宋体" w:hAnsi="宋体" w:eastAsia="宋体" w:cs="宋体"/>
                <w:color w:val="auto"/>
                <w:sz w:val="24"/>
                <w:szCs w:val="24"/>
                <w:highlight w:val="none"/>
                <w:lang w:val="en-US" w:eastAsia="zh-CN"/>
              </w:rPr>
            </w:pPr>
          </w:p>
        </w:tc>
        <w:tc>
          <w:tcPr>
            <w:tcW w:w="3293" w:type="dxa"/>
            <w:noWrap w:val="0"/>
            <w:vAlign w:val="center"/>
          </w:tcPr>
          <w:p w14:paraId="0A9FD3B1">
            <w:pPr>
              <w:keepNext w:val="0"/>
              <w:keepLines w:val="0"/>
              <w:pageBreakBefore w:val="0"/>
              <w:widowControl w:val="0"/>
              <w:shd w:val="clear" w:color="auto" w:fill="auto"/>
              <w:kinsoku/>
              <w:wordWrap/>
              <w:overflowPunct/>
              <w:topLinePunct w:val="0"/>
              <w:autoSpaceDE/>
              <w:autoSpaceDN/>
              <w:bidi w:val="0"/>
              <w:spacing w:line="360" w:lineRule="auto"/>
              <w:jc w:val="center"/>
              <w:textAlignment w:val="auto"/>
              <w:rPr>
                <w:rFonts w:hint="default" w:ascii="宋体" w:hAnsi="宋体" w:eastAsia="宋体" w:cs="宋体"/>
                <w:color w:val="auto"/>
                <w:sz w:val="24"/>
                <w:szCs w:val="24"/>
                <w:highlight w:val="none"/>
                <w:lang w:val="en-US" w:eastAsia="zh-CN"/>
              </w:rPr>
            </w:pPr>
          </w:p>
        </w:tc>
      </w:tr>
      <w:tr w14:paraId="6503E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8" w:type="dxa"/>
            <w:noWrap w:val="0"/>
            <w:vAlign w:val="center"/>
          </w:tcPr>
          <w:p w14:paraId="68AB9C39">
            <w:pPr>
              <w:keepNext w:val="0"/>
              <w:keepLines w:val="0"/>
              <w:pageBreakBefore w:val="0"/>
              <w:widowControl w:val="0"/>
              <w:shd w:val="clear" w:color="auto" w:fill="auto"/>
              <w:kinsoku/>
              <w:wordWrap/>
              <w:overflowPunct/>
              <w:topLinePunct w:val="0"/>
              <w:autoSpaceDE/>
              <w:autoSpaceDN/>
              <w:bidi w:val="0"/>
              <w:spacing w:line="360" w:lineRule="auto"/>
              <w:jc w:val="center"/>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w:t>
            </w:r>
          </w:p>
        </w:tc>
        <w:tc>
          <w:tcPr>
            <w:tcW w:w="2433" w:type="dxa"/>
            <w:noWrap w:val="0"/>
            <w:vAlign w:val="center"/>
          </w:tcPr>
          <w:p w14:paraId="70F2EE36">
            <w:pPr>
              <w:keepNext w:val="0"/>
              <w:keepLines w:val="0"/>
              <w:pageBreakBefore w:val="0"/>
              <w:widowControl w:val="0"/>
              <w:shd w:val="clear" w:color="auto" w:fill="auto"/>
              <w:kinsoku/>
              <w:wordWrap/>
              <w:overflowPunct/>
              <w:topLinePunct w:val="0"/>
              <w:autoSpaceDE/>
              <w:autoSpaceDN/>
              <w:bidi w:val="0"/>
              <w:spacing w:line="360" w:lineRule="auto"/>
              <w:jc w:val="center"/>
              <w:textAlignment w:val="auto"/>
              <w:rPr>
                <w:rFonts w:hint="default" w:ascii="宋体" w:hAnsi="宋体" w:eastAsia="宋体" w:cs="宋体"/>
                <w:color w:val="auto"/>
                <w:sz w:val="24"/>
                <w:szCs w:val="24"/>
                <w:highlight w:val="none"/>
                <w:lang w:val="en-US" w:eastAsia="zh-CN"/>
              </w:rPr>
            </w:pPr>
          </w:p>
        </w:tc>
        <w:tc>
          <w:tcPr>
            <w:tcW w:w="2796" w:type="dxa"/>
            <w:noWrap w:val="0"/>
            <w:vAlign w:val="center"/>
          </w:tcPr>
          <w:p w14:paraId="3172056C">
            <w:pPr>
              <w:keepNext w:val="0"/>
              <w:keepLines w:val="0"/>
              <w:pageBreakBefore w:val="0"/>
              <w:widowControl w:val="0"/>
              <w:shd w:val="clear" w:color="auto" w:fill="auto"/>
              <w:kinsoku/>
              <w:wordWrap/>
              <w:overflowPunct/>
              <w:topLinePunct w:val="0"/>
              <w:autoSpaceDE/>
              <w:autoSpaceDN/>
              <w:bidi w:val="0"/>
              <w:spacing w:line="360" w:lineRule="auto"/>
              <w:jc w:val="center"/>
              <w:textAlignment w:val="auto"/>
              <w:rPr>
                <w:rFonts w:hint="default" w:ascii="宋体" w:hAnsi="宋体" w:eastAsia="宋体" w:cs="宋体"/>
                <w:color w:val="auto"/>
                <w:sz w:val="24"/>
                <w:szCs w:val="24"/>
                <w:highlight w:val="none"/>
                <w:lang w:val="en-US" w:eastAsia="zh-CN"/>
              </w:rPr>
            </w:pPr>
          </w:p>
        </w:tc>
        <w:tc>
          <w:tcPr>
            <w:tcW w:w="3293" w:type="dxa"/>
            <w:noWrap w:val="0"/>
            <w:vAlign w:val="center"/>
          </w:tcPr>
          <w:p w14:paraId="502B1085">
            <w:pPr>
              <w:keepNext w:val="0"/>
              <w:keepLines w:val="0"/>
              <w:pageBreakBefore w:val="0"/>
              <w:widowControl w:val="0"/>
              <w:shd w:val="clear" w:color="auto" w:fill="auto"/>
              <w:kinsoku/>
              <w:wordWrap/>
              <w:overflowPunct/>
              <w:topLinePunct w:val="0"/>
              <w:autoSpaceDE/>
              <w:autoSpaceDN/>
              <w:bidi w:val="0"/>
              <w:spacing w:line="360" w:lineRule="auto"/>
              <w:jc w:val="center"/>
              <w:textAlignment w:val="auto"/>
              <w:rPr>
                <w:rFonts w:hint="default" w:ascii="宋体" w:hAnsi="宋体" w:eastAsia="宋体" w:cs="宋体"/>
                <w:color w:val="auto"/>
                <w:sz w:val="24"/>
                <w:szCs w:val="24"/>
                <w:highlight w:val="none"/>
                <w:lang w:val="en-US" w:eastAsia="zh-CN"/>
              </w:rPr>
            </w:pPr>
          </w:p>
        </w:tc>
      </w:tr>
      <w:tr w14:paraId="052C6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8" w:type="dxa"/>
            <w:noWrap w:val="0"/>
            <w:vAlign w:val="center"/>
          </w:tcPr>
          <w:p w14:paraId="2B87EB0E">
            <w:pPr>
              <w:keepNext w:val="0"/>
              <w:keepLines w:val="0"/>
              <w:pageBreakBefore w:val="0"/>
              <w:widowControl w:val="0"/>
              <w:shd w:val="clear" w:color="auto" w:fill="auto"/>
              <w:kinsoku/>
              <w:wordWrap/>
              <w:overflowPunct/>
              <w:topLinePunct w:val="0"/>
              <w:autoSpaceDE/>
              <w:autoSpaceDN/>
              <w:bidi w:val="0"/>
              <w:spacing w:line="360" w:lineRule="auto"/>
              <w:jc w:val="center"/>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w:t>
            </w:r>
          </w:p>
        </w:tc>
        <w:tc>
          <w:tcPr>
            <w:tcW w:w="2433" w:type="dxa"/>
            <w:noWrap w:val="0"/>
            <w:vAlign w:val="center"/>
          </w:tcPr>
          <w:p w14:paraId="474D3EE0">
            <w:pPr>
              <w:keepNext w:val="0"/>
              <w:keepLines w:val="0"/>
              <w:pageBreakBefore w:val="0"/>
              <w:widowControl w:val="0"/>
              <w:shd w:val="clear" w:color="auto" w:fill="auto"/>
              <w:kinsoku/>
              <w:wordWrap/>
              <w:overflowPunct/>
              <w:topLinePunct w:val="0"/>
              <w:autoSpaceDE/>
              <w:autoSpaceDN/>
              <w:bidi w:val="0"/>
              <w:spacing w:line="360" w:lineRule="auto"/>
              <w:jc w:val="center"/>
              <w:textAlignment w:val="auto"/>
              <w:rPr>
                <w:rFonts w:hint="default" w:ascii="宋体" w:hAnsi="宋体" w:eastAsia="宋体" w:cs="宋体"/>
                <w:color w:val="auto"/>
                <w:sz w:val="24"/>
                <w:szCs w:val="24"/>
                <w:highlight w:val="none"/>
                <w:lang w:val="en-US" w:eastAsia="zh-CN"/>
              </w:rPr>
            </w:pPr>
          </w:p>
        </w:tc>
        <w:tc>
          <w:tcPr>
            <w:tcW w:w="2796" w:type="dxa"/>
            <w:noWrap w:val="0"/>
            <w:vAlign w:val="center"/>
          </w:tcPr>
          <w:p w14:paraId="2D790C47">
            <w:pPr>
              <w:keepNext w:val="0"/>
              <w:keepLines w:val="0"/>
              <w:pageBreakBefore w:val="0"/>
              <w:widowControl w:val="0"/>
              <w:shd w:val="clear" w:color="auto" w:fill="auto"/>
              <w:kinsoku/>
              <w:wordWrap/>
              <w:overflowPunct/>
              <w:topLinePunct w:val="0"/>
              <w:autoSpaceDE/>
              <w:autoSpaceDN/>
              <w:bidi w:val="0"/>
              <w:spacing w:line="360" w:lineRule="auto"/>
              <w:jc w:val="center"/>
              <w:textAlignment w:val="auto"/>
              <w:rPr>
                <w:rFonts w:hint="default" w:ascii="宋体" w:hAnsi="宋体" w:eastAsia="宋体" w:cs="宋体"/>
                <w:color w:val="auto"/>
                <w:sz w:val="24"/>
                <w:szCs w:val="24"/>
                <w:highlight w:val="none"/>
                <w:lang w:val="en-US" w:eastAsia="zh-CN"/>
              </w:rPr>
            </w:pPr>
          </w:p>
        </w:tc>
        <w:tc>
          <w:tcPr>
            <w:tcW w:w="3293" w:type="dxa"/>
            <w:noWrap w:val="0"/>
            <w:vAlign w:val="center"/>
          </w:tcPr>
          <w:p w14:paraId="78DEC0D5">
            <w:pPr>
              <w:keepNext w:val="0"/>
              <w:keepLines w:val="0"/>
              <w:pageBreakBefore w:val="0"/>
              <w:widowControl w:val="0"/>
              <w:shd w:val="clear" w:color="auto" w:fill="auto"/>
              <w:kinsoku/>
              <w:wordWrap/>
              <w:overflowPunct/>
              <w:topLinePunct w:val="0"/>
              <w:autoSpaceDE/>
              <w:autoSpaceDN/>
              <w:bidi w:val="0"/>
              <w:spacing w:line="360" w:lineRule="auto"/>
              <w:jc w:val="center"/>
              <w:textAlignment w:val="auto"/>
              <w:rPr>
                <w:rFonts w:hint="default" w:ascii="宋体" w:hAnsi="宋体" w:eastAsia="宋体" w:cs="宋体"/>
                <w:color w:val="auto"/>
                <w:sz w:val="24"/>
                <w:szCs w:val="24"/>
                <w:highlight w:val="none"/>
                <w:lang w:val="en-US" w:eastAsia="zh-CN"/>
              </w:rPr>
            </w:pPr>
          </w:p>
        </w:tc>
      </w:tr>
      <w:tr w14:paraId="5CE41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8" w:type="dxa"/>
            <w:noWrap w:val="0"/>
            <w:vAlign w:val="center"/>
          </w:tcPr>
          <w:p w14:paraId="75F09809">
            <w:pPr>
              <w:keepNext w:val="0"/>
              <w:keepLines w:val="0"/>
              <w:pageBreakBefore w:val="0"/>
              <w:widowControl w:val="0"/>
              <w:shd w:val="clear" w:color="auto" w:fill="auto"/>
              <w:kinsoku/>
              <w:wordWrap/>
              <w:overflowPunct/>
              <w:topLinePunct w:val="0"/>
              <w:autoSpaceDE/>
              <w:autoSpaceDN/>
              <w:bidi w:val="0"/>
              <w:spacing w:line="360" w:lineRule="auto"/>
              <w:jc w:val="center"/>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w:t>
            </w:r>
          </w:p>
        </w:tc>
        <w:tc>
          <w:tcPr>
            <w:tcW w:w="2433" w:type="dxa"/>
            <w:noWrap w:val="0"/>
            <w:vAlign w:val="center"/>
          </w:tcPr>
          <w:p w14:paraId="4AC19882">
            <w:pPr>
              <w:keepNext w:val="0"/>
              <w:keepLines w:val="0"/>
              <w:pageBreakBefore w:val="0"/>
              <w:widowControl w:val="0"/>
              <w:shd w:val="clear" w:color="auto" w:fill="auto"/>
              <w:kinsoku/>
              <w:wordWrap/>
              <w:overflowPunct/>
              <w:topLinePunct w:val="0"/>
              <w:autoSpaceDE/>
              <w:autoSpaceDN/>
              <w:bidi w:val="0"/>
              <w:spacing w:line="360" w:lineRule="auto"/>
              <w:jc w:val="center"/>
              <w:textAlignment w:val="auto"/>
              <w:rPr>
                <w:rFonts w:hint="default" w:ascii="宋体" w:hAnsi="宋体" w:eastAsia="宋体" w:cs="宋体"/>
                <w:color w:val="auto"/>
                <w:sz w:val="24"/>
                <w:szCs w:val="24"/>
                <w:highlight w:val="none"/>
                <w:lang w:val="en-US" w:eastAsia="zh-CN"/>
              </w:rPr>
            </w:pPr>
          </w:p>
        </w:tc>
        <w:tc>
          <w:tcPr>
            <w:tcW w:w="2796" w:type="dxa"/>
            <w:noWrap w:val="0"/>
            <w:vAlign w:val="center"/>
          </w:tcPr>
          <w:p w14:paraId="36F1D978">
            <w:pPr>
              <w:keepNext w:val="0"/>
              <w:keepLines w:val="0"/>
              <w:pageBreakBefore w:val="0"/>
              <w:widowControl w:val="0"/>
              <w:shd w:val="clear" w:color="auto" w:fill="auto"/>
              <w:kinsoku/>
              <w:wordWrap/>
              <w:overflowPunct/>
              <w:topLinePunct w:val="0"/>
              <w:autoSpaceDE/>
              <w:autoSpaceDN/>
              <w:bidi w:val="0"/>
              <w:spacing w:line="360" w:lineRule="auto"/>
              <w:jc w:val="center"/>
              <w:textAlignment w:val="auto"/>
              <w:rPr>
                <w:rFonts w:hint="default" w:ascii="宋体" w:hAnsi="宋体" w:eastAsia="宋体" w:cs="宋体"/>
                <w:color w:val="auto"/>
                <w:sz w:val="24"/>
                <w:szCs w:val="24"/>
                <w:highlight w:val="none"/>
                <w:lang w:val="en-US" w:eastAsia="zh-CN"/>
              </w:rPr>
            </w:pPr>
          </w:p>
        </w:tc>
        <w:tc>
          <w:tcPr>
            <w:tcW w:w="3293" w:type="dxa"/>
            <w:noWrap w:val="0"/>
            <w:vAlign w:val="center"/>
          </w:tcPr>
          <w:p w14:paraId="518F6609">
            <w:pPr>
              <w:keepNext w:val="0"/>
              <w:keepLines w:val="0"/>
              <w:pageBreakBefore w:val="0"/>
              <w:widowControl w:val="0"/>
              <w:shd w:val="clear" w:color="auto" w:fill="auto"/>
              <w:kinsoku/>
              <w:wordWrap/>
              <w:overflowPunct/>
              <w:topLinePunct w:val="0"/>
              <w:autoSpaceDE/>
              <w:autoSpaceDN/>
              <w:bidi w:val="0"/>
              <w:spacing w:line="360" w:lineRule="auto"/>
              <w:jc w:val="center"/>
              <w:textAlignment w:val="auto"/>
              <w:rPr>
                <w:rFonts w:hint="default" w:ascii="宋体" w:hAnsi="宋体" w:eastAsia="宋体" w:cs="宋体"/>
                <w:color w:val="auto"/>
                <w:sz w:val="24"/>
                <w:szCs w:val="24"/>
                <w:highlight w:val="none"/>
                <w:lang w:val="en-US" w:eastAsia="zh-CN"/>
              </w:rPr>
            </w:pPr>
          </w:p>
        </w:tc>
      </w:tr>
      <w:tr w14:paraId="21154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8" w:type="dxa"/>
            <w:noWrap w:val="0"/>
            <w:vAlign w:val="center"/>
          </w:tcPr>
          <w:p w14:paraId="7C3A030D">
            <w:pPr>
              <w:keepNext w:val="0"/>
              <w:keepLines w:val="0"/>
              <w:pageBreakBefore w:val="0"/>
              <w:widowControl w:val="0"/>
              <w:shd w:val="clear" w:color="auto" w:fill="auto"/>
              <w:kinsoku/>
              <w:wordWrap/>
              <w:overflowPunct/>
              <w:topLinePunct w:val="0"/>
              <w:autoSpaceDE/>
              <w:autoSpaceDN/>
              <w:bidi w:val="0"/>
              <w:spacing w:line="360" w:lineRule="auto"/>
              <w:jc w:val="center"/>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w:t>
            </w:r>
          </w:p>
        </w:tc>
        <w:tc>
          <w:tcPr>
            <w:tcW w:w="2433" w:type="dxa"/>
            <w:noWrap w:val="0"/>
            <w:vAlign w:val="center"/>
          </w:tcPr>
          <w:p w14:paraId="197E6B17">
            <w:pPr>
              <w:keepNext w:val="0"/>
              <w:keepLines w:val="0"/>
              <w:pageBreakBefore w:val="0"/>
              <w:widowControl w:val="0"/>
              <w:shd w:val="clear" w:color="auto" w:fill="auto"/>
              <w:kinsoku/>
              <w:wordWrap/>
              <w:overflowPunct/>
              <w:topLinePunct w:val="0"/>
              <w:autoSpaceDE/>
              <w:autoSpaceDN/>
              <w:bidi w:val="0"/>
              <w:spacing w:line="360" w:lineRule="auto"/>
              <w:jc w:val="center"/>
              <w:textAlignment w:val="auto"/>
              <w:rPr>
                <w:rFonts w:hint="default" w:ascii="宋体" w:hAnsi="宋体" w:eastAsia="宋体" w:cs="宋体"/>
                <w:color w:val="auto"/>
                <w:sz w:val="24"/>
                <w:szCs w:val="24"/>
                <w:highlight w:val="none"/>
                <w:lang w:val="en-US" w:eastAsia="zh-CN"/>
              </w:rPr>
            </w:pPr>
          </w:p>
        </w:tc>
        <w:tc>
          <w:tcPr>
            <w:tcW w:w="2796" w:type="dxa"/>
            <w:noWrap w:val="0"/>
            <w:vAlign w:val="center"/>
          </w:tcPr>
          <w:p w14:paraId="71F58AE1">
            <w:pPr>
              <w:keepNext w:val="0"/>
              <w:keepLines w:val="0"/>
              <w:pageBreakBefore w:val="0"/>
              <w:widowControl w:val="0"/>
              <w:shd w:val="clear" w:color="auto" w:fill="auto"/>
              <w:kinsoku/>
              <w:wordWrap/>
              <w:overflowPunct/>
              <w:topLinePunct w:val="0"/>
              <w:autoSpaceDE/>
              <w:autoSpaceDN/>
              <w:bidi w:val="0"/>
              <w:spacing w:line="360" w:lineRule="auto"/>
              <w:jc w:val="center"/>
              <w:textAlignment w:val="auto"/>
              <w:rPr>
                <w:rFonts w:hint="default" w:ascii="宋体" w:hAnsi="宋体" w:eastAsia="宋体" w:cs="宋体"/>
                <w:color w:val="auto"/>
                <w:sz w:val="24"/>
                <w:szCs w:val="24"/>
                <w:highlight w:val="none"/>
                <w:lang w:val="en-US" w:eastAsia="zh-CN"/>
              </w:rPr>
            </w:pPr>
          </w:p>
        </w:tc>
        <w:tc>
          <w:tcPr>
            <w:tcW w:w="3293" w:type="dxa"/>
            <w:noWrap w:val="0"/>
            <w:vAlign w:val="center"/>
          </w:tcPr>
          <w:p w14:paraId="6151A03F">
            <w:pPr>
              <w:keepNext w:val="0"/>
              <w:keepLines w:val="0"/>
              <w:pageBreakBefore w:val="0"/>
              <w:widowControl w:val="0"/>
              <w:shd w:val="clear" w:color="auto" w:fill="auto"/>
              <w:kinsoku/>
              <w:wordWrap/>
              <w:overflowPunct/>
              <w:topLinePunct w:val="0"/>
              <w:autoSpaceDE/>
              <w:autoSpaceDN/>
              <w:bidi w:val="0"/>
              <w:spacing w:line="360" w:lineRule="auto"/>
              <w:jc w:val="center"/>
              <w:textAlignment w:val="auto"/>
              <w:rPr>
                <w:rFonts w:hint="default" w:ascii="宋体" w:hAnsi="宋体" w:eastAsia="宋体" w:cs="宋体"/>
                <w:color w:val="auto"/>
                <w:sz w:val="24"/>
                <w:szCs w:val="24"/>
                <w:highlight w:val="none"/>
                <w:lang w:val="en-US" w:eastAsia="zh-CN"/>
              </w:rPr>
            </w:pPr>
          </w:p>
        </w:tc>
      </w:tr>
      <w:tr w14:paraId="088AF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8" w:type="dxa"/>
            <w:noWrap w:val="0"/>
            <w:vAlign w:val="center"/>
          </w:tcPr>
          <w:p w14:paraId="1ED6A30C">
            <w:pPr>
              <w:keepNext w:val="0"/>
              <w:keepLines w:val="0"/>
              <w:pageBreakBefore w:val="0"/>
              <w:widowControl w:val="0"/>
              <w:shd w:val="clear" w:color="auto" w:fill="auto"/>
              <w:kinsoku/>
              <w:wordWrap/>
              <w:overflowPunct/>
              <w:topLinePunct w:val="0"/>
              <w:autoSpaceDE/>
              <w:autoSpaceDN/>
              <w:bidi w:val="0"/>
              <w:spacing w:line="360" w:lineRule="auto"/>
              <w:jc w:val="center"/>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w:t>
            </w:r>
          </w:p>
        </w:tc>
        <w:tc>
          <w:tcPr>
            <w:tcW w:w="2433" w:type="dxa"/>
            <w:noWrap w:val="0"/>
            <w:vAlign w:val="center"/>
          </w:tcPr>
          <w:p w14:paraId="19EF9DBB">
            <w:pPr>
              <w:keepNext w:val="0"/>
              <w:keepLines w:val="0"/>
              <w:pageBreakBefore w:val="0"/>
              <w:widowControl w:val="0"/>
              <w:shd w:val="clear" w:color="auto" w:fill="auto"/>
              <w:kinsoku/>
              <w:wordWrap/>
              <w:overflowPunct/>
              <w:topLinePunct w:val="0"/>
              <w:autoSpaceDE/>
              <w:autoSpaceDN/>
              <w:bidi w:val="0"/>
              <w:spacing w:line="360" w:lineRule="auto"/>
              <w:jc w:val="center"/>
              <w:textAlignment w:val="auto"/>
              <w:rPr>
                <w:rFonts w:hint="default" w:ascii="宋体" w:hAnsi="宋体" w:eastAsia="宋体" w:cs="宋体"/>
                <w:color w:val="auto"/>
                <w:sz w:val="24"/>
                <w:szCs w:val="24"/>
                <w:highlight w:val="none"/>
                <w:lang w:val="en-US" w:eastAsia="zh-CN"/>
              </w:rPr>
            </w:pPr>
          </w:p>
        </w:tc>
        <w:tc>
          <w:tcPr>
            <w:tcW w:w="2796" w:type="dxa"/>
            <w:noWrap w:val="0"/>
            <w:vAlign w:val="center"/>
          </w:tcPr>
          <w:p w14:paraId="2FE34D42">
            <w:pPr>
              <w:keepNext w:val="0"/>
              <w:keepLines w:val="0"/>
              <w:pageBreakBefore w:val="0"/>
              <w:widowControl w:val="0"/>
              <w:shd w:val="clear" w:color="auto" w:fill="auto"/>
              <w:kinsoku/>
              <w:wordWrap/>
              <w:overflowPunct/>
              <w:topLinePunct w:val="0"/>
              <w:autoSpaceDE/>
              <w:autoSpaceDN/>
              <w:bidi w:val="0"/>
              <w:spacing w:line="360" w:lineRule="auto"/>
              <w:jc w:val="center"/>
              <w:textAlignment w:val="auto"/>
              <w:rPr>
                <w:rFonts w:hint="default" w:ascii="宋体" w:hAnsi="宋体" w:eastAsia="宋体" w:cs="宋体"/>
                <w:color w:val="auto"/>
                <w:sz w:val="24"/>
                <w:szCs w:val="24"/>
                <w:highlight w:val="none"/>
                <w:lang w:val="en-US" w:eastAsia="zh-CN"/>
              </w:rPr>
            </w:pPr>
          </w:p>
        </w:tc>
        <w:tc>
          <w:tcPr>
            <w:tcW w:w="3293" w:type="dxa"/>
            <w:noWrap w:val="0"/>
            <w:vAlign w:val="center"/>
          </w:tcPr>
          <w:p w14:paraId="1F8AB50E">
            <w:pPr>
              <w:keepNext w:val="0"/>
              <w:keepLines w:val="0"/>
              <w:pageBreakBefore w:val="0"/>
              <w:widowControl w:val="0"/>
              <w:shd w:val="clear" w:color="auto" w:fill="auto"/>
              <w:kinsoku/>
              <w:wordWrap/>
              <w:overflowPunct/>
              <w:topLinePunct w:val="0"/>
              <w:autoSpaceDE/>
              <w:autoSpaceDN/>
              <w:bidi w:val="0"/>
              <w:spacing w:line="360" w:lineRule="auto"/>
              <w:jc w:val="center"/>
              <w:textAlignment w:val="auto"/>
              <w:rPr>
                <w:rFonts w:hint="default" w:ascii="宋体" w:hAnsi="宋体" w:eastAsia="宋体" w:cs="宋体"/>
                <w:color w:val="auto"/>
                <w:sz w:val="24"/>
                <w:szCs w:val="24"/>
                <w:highlight w:val="none"/>
                <w:lang w:val="en-US" w:eastAsia="zh-CN"/>
              </w:rPr>
            </w:pPr>
          </w:p>
        </w:tc>
      </w:tr>
    </w:tbl>
    <w:p w14:paraId="5DC0A259">
      <w:pPr>
        <w:shd w:val="clear"/>
        <w:spacing w:line="440" w:lineRule="exact"/>
        <w:rPr>
          <w:rFonts w:hint="eastAsia" w:ascii="宋体" w:hAnsi="宋体" w:eastAsia="宋体" w:cs="宋体"/>
          <w:b/>
          <w:color w:val="auto"/>
          <w:sz w:val="24"/>
          <w:szCs w:val="24"/>
          <w:highlight w:val="none"/>
          <w:lang w:val="en-US" w:eastAsia="zh-CN"/>
        </w:rPr>
      </w:pPr>
    </w:p>
    <w:p w14:paraId="3778150D">
      <w:pPr>
        <w:shd w:val="clear"/>
        <w:spacing w:line="440" w:lineRule="exact"/>
        <w:rPr>
          <w:rFonts w:hint="eastAsia" w:ascii="宋体" w:hAnsi="宋体" w:eastAsia="宋体" w:cs="宋体"/>
          <w:b/>
          <w:color w:val="auto"/>
          <w:sz w:val="24"/>
          <w:szCs w:val="24"/>
          <w:highlight w:val="none"/>
          <w:lang w:val="en-US" w:eastAsia="zh-CN"/>
        </w:rPr>
      </w:pPr>
    </w:p>
    <w:sectPr>
      <w:footerReference r:id="rId3" w:type="default"/>
      <w:pgSz w:w="11906" w:h="16838"/>
      <w:pgMar w:top="-964" w:right="1176" w:bottom="781" w:left="1270" w:header="624" w:footer="567" w:gutter="0"/>
      <w:pgBorders>
        <w:top w:val="none" w:sz="0" w:space="0"/>
        <w:left w:val="none" w:sz="0" w:space="0"/>
        <w:bottom w:val="none" w:sz="0" w:space="0"/>
        <w:right w:val="none" w:sz="0" w:space="0"/>
      </w:pgBorders>
      <w:pgNumType w:fmt="decimal" w:start="1"/>
      <w:cols w:space="0" w:num="1"/>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
    <w:altName w:val="Segoe Print"/>
    <w:panose1 w:val="00000000000000000000"/>
    <w:charset w:val="00"/>
    <w:family w:val="auto"/>
    <w:pitch w:val="default"/>
    <w:sig w:usb0="00000000" w:usb1="00000000" w:usb2="00000000" w:usb3="00000000" w:csb0="00000000" w:csb1="00000000"/>
  </w:font>
  <w:font w:name="Wingdings 2">
    <w:altName w:val="Wingdings"/>
    <w:panose1 w:val="05020102010507070707"/>
    <w:charset w:val="00"/>
    <w:family w:val="auto"/>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D1F9CF">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A590E93">
                          <w:pPr>
                            <w:pStyle w:val="6"/>
                          </w:pPr>
                          <w:r>
                            <w:t xml:space="preserve">第 </w:t>
                          </w:r>
                          <w:r>
                            <w:fldChar w:fldCharType="begin"/>
                          </w:r>
                          <w:r>
                            <w:instrText xml:space="preserve"> PAGE  \* MERGEFORMAT </w:instrText>
                          </w:r>
                          <w:r>
                            <w:fldChar w:fldCharType="separate"/>
                          </w:r>
                          <w:r>
                            <w:t>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A590E93">
                    <w:pPr>
                      <w:pStyle w:val="6"/>
                    </w:pPr>
                    <w:r>
                      <w:t xml:space="preserve">第 </w:t>
                    </w:r>
                    <w:r>
                      <w:fldChar w:fldCharType="begin"/>
                    </w:r>
                    <w:r>
                      <w:instrText xml:space="preserve"> PAGE  \* MERGEFORMAT </w:instrText>
                    </w:r>
                    <w:r>
                      <w:fldChar w:fldCharType="separate"/>
                    </w:r>
                    <w:r>
                      <w:t>3</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8477AF"/>
    <w:multiLevelType w:val="singleLevel"/>
    <w:tmpl w:val="C48477AF"/>
    <w:lvl w:ilvl="0" w:tentative="0">
      <w:start w:val="1"/>
      <w:numFmt w:val="decimal"/>
      <w:suff w:val="space"/>
      <w:lvlText w:val="(%1)"/>
      <w:lvlJc w:val="left"/>
      <w:pPr>
        <w:ind w:left="845" w:hanging="425"/>
      </w:pPr>
      <w:rPr>
        <w:rFonts w:hint="default"/>
      </w:rPr>
    </w:lvl>
  </w:abstractNum>
  <w:abstractNum w:abstractNumId="1">
    <w:nsid w:val="DABC7518"/>
    <w:multiLevelType w:val="singleLevel"/>
    <w:tmpl w:val="DABC7518"/>
    <w:lvl w:ilvl="0" w:tentative="0">
      <w:start w:val="2"/>
      <w:numFmt w:val="chineseCounting"/>
      <w:suff w:val="nothing"/>
      <w:lvlText w:val="%1、"/>
      <w:lvlJc w:val="left"/>
      <w:rPr>
        <w:rFonts w:hint="eastAsia"/>
      </w:rPr>
    </w:lvl>
  </w:abstractNum>
  <w:abstractNum w:abstractNumId="2">
    <w:nsid w:val="0D9A7F31"/>
    <w:multiLevelType w:val="singleLevel"/>
    <w:tmpl w:val="0D9A7F31"/>
    <w:lvl w:ilvl="0" w:tentative="0">
      <w:start w:val="1"/>
      <w:numFmt w:val="decimal"/>
      <w:suff w:val="nothing"/>
      <w:lvlText w:val="（%1）"/>
      <w:lvlJc w:val="left"/>
    </w:lvl>
  </w:abstractNum>
  <w:abstractNum w:abstractNumId="3">
    <w:nsid w:val="1F826DE1"/>
    <w:multiLevelType w:val="singleLevel"/>
    <w:tmpl w:val="1F826DE1"/>
    <w:lvl w:ilvl="0" w:tentative="0">
      <w:start w:val="1"/>
      <w:numFmt w:val="decimal"/>
      <w:suff w:val="nothing"/>
      <w:lvlText w:val="（%1）"/>
      <w:lvlJc w:val="left"/>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0"/>
  <w:drawingGridVerticalSpacing w:val="146"/>
  <w:displayHorizontalDrawingGridEvery w:val="1"/>
  <w:displayVerticalDrawingGridEvery w:val="1"/>
  <w:doNotShadeFormData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NkOTA2YTU2YTMyNWMxZDllOWFmNTY2NDdiZGVlOTgifQ=="/>
  </w:docVars>
  <w:rsids>
    <w:rsidRoot w:val="00172A27"/>
    <w:rsid w:val="000118A6"/>
    <w:rsid w:val="00060C6A"/>
    <w:rsid w:val="00063991"/>
    <w:rsid w:val="000649A6"/>
    <w:rsid w:val="00071587"/>
    <w:rsid w:val="000969AD"/>
    <w:rsid w:val="000C4BE6"/>
    <w:rsid w:val="000D4F25"/>
    <w:rsid w:val="00132C22"/>
    <w:rsid w:val="00133CC3"/>
    <w:rsid w:val="00155351"/>
    <w:rsid w:val="00156116"/>
    <w:rsid w:val="00172A27"/>
    <w:rsid w:val="00193014"/>
    <w:rsid w:val="00194CB9"/>
    <w:rsid w:val="0019786C"/>
    <w:rsid w:val="001A4F90"/>
    <w:rsid w:val="001D5320"/>
    <w:rsid w:val="001D6CD4"/>
    <w:rsid w:val="001F0A4C"/>
    <w:rsid w:val="00221AD1"/>
    <w:rsid w:val="00230647"/>
    <w:rsid w:val="002460FB"/>
    <w:rsid w:val="0025041C"/>
    <w:rsid w:val="00270BE1"/>
    <w:rsid w:val="00287133"/>
    <w:rsid w:val="002A55E2"/>
    <w:rsid w:val="002C63B8"/>
    <w:rsid w:val="002C7FE3"/>
    <w:rsid w:val="002F0AE2"/>
    <w:rsid w:val="002F5627"/>
    <w:rsid w:val="00311A5F"/>
    <w:rsid w:val="00383F18"/>
    <w:rsid w:val="00393D02"/>
    <w:rsid w:val="003A44B9"/>
    <w:rsid w:val="003B2DA2"/>
    <w:rsid w:val="003C468C"/>
    <w:rsid w:val="0040611A"/>
    <w:rsid w:val="004218FC"/>
    <w:rsid w:val="00422918"/>
    <w:rsid w:val="004362D5"/>
    <w:rsid w:val="004701BB"/>
    <w:rsid w:val="00473D69"/>
    <w:rsid w:val="00473F32"/>
    <w:rsid w:val="0048240B"/>
    <w:rsid w:val="004874D5"/>
    <w:rsid w:val="0049007A"/>
    <w:rsid w:val="004D0711"/>
    <w:rsid w:val="00501950"/>
    <w:rsid w:val="005129C5"/>
    <w:rsid w:val="00514009"/>
    <w:rsid w:val="00593D4A"/>
    <w:rsid w:val="005F037B"/>
    <w:rsid w:val="005F3C95"/>
    <w:rsid w:val="00640A77"/>
    <w:rsid w:val="00662C56"/>
    <w:rsid w:val="00673E18"/>
    <w:rsid w:val="006B36A8"/>
    <w:rsid w:val="006C188B"/>
    <w:rsid w:val="006F2BEB"/>
    <w:rsid w:val="0070103E"/>
    <w:rsid w:val="00756F71"/>
    <w:rsid w:val="0078143C"/>
    <w:rsid w:val="007C4509"/>
    <w:rsid w:val="007D4998"/>
    <w:rsid w:val="00802FBD"/>
    <w:rsid w:val="00833B3F"/>
    <w:rsid w:val="00840701"/>
    <w:rsid w:val="0084515C"/>
    <w:rsid w:val="00855335"/>
    <w:rsid w:val="00877C83"/>
    <w:rsid w:val="008B63FD"/>
    <w:rsid w:val="008B73C2"/>
    <w:rsid w:val="008C6C96"/>
    <w:rsid w:val="008D5622"/>
    <w:rsid w:val="00951FEE"/>
    <w:rsid w:val="009B3DC9"/>
    <w:rsid w:val="009D663E"/>
    <w:rsid w:val="00A1667E"/>
    <w:rsid w:val="00A34688"/>
    <w:rsid w:val="00AA6359"/>
    <w:rsid w:val="00AC0880"/>
    <w:rsid w:val="00B153B1"/>
    <w:rsid w:val="00B22BA0"/>
    <w:rsid w:val="00B341EB"/>
    <w:rsid w:val="00B571F8"/>
    <w:rsid w:val="00B66DA3"/>
    <w:rsid w:val="00B92181"/>
    <w:rsid w:val="00BE7EAB"/>
    <w:rsid w:val="00BF0E19"/>
    <w:rsid w:val="00C224F4"/>
    <w:rsid w:val="00C244ED"/>
    <w:rsid w:val="00C57E55"/>
    <w:rsid w:val="00C626C5"/>
    <w:rsid w:val="00C832F0"/>
    <w:rsid w:val="00C94F25"/>
    <w:rsid w:val="00CA3E14"/>
    <w:rsid w:val="00CF3903"/>
    <w:rsid w:val="00D07F86"/>
    <w:rsid w:val="00D47224"/>
    <w:rsid w:val="00D5688F"/>
    <w:rsid w:val="00D57F27"/>
    <w:rsid w:val="00DA3EA5"/>
    <w:rsid w:val="00DA4E8C"/>
    <w:rsid w:val="00DB38D1"/>
    <w:rsid w:val="00DC5E6F"/>
    <w:rsid w:val="00DC6EE7"/>
    <w:rsid w:val="00DD0DA0"/>
    <w:rsid w:val="00E33FFD"/>
    <w:rsid w:val="00E4227A"/>
    <w:rsid w:val="00E60A9C"/>
    <w:rsid w:val="00E616FC"/>
    <w:rsid w:val="00E92561"/>
    <w:rsid w:val="00EA2903"/>
    <w:rsid w:val="00EA4A95"/>
    <w:rsid w:val="00EE4938"/>
    <w:rsid w:val="00EF6345"/>
    <w:rsid w:val="00F1486B"/>
    <w:rsid w:val="00F639E9"/>
    <w:rsid w:val="00F925EE"/>
    <w:rsid w:val="00FA7A4E"/>
    <w:rsid w:val="00FB5DD4"/>
    <w:rsid w:val="00FC0FA9"/>
    <w:rsid w:val="00FC20A1"/>
    <w:rsid w:val="00FE2C1C"/>
    <w:rsid w:val="00FE6759"/>
    <w:rsid w:val="00FE775D"/>
    <w:rsid w:val="00FF4E6D"/>
    <w:rsid w:val="010D7DD7"/>
    <w:rsid w:val="010F3B4F"/>
    <w:rsid w:val="01161381"/>
    <w:rsid w:val="012523AA"/>
    <w:rsid w:val="01376AB3"/>
    <w:rsid w:val="013B4944"/>
    <w:rsid w:val="013C06BC"/>
    <w:rsid w:val="014D28C9"/>
    <w:rsid w:val="015C2B0C"/>
    <w:rsid w:val="015C48BA"/>
    <w:rsid w:val="016F45ED"/>
    <w:rsid w:val="01802C9E"/>
    <w:rsid w:val="018067FB"/>
    <w:rsid w:val="018112F2"/>
    <w:rsid w:val="019329D2"/>
    <w:rsid w:val="01944054"/>
    <w:rsid w:val="0194674A"/>
    <w:rsid w:val="0197022F"/>
    <w:rsid w:val="01B3097E"/>
    <w:rsid w:val="01B446F6"/>
    <w:rsid w:val="01CC5EE4"/>
    <w:rsid w:val="01D628BE"/>
    <w:rsid w:val="01E52A99"/>
    <w:rsid w:val="01E55632"/>
    <w:rsid w:val="01FC0854"/>
    <w:rsid w:val="020654E4"/>
    <w:rsid w:val="020C62E0"/>
    <w:rsid w:val="02201D8C"/>
    <w:rsid w:val="02296E92"/>
    <w:rsid w:val="02380E83"/>
    <w:rsid w:val="02430DFA"/>
    <w:rsid w:val="02571C51"/>
    <w:rsid w:val="02624152"/>
    <w:rsid w:val="026B74AB"/>
    <w:rsid w:val="0270061D"/>
    <w:rsid w:val="0273635F"/>
    <w:rsid w:val="027A76EE"/>
    <w:rsid w:val="0288478B"/>
    <w:rsid w:val="02931305"/>
    <w:rsid w:val="02942B15"/>
    <w:rsid w:val="029A38EC"/>
    <w:rsid w:val="029D518A"/>
    <w:rsid w:val="029F7154"/>
    <w:rsid w:val="02A12ECC"/>
    <w:rsid w:val="02AF383B"/>
    <w:rsid w:val="02B524D4"/>
    <w:rsid w:val="02C72207"/>
    <w:rsid w:val="02C941D1"/>
    <w:rsid w:val="02CE17E8"/>
    <w:rsid w:val="02D50DC8"/>
    <w:rsid w:val="02D92666"/>
    <w:rsid w:val="02E1151B"/>
    <w:rsid w:val="02E23682"/>
    <w:rsid w:val="02FA25DD"/>
    <w:rsid w:val="02FC6355"/>
    <w:rsid w:val="03190CB5"/>
    <w:rsid w:val="031E276F"/>
    <w:rsid w:val="033A0C2B"/>
    <w:rsid w:val="035E4919"/>
    <w:rsid w:val="036363D4"/>
    <w:rsid w:val="036A59B4"/>
    <w:rsid w:val="03874763"/>
    <w:rsid w:val="038D51FF"/>
    <w:rsid w:val="03960557"/>
    <w:rsid w:val="03992BBC"/>
    <w:rsid w:val="039B3DC0"/>
    <w:rsid w:val="039B5B6E"/>
    <w:rsid w:val="03A74512"/>
    <w:rsid w:val="03C86237"/>
    <w:rsid w:val="03D746CC"/>
    <w:rsid w:val="03D8291E"/>
    <w:rsid w:val="03DB0660"/>
    <w:rsid w:val="03DE5A5A"/>
    <w:rsid w:val="03F434D0"/>
    <w:rsid w:val="03F82FC0"/>
    <w:rsid w:val="04114082"/>
    <w:rsid w:val="04167848"/>
    <w:rsid w:val="04185410"/>
    <w:rsid w:val="041B280B"/>
    <w:rsid w:val="043438CC"/>
    <w:rsid w:val="04387860"/>
    <w:rsid w:val="04402271"/>
    <w:rsid w:val="044A30F0"/>
    <w:rsid w:val="04545D1C"/>
    <w:rsid w:val="048001EE"/>
    <w:rsid w:val="04842AA6"/>
    <w:rsid w:val="049B3548"/>
    <w:rsid w:val="049F51EA"/>
    <w:rsid w:val="04A24CDA"/>
    <w:rsid w:val="04A63ABD"/>
    <w:rsid w:val="04BA0F39"/>
    <w:rsid w:val="04BA64C7"/>
    <w:rsid w:val="04C44C50"/>
    <w:rsid w:val="04D56E5D"/>
    <w:rsid w:val="04DD5D12"/>
    <w:rsid w:val="04E92909"/>
    <w:rsid w:val="04EB042F"/>
    <w:rsid w:val="04F80D9E"/>
    <w:rsid w:val="04F83F38"/>
    <w:rsid w:val="05025778"/>
    <w:rsid w:val="05067813"/>
    <w:rsid w:val="0509654D"/>
    <w:rsid w:val="050F6813"/>
    <w:rsid w:val="05196541"/>
    <w:rsid w:val="052120A3"/>
    <w:rsid w:val="05257DE5"/>
    <w:rsid w:val="052971A9"/>
    <w:rsid w:val="0548762F"/>
    <w:rsid w:val="055A7363"/>
    <w:rsid w:val="05685F23"/>
    <w:rsid w:val="056D7096"/>
    <w:rsid w:val="05706B86"/>
    <w:rsid w:val="057523EE"/>
    <w:rsid w:val="05761DCF"/>
    <w:rsid w:val="057743B8"/>
    <w:rsid w:val="058A5E9A"/>
    <w:rsid w:val="058C7E64"/>
    <w:rsid w:val="058D598A"/>
    <w:rsid w:val="05942874"/>
    <w:rsid w:val="059A3C03"/>
    <w:rsid w:val="059E36F3"/>
    <w:rsid w:val="05A351AD"/>
    <w:rsid w:val="05A50F26"/>
    <w:rsid w:val="05B20F4D"/>
    <w:rsid w:val="05B922DB"/>
    <w:rsid w:val="05CA273A"/>
    <w:rsid w:val="05CB200E"/>
    <w:rsid w:val="05CD3FD8"/>
    <w:rsid w:val="05D215EF"/>
    <w:rsid w:val="05D90BCF"/>
    <w:rsid w:val="05F30FDF"/>
    <w:rsid w:val="05F94D9A"/>
    <w:rsid w:val="05F94DCD"/>
    <w:rsid w:val="060F45F1"/>
    <w:rsid w:val="06141C07"/>
    <w:rsid w:val="0624613D"/>
    <w:rsid w:val="06565D7C"/>
    <w:rsid w:val="067508F8"/>
    <w:rsid w:val="0687687D"/>
    <w:rsid w:val="069F3BC7"/>
    <w:rsid w:val="06B34F7C"/>
    <w:rsid w:val="06B62CBE"/>
    <w:rsid w:val="06B84C89"/>
    <w:rsid w:val="06D03D80"/>
    <w:rsid w:val="06D05B2E"/>
    <w:rsid w:val="06D82C35"/>
    <w:rsid w:val="06E96BF0"/>
    <w:rsid w:val="06FA704F"/>
    <w:rsid w:val="06FE62F0"/>
    <w:rsid w:val="07050A04"/>
    <w:rsid w:val="072D7D2A"/>
    <w:rsid w:val="074D3623"/>
    <w:rsid w:val="07520C39"/>
    <w:rsid w:val="075229E7"/>
    <w:rsid w:val="075B3B41"/>
    <w:rsid w:val="075C1AB8"/>
    <w:rsid w:val="076B1CFB"/>
    <w:rsid w:val="0777244E"/>
    <w:rsid w:val="07933371"/>
    <w:rsid w:val="07996868"/>
    <w:rsid w:val="079A3306"/>
    <w:rsid w:val="07A14383"/>
    <w:rsid w:val="07A41EAB"/>
    <w:rsid w:val="07A5197E"/>
    <w:rsid w:val="07C75DD6"/>
    <w:rsid w:val="07CC09EB"/>
    <w:rsid w:val="07D21D7A"/>
    <w:rsid w:val="07DB478B"/>
    <w:rsid w:val="07DE427B"/>
    <w:rsid w:val="07FD6DF7"/>
    <w:rsid w:val="08053EFD"/>
    <w:rsid w:val="08236132"/>
    <w:rsid w:val="0834033F"/>
    <w:rsid w:val="0837398B"/>
    <w:rsid w:val="083E2F6B"/>
    <w:rsid w:val="086504F8"/>
    <w:rsid w:val="08744BDF"/>
    <w:rsid w:val="08785FB6"/>
    <w:rsid w:val="087921F6"/>
    <w:rsid w:val="088929EC"/>
    <w:rsid w:val="088968DD"/>
    <w:rsid w:val="088C3EEE"/>
    <w:rsid w:val="08915791"/>
    <w:rsid w:val="08927B7D"/>
    <w:rsid w:val="089953FE"/>
    <w:rsid w:val="08A52D17"/>
    <w:rsid w:val="08A843B0"/>
    <w:rsid w:val="08AB6853"/>
    <w:rsid w:val="08BD10F4"/>
    <w:rsid w:val="08F301FA"/>
    <w:rsid w:val="08F655F4"/>
    <w:rsid w:val="09016473"/>
    <w:rsid w:val="09063A89"/>
    <w:rsid w:val="090D306A"/>
    <w:rsid w:val="09181A0E"/>
    <w:rsid w:val="091D7025"/>
    <w:rsid w:val="092959CA"/>
    <w:rsid w:val="0935611C"/>
    <w:rsid w:val="09376339"/>
    <w:rsid w:val="09475E50"/>
    <w:rsid w:val="094B1DE4"/>
    <w:rsid w:val="09502F56"/>
    <w:rsid w:val="09523172"/>
    <w:rsid w:val="09531D27"/>
    <w:rsid w:val="0953636F"/>
    <w:rsid w:val="0958005D"/>
    <w:rsid w:val="09646A02"/>
    <w:rsid w:val="096566EF"/>
    <w:rsid w:val="09756E61"/>
    <w:rsid w:val="09782CEC"/>
    <w:rsid w:val="0978425B"/>
    <w:rsid w:val="097924AD"/>
    <w:rsid w:val="097A7FD3"/>
    <w:rsid w:val="09866978"/>
    <w:rsid w:val="098826F0"/>
    <w:rsid w:val="099E1F14"/>
    <w:rsid w:val="09AD4EE5"/>
    <w:rsid w:val="09B04F39"/>
    <w:rsid w:val="09B41737"/>
    <w:rsid w:val="09BC05EC"/>
    <w:rsid w:val="09C13E54"/>
    <w:rsid w:val="09C53944"/>
    <w:rsid w:val="09CD27F9"/>
    <w:rsid w:val="09E65669"/>
    <w:rsid w:val="09EF276F"/>
    <w:rsid w:val="09F63AFE"/>
    <w:rsid w:val="09FC4E8C"/>
    <w:rsid w:val="0A0C1573"/>
    <w:rsid w:val="0A1641A0"/>
    <w:rsid w:val="0A1C3CB4"/>
    <w:rsid w:val="0A2166A1"/>
    <w:rsid w:val="0A342878"/>
    <w:rsid w:val="0A3E7253"/>
    <w:rsid w:val="0A4A4698"/>
    <w:rsid w:val="0A4C5E14"/>
    <w:rsid w:val="0A5B7E05"/>
    <w:rsid w:val="0A656ED5"/>
    <w:rsid w:val="0A740EC6"/>
    <w:rsid w:val="0A9B28F7"/>
    <w:rsid w:val="0AAF0151"/>
    <w:rsid w:val="0AC0410C"/>
    <w:rsid w:val="0AC459AA"/>
    <w:rsid w:val="0ACA0AE6"/>
    <w:rsid w:val="0ADB0F46"/>
    <w:rsid w:val="0ADD2F10"/>
    <w:rsid w:val="0AF2502E"/>
    <w:rsid w:val="0AF3003D"/>
    <w:rsid w:val="0B04224A"/>
    <w:rsid w:val="0B0A6214"/>
    <w:rsid w:val="0B163D2C"/>
    <w:rsid w:val="0B2B3F3B"/>
    <w:rsid w:val="0B3C19BE"/>
    <w:rsid w:val="0B440899"/>
    <w:rsid w:val="0B4E3363"/>
    <w:rsid w:val="0B50723E"/>
    <w:rsid w:val="0B7078E0"/>
    <w:rsid w:val="0B840907"/>
    <w:rsid w:val="0B860EB1"/>
    <w:rsid w:val="0B906B14"/>
    <w:rsid w:val="0B9335CE"/>
    <w:rsid w:val="0B990918"/>
    <w:rsid w:val="0B9E0986"/>
    <w:rsid w:val="0BB27EF8"/>
    <w:rsid w:val="0BB377CC"/>
    <w:rsid w:val="0BB76AE9"/>
    <w:rsid w:val="0BBA0B5B"/>
    <w:rsid w:val="0BD936D7"/>
    <w:rsid w:val="0BE34556"/>
    <w:rsid w:val="0BF64289"/>
    <w:rsid w:val="0BF75D96"/>
    <w:rsid w:val="0BF95B27"/>
    <w:rsid w:val="0BFC2A0B"/>
    <w:rsid w:val="0C110353"/>
    <w:rsid w:val="0C2A3F33"/>
    <w:rsid w:val="0C2A7A8F"/>
    <w:rsid w:val="0C3D1EB8"/>
    <w:rsid w:val="0C632259"/>
    <w:rsid w:val="0C6906C6"/>
    <w:rsid w:val="0C6F617C"/>
    <w:rsid w:val="0C762CD4"/>
    <w:rsid w:val="0C801DA5"/>
    <w:rsid w:val="0C8F023A"/>
    <w:rsid w:val="0C9C64B3"/>
    <w:rsid w:val="0CB3217A"/>
    <w:rsid w:val="0CDD0FA5"/>
    <w:rsid w:val="0CE642FD"/>
    <w:rsid w:val="0CE75980"/>
    <w:rsid w:val="0CEA200E"/>
    <w:rsid w:val="0CEB6B29"/>
    <w:rsid w:val="0CED1982"/>
    <w:rsid w:val="0CEE6D0E"/>
    <w:rsid w:val="0CF307C8"/>
    <w:rsid w:val="0D076022"/>
    <w:rsid w:val="0D1129FD"/>
    <w:rsid w:val="0D2070E4"/>
    <w:rsid w:val="0D2E7A52"/>
    <w:rsid w:val="0D51729D"/>
    <w:rsid w:val="0D5374B9"/>
    <w:rsid w:val="0D5775F4"/>
    <w:rsid w:val="0D58062B"/>
    <w:rsid w:val="0D645222"/>
    <w:rsid w:val="0D690A8B"/>
    <w:rsid w:val="0D6A1092"/>
    <w:rsid w:val="0D75742F"/>
    <w:rsid w:val="0D766D04"/>
    <w:rsid w:val="0D786F20"/>
    <w:rsid w:val="0D7B2671"/>
    <w:rsid w:val="0D7D0092"/>
    <w:rsid w:val="0D821B4C"/>
    <w:rsid w:val="0D8853B5"/>
    <w:rsid w:val="0D9965CC"/>
    <w:rsid w:val="0DB25F8E"/>
    <w:rsid w:val="0DBA1171"/>
    <w:rsid w:val="0DBA6431"/>
    <w:rsid w:val="0DC108C7"/>
    <w:rsid w:val="0DC13D2C"/>
    <w:rsid w:val="0DCA5D03"/>
    <w:rsid w:val="0DD442D3"/>
    <w:rsid w:val="0DD51C7C"/>
    <w:rsid w:val="0DEE2D3E"/>
    <w:rsid w:val="0E0B1B42"/>
    <w:rsid w:val="0E1F1149"/>
    <w:rsid w:val="0E230C39"/>
    <w:rsid w:val="0E2844A2"/>
    <w:rsid w:val="0E4A266A"/>
    <w:rsid w:val="0E576B35"/>
    <w:rsid w:val="0E603C3C"/>
    <w:rsid w:val="0E6A2D0C"/>
    <w:rsid w:val="0E6A6868"/>
    <w:rsid w:val="0E770F85"/>
    <w:rsid w:val="0E7C45CD"/>
    <w:rsid w:val="0E820056"/>
    <w:rsid w:val="0E8F2773"/>
    <w:rsid w:val="0E8F62CF"/>
    <w:rsid w:val="0EAB2129"/>
    <w:rsid w:val="0EB126E9"/>
    <w:rsid w:val="0EBB70C4"/>
    <w:rsid w:val="0EC67291"/>
    <w:rsid w:val="0EC678AC"/>
    <w:rsid w:val="0ED168E7"/>
    <w:rsid w:val="0ED72DE7"/>
    <w:rsid w:val="0EE16A6A"/>
    <w:rsid w:val="0EE53CAA"/>
    <w:rsid w:val="0EF645A0"/>
    <w:rsid w:val="0EFF3B41"/>
    <w:rsid w:val="0F296723"/>
    <w:rsid w:val="0F3375A2"/>
    <w:rsid w:val="0F490B74"/>
    <w:rsid w:val="0F5117D6"/>
    <w:rsid w:val="0F814668"/>
    <w:rsid w:val="0F8325D3"/>
    <w:rsid w:val="0F8D7AB2"/>
    <w:rsid w:val="0F987405"/>
    <w:rsid w:val="0F9E2F02"/>
    <w:rsid w:val="0FEC446C"/>
    <w:rsid w:val="0FF7412C"/>
    <w:rsid w:val="10014FAA"/>
    <w:rsid w:val="10022AD1"/>
    <w:rsid w:val="101D34E9"/>
    <w:rsid w:val="103C5FE2"/>
    <w:rsid w:val="103F5AD3"/>
    <w:rsid w:val="1053332C"/>
    <w:rsid w:val="1057106E"/>
    <w:rsid w:val="105775FE"/>
    <w:rsid w:val="105C48D7"/>
    <w:rsid w:val="107C6D27"/>
    <w:rsid w:val="107E2A9F"/>
    <w:rsid w:val="108654B0"/>
    <w:rsid w:val="10914580"/>
    <w:rsid w:val="109951E3"/>
    <w:rsid w:val="109A0F5B"/>
    <w:rsid w:val="10AA5642"/>
    <w:rsid w:val="10AD3E9F"/>
    <w:rsid w:val="10B262A5"/>
    <w:rsid w:val="10BB1A44"/>
    <w:rsid w:val="10BE10ED"/>
    <w:rsid w:val="10D73EEB"/>
    <w:rsid w:val="10E70644"/>
    <w:rsid w:val="10E943BC"/>
    <w:rsid w:val="10FC5772"/>
    <w:rsid w:val="10FE14EA"/>
    <w:rsid w:val="112A1D23"/>
    <w:rsid w:val="112C648C"/>
    <w:rsid w:val="11472E91"/>
    <w:rsid w:val="11480329"/>
    <w:rsid w:val="115455AE"/>
    <w:rsid w:val="115F467E"/>
    <w:rsid w:val="116A11B7"/>
    <w:rsid w:val="11731ED8"/>
    <w:rsid w:val="117561D7"/>
    <w:rsid w:val="117B2B3A"/>
    <w:rsid w:val="117C2D7C"/>
    <w:rsid w:val="118063A3"/>
    <w:rsid w:val="118714DF"/>
    <w:rsid w:val="118D3FC2"/>
    <w:rsid w:val="11934328"/>
    <w:rsid w:val="11941A34"/>
    <w:rsid w:val="11A26319"/>
    <w:rsid w:val="11AB1672"/>
    <w:rsid w:val="11BA3663"/>
    <w:rsid w:val="11BC387F"/>
    <w:rsid w:val="11BF336F"/>
    <w:rsid w:val="11C665CF"/>
    <w:rsid w:val="11D87F8D"/>
    <w:rsid w:val="11DD1A47"/>
    <w:rsid w:val="1202500A"/>
    <w:rsid w:val="12042B30"/>
    <w:rsid w:val="1212349F"/>
    <w:rsid w:val="12202D42"/>
    <w:rsid w:val="122431D2"/>
    <w:rsid w:val="12266F4A"/>
    <w:rsid w:val="12274A70"/>
    <w:rsid w:val="12282CC2"/>
    <w:rsid w:val="124675EC"/>
    <w:rsid w:val="12486EC1"/>
    <w:rsid w:val="124E024F"/>
    <w:rsid w:val="12535865"/>
    <w:rsid w:val="125C296C"/>
    <w:rsid w:val="125F245C"/>
    <w:rsid w:val="126773E0"/>
    <w:rsid w:val="12696E37"/>
    <w:rsid w:val="12771554"/>
    <w:rsid w:val="127D190F"/>
    <w:rsid w:val="128E689D"/>
    <w:rsid w:val="1299596E"/>
    <w:rsid w:val="12AB56A1"/>
    <w:rsid w:val="12C02EFB"/>
    <w:rsid w:val="12E3308D"/>
    <w:rsid w:val="12F71C17"/>
    <w:rsid w:val="12FE1C75"/>
    <w:rsid w:val="130A061A"/>
    <w:rsid w:val="130A23C8"/>
    <w:rsid w:val="131A7112"/>
    <w:rsid w:val="131E2317"/>
    <w:rsid w:val="13245D72"/>
    <w:rsid w:val="132E255A"/>
    <w:rsid w:val="133236CD"/>
    <w:rsid w:val="13346DF0"/>
    <w:rsid w:val="13394A5B"/>
    <w:rsid w:val="1340336A"/>
    <w:rsid w:val="13433B2C"/>
    <w:rsid w:val="13451652"/>
    <w:rsid w:val="13497394"/>
    <w:rsid w:val="13525B1D"/>
    <w:rsid w:val="13573133"/>
    <w:rsid w:val="135D4BEE"/>
    <w:rsid w:val="135E44C2"/>
    <w:rsid w:val="13631AD8"/>
    <w:rsid w:val="137361BF"/>
    <w:rsid w:val="137A57A0"/>
    <w:rsid w:val="137D2B9A"/>
    <w:rsid w:val="137E36C6"/>
    <w:rsid w:val="13937956"/>
    <w:rsid w:val="13960100"/>
    <w:rsid w:val="139F5206"/>
    <w:rsid w:val="13BD743A"/>
    <w:rsid w:val="13BE721A"/>
    <w:rsid w:val="13C54541"/>
    <w:rsid w:val="13C94031"/>
    <w:rsid w:val="13CE5AEB"/>
    <w:rsid w:val="13D33102"/>
    <w:rsid w:val="13E23345"/>
    <w:rsid w:val="13F60B9E"/>
    <w:rsid w:val="14067033"/>
    <w:rsid w:val="14096B23"/>
    <w:rsid w:val="140B464A"/>
    <w:rsid w:val="14123C2A"/>
    <w:rsid w:val="141352AC"/>
    <w:rsid w:val="141E5575"/>
    <w:rsid w:val="1424570B"/>
    <w:rsid w:val="142F7A55"/>
    <w:rsid w:val="14327E28"/>
    <w:rsid w:val="144162BD"/>
    <w:rsid w:val="145204CA"/>
    <w:rsid w:val="14522278"/>
    <w:rsid w:val="14535FF1"/>
    <w:rsid w:val="145C4EA5"/>
    <w:rsid w:val="146A5814"/>
    <w:rsid w:val="14720225"/>
    <w:rsid w:val="147815B3"/>
    <w:rsid w:val="147E12BF"/>
    <w:rsid w:val="147F2942"/>
    <w:rsid w:val="148368D6"/>
    <w:rsid w:val="14847F58"/>
    <w:rsid w:val="14983A03"/>
    <w:rsid w:val="14A8633C"/>
    <w:rsid w:val="14A910E0"/>
    <w:rsid w:val="14B051F1"/>
    <w:rsid w:val="14B22D17"/>
    <w:rsid w:val="14C34F24"/>
    <w:rsid w:val="14CB27B8"/>
    <w:rsid w:val="14DB04C0"/>
    <w:rsid w:val="14DB7373"/>
    <w:rsid w:val="14DC1B42"/>
    <w:rsid w:val="14DE6A60"/>
    <w:rsid w:val="14E07884"/>
    <w:rsid w:val="14E736B0"/>
    <w:rsid w:val="14ED1FA1"/>
    <w:rsid w:val="14ED231D"/>
    <w:rsid w:val="150115A9"/>
    <w:rsid w:val="150317C5"/>
    <w:rsid w:val="150F3CC6"/>
    <w:rsid w:val="151E215B"/>
    <w:rsid w:val="153674A4"/>
    <w:rsid w:val="15406575"/>
    <w:rsid w:val="15477903"/>
    <w:rsid w:val="154F67B8"/>
    <w:rsid w:val="155142DE"/>
    <w:rsid w:val="155362A8"/>
    <w:rsid w:val="155838BF"/>
    <w:rsid w:val="155F09DD"/>
    <w:rsid w:val="15604521"/>
    <w:rsid w:val="1565422D"/>
    <w:rsid w:val="15712BD2"/>
    <w:rsid w:val="157306F8"/>
    <w:rsid w:val="157B135B"/>
    <w:rsid w:val="158C3568"/>
    <w:rsid w:val="15915022"/>
    <w:rsid w:val="15A13858"/>
    <w:rsid w:val="15BE4DDE"/>
    <w:rsid w:val="15C32EC5"/>
    <w:rsid w:val="15CA22E2"/>
    <w:rsid w:val="15CE1DD3"/>
    <w:rsid w:val="15D66ED9"/>
    <w:rsid w:val="15FA6724"/>
    <w:rsid w:val="160B4774"/>
    <w:rsid w:val="160E6673"/>
    <w:rsid w:val="16105F47"/>
    <w:rsid w:val="161377E5"/>
    <w:rsid w:val="16360483"/>
    <w:rsid w:val="164B3423"/>
    <w:rsid w:val="16500AFD"/>
    <w:rsid w:val="165C73DE"/>
    <w:rsid w:val="165F0C7D"/>
    <w:rsid w:val="16730284"/>
    <w:rsid w:val="168129A1"/>
    <w:rsid w:val="168E50BE"/>
    <w:rsid w:val="169528F0"/>
    <w:rsid w:val="16AB3EC2"/>
    <w:rsid w:val="16AB5C70"/>
    <w:rsid w:val="16AF39B2"/>
    <w:rsid w:val="16B965DF"/>
    <w:rsid w:val="16CF517C"/>
    <w:rsid w:val="16DE1BA1"/>
    <w:rsid w:val="16E318AE"/>
    <w:rsid w:val="16E80C72"/>
    <w:rsid w:val="16E82A20"/>
    <w:rsid w:val="17005FBC"/>
    <w:rsid w:val="170322D2"/>
    <w:rsid w:val="171750B3"/>
    <w:rsid w:val="1723614E"/>
    <w:rsid w:val="172A128B"/>
    <w:rsid w:val="174C1201"/>
    <w:rsid w:val="17516817"/>
    <w:rsid w:val="175B58E8"/>
    <w:rsid w:val="175D340E"/>
    <w:rsid w:val="17710C68"/>
    <w:rsid w:val="177B7D38"/>
    <w:rsid w:val="177D585E"/>
    <w:rsid w:val="17824C23"/>
    <w:rsid w:val="1783099B"/>
    <w:rsid w:val="178766DD"/>
    <w:rsid w:val="17982698"/>
    <w:rsid w:val="17A0154D"/>
    <w:rsid w:val="17AD7458"/>
    <w:rsid w:val="17AD77C6"/>
    <w:rsid w:val="17C27715"/>
    <w:rsid w:val="17C52D61"/>
    <w:rsid w:val="17CC40F0"/>
    <w:rsid w:val="17D9680D"/>
    <w:rsid w:val="17DB4333"/>
    <w:rsid w:val="17EE050A"/>
    <w:rsid w:val="17F04282"/>
    <w:rsid w:val="18181BB3"/>
    <w:rsid w:val="18306C10"/>
    <w:rsid w:val="18381785"/>
    <w:rsid w:val="183F48C2"/>
    <w:rsid w:val="185B6B59"/>
    <w:rsid w:val="185D2F9A"/>
    <w:rsid w:val="18697B91"/>
    <w:rsid w:val="186E164B"/>
    <w:rsid w:val="1888270D"/>
    <w:rsid w:val="18AD2173"/>
    <w:rsid w:val="18B84674"/>
    <w:rsid w:val="18CB084B"/>
    <w:rsid w:val="18CE3E98"/>
    <w:rsid w:val="18D21BDA"/>
    <w:rsid w:val="18DA6CE0"/>
    <w:rsid w:val="18DD40DB"/>
    <w:rsid w:val="18E15979"/>
    <w:rsid w:val="18E45469"/>
    <w:rsid w:val="18EF577F"/>
    <w:rsid w:val="191F64A1"/>
    <w:rsid w:val="194505FE"/>
    <w:rsid w:val="19462BDF"/>
    <w:rsid w:val="194D30D6"/>
    <w:rsid w:val="19673090"/>
    <w:rsid w:val="196C2E7B"/>
    <w:rsid w:val="19704F4F"/>
    <w:rsid w:val="19766A09"/>
    <w:rsid w:val="1977008B"/>
    <w:rsid w:val="199926F8"/>
    <w:rsid w:val="199A4BD8"/>
    <w:rsid w:val="19A846E9"/>
    <w:rsid w:val="19B1359D"/>
    <w:rsid w:val="19CD00F5"/>
    <w:rsid w:val="19D13C3F"/>
    <w:rsid w:val="19EA2F53"/>
    <w:rsid w:val="19F4792E"/>
    <w:rsid w:val="19F82B76"/>
    <w:rsid w:val="1A06587D"/>
    <w:rsid w:val="1A0C4C78"/>
    <w:rsid w:val="1A0E6C42"/>
    <w:rsid w:val="1A1324AA"/>
    <w:rsid w:val="1A2226ED"/>
    <w:rsid w:val="1A27385F"/>
    <w:rsid w:val="1A293A7B"/>
    <w:rsid w:val="1A340CCE"/>
    <w:rsid w:val="1A442469"/>
    <w:rsid w:val="1A5328A6"/>
    <w:rsid w:val="1A5F4F99"/>
    <w:rsid w:val="1A872550"/>
    <w:rsid w:val="1AAA5D39"/>
    <w:rsid w:val="1AAD2036"/>
    <w:rsid w:val="1AD31C39"/>
    <w:rsid w:val="1AE300CE"/>
    <w:rsid w:val="1AEE25CF"/>
    <w:rsid w:val="1AFF2A2E"/>
    <w:rsid w:val="1B1D076A"/>
    <w:rsid w:val="1B3A75C2"/>
    <w:rsid w:val="1B3B1CB8"/>
    <w:rsid w:val="1B46065D"/>
    <w:rsid w:val="1B495A57"/>
    <w:rsid w:val="1B5A1A13"/>
    <w:rsid w:val="1B5B4B1C"/>
    <w:rsid w:val="1B7E7532"/>
    <w:rsid w:val="1BB05AD7"/>
    <w:rsid w:val="1BBC3D63"/>
    <w:rsid w:val="1BC81072"/>
    <w:rsid w:val="1BCB6972"/>
    <w:rsid w:val="1BF34341"/>
    <w:rsid w:val="1BFC2ACA"/>
    <w:rsid w:val="1BFE4A94"/>
    <w:rsid w:val="1C004440"/>
    <w:rsid w:val="1C0302FC"/>
    <w:rsid w:val="1C062C15"/>
    <w:rsid w:val="1C1E6EE4"/>
    <w:rsid w:val="1C220782"/>
    <w:rsid w:val="1C28158F"/>
    <w:rsid w:val="1C281B11"/>
    <w:rsid w:val="1C2F4C4D"/>
    <w:rsid w:val="1C3A255B"/>
    <w:rsid w:val="1C4513F7"/>
    <w:rsid w:val="1C4A7CD9"/>
    <w:rsid w:val="1C5446B4"/>
    <w:rsid w:val="1C6F14EE"/>
    <w:rsid w:val="1C8C20A0"/>
    <w:rsid w:val="1C8C6544"/>
    <w:rsid w:val="1C8F393E"/>
    <w:rsid w:val="1CAE64BA"/>
    <w:rsid w:val="1CB533A4"/>
    <w:rsid w:val="1CC21F65"/>
    <w:rsid w:val="1CC57360"/>
    <w:rsid w:val="1CDD0B4D"/>
    <w:rsid w:val="1CE37308"/>
    <w:rsid w:val="1CE819CC"/>
    <w:rsid w:val="1CF06AD2"/>
    <w:rsid w:val="1CF245F9"/>
    <w:rsid w:val="1D063C00"/>
    <w:rsid w:val="1D0B1216"/>
    <w:rsid w:val="1D13456F"/>
    <w:rsid w:val="1D1D0F4A"/>
    <w:rsid w:val="1D1F4CC2"/>
    <w:rsid w:val="1D210A3A"/>
    <w:rsid w:val="1D2422D8"/>
    <w:rsid w:val="1D271DC8"/>
    <w:rsid w:val="1D2940A8"/>
    <w:rsid w:val="1D2B2EA6"/>
    <w:rsid w:val="1D30127C"/>
    <w:rsid w:val="1D3249F5"/>
    <w:rsid w:val="1D385D84"/>
    <w:rsid w:val="1D3F0551"/>
    <w:rsid w:val="1D525097"/>
    <w:rsid w:val="1D6E79F7"/>
    <w:rsid w:val="1D70551D"/>
    <w:rsid w:val="1D750D86"/>
    <w:rsid w:val="1D752B34"/>
    <w:rsid w:val="1D880AB9"/>
    <w:rsid w:val="1DB22B1D"/>
    <w:rsid w:val="1DB573D4"/>
    <w:rsid w:val="1DBC69B5"/>
    <w:rsid w:val="1DBE097F"/>
    <w:rsid w:val="1DC1221D"/>
    <w:rsid w:val="1DD04C16"/>
    <w:rsid w:val="1DDC2EE0"/>
    <w:rsid w:val="1DE1641B"/>
    <w:rsid w:val="1DEA1774"/>
    <w:rsid w:val="1DF4614E"/>
    <w:rsid w:val="1E1E141D"/>
    <w:rsid w:val="1E2C4396"/>
    <w:rsid w:val="1E3E514F"/>
    <w:rsid w:val="1E682698"/>
    <w:rsid w:val="1E8666D8"/>
    <w:rsid w:val="1E8F5E77"/>
    <w:rsid w:val="1E9F255E"/>
    <w:rsid w:val="1EBA6BA5"/>
    <w:rsid w:val="1EBF050A"/>
    <w:rsid w:val="1EC65D3D"/>
    <w:rsid w:val="1ECE0938"/>
    <w:rsid w:val="1ECE2E43"/>
    <w:rsid w:val="1ECF44C6"/>
    <w:rsid w:val="1EDA5344"/>
    <w:rsid w:val="1EE370B4"/>
    <w:rsid w:val="1EEC5078"/>
    <w:rsid w:val="1EEE0DF0"/>
    <w:rsid w:val="1EF02DBA"/>
    <w:rsid w:val="1F0C1276"/>
    <w:rsid w:val="1F10520A"/>
    <w:rsid w:val="1F134CFA"/>
    <w:rsid w:val="1F1545CE"/>
    <w:rsid w:val="1F1D7927"/>
    <w:rsid w:val="1F1F369F"/>
    <w:rsid w:val="1F330EF8"/>
    <w:rsid w:val="1F354C71"/>
    <w:rsid w:val="1F3A2287"/>
    <w:rsid w:val="1F3B607B"/>
    <w:rsid w:val="1F404C92"/>
    <w:rsid w:val="1F5A46D7"/>
    <w:rsid w:val="1F5A6ABB"/>
    <w:rsid w:val="1F6115C5"/>
    <w:rsid w:val="1F66307C"/>
    <w:rsid w:val="1F7C289F"/>
    <w:rsid w:val="1F7E6617"/>
    <w:rsid w:val="1FB5190D"/>
    <w:rsid w:val="1FB738D7"/>
    <w:rsid w:val="1FBB33C8"/>
    <w:rsid w:val="1FDE0E64"/>
    <w:rsid w:val="1FDE2C12"/>
    <w:rsid w:val="1FF22B62"/>
    <w:rsid w:val="200C3BB4"/>
    <w:rsid w:val="201C373B"/>
    <w:rsid w:val="20225D4F"/>
    <w:rsid w:val="202B0586"/>
    <w:rsid w:val="203211B0"/>
    <w:rsid w:val="20503728"/>
    <w:rsid w:val="20517888"/>
    <w:rsid w:val="20565C89"/>
    <w:rsid w:val="205B24B5"/>
    <w:rsid w:val="205B4263"/>
    <w:rsid w:val="20605D1D"/>
    <w:rsid w:val="206C1727"/>
    <w:rsid w:val="206F3728"/>
    <w:rsid w:val="20734A71"/>
    <w:rsid w:val="207812B9"/>
    <w:rsid w:val="20790B8D"/>
    <w:rsid w:val="208C08C0"/>
    <w:rsid w:val="208C266E"/>
    <w:rsid w:val="208D11DF"/>
    <w:rsid w:val="208E4638"/>
    <w:rsid w:val="20A0611A"/>
    <w:rsid w:val="20A53730"/>
    <w:rsid w:val="20C95670"/>
    <w:rsid w:val="20DB1848"/>
    <w:rsid w:val="20DD2ECA"/>
    <w:rsid w:val="20E2444F"/>
    <w:rsid w:val="20FD22E5"/>
    <w:rsid w:val="21020B82"/>
    <w:rsid w:val="210466A8"/>
    <w:rsid w:val="21090163"/>
    <w:rsid w:val="210C7C53"/>
    <w:rsid w:val="213C2267"/>
    <w:rsid w:val="21495770"/>
    <w:rsid w:val="214C004F"/>
    <w:rsid w:val="215A318E"/>
    <w:rsid w:val="21661111"/>
    <w:rsid w:val="21667363"/>
    <w:rsid w:val="21703D3E"/>
    <w:rsid w:val="21796F6E"/>
    <w:rsid w:val="217C6B87"/>
    <w:rsid w:val="21923CC5"/>
    <w:rsid w:val="219F0AC7"/>
    <w:rsid w:val="21AB746C"/>
    <w:rsid w:val="21B04A82"/>
    <w:rsid w:val="21B75E11"/>
    <w:rsid w:val="21BD6DBB"/>
    <w:rsid w:val="21C67B5D"/>
    <w:rsid w:val="21D342CD"/>
    <w:rsid w:val="21E40288"/>
    <w:rsid w:val="21F4496F"/>
    <w:rsid w:val="21F93D33"/>
    <w:rsid w:val="22097CEF"/>
    <w:rsid w:val="220A23E4"/>
    <w:rsid w:val="220F79FB"/>
    <w:rsid w:val="221C2118"/>
    <w:rsid w:val="221C3EC6"/>
    <w:rsid w:val="221D4119"/>
    <w:rsid w:val="2221328A"/>
    <w:rsid w:val="222A65E3"/>
    <w:rsid w:val="223236E9"/>
    <w:rsid w:val="223C1E72"/>
    <w:rsid w:val="22433200"/>
    <w:rsid w:val="2245341D"/>
    <w:rsid w:val="226118D9"/>
    <w:rsid w:val="22761828"/>
    <w:rsid w:val="227E692E"/>
    <w:rsid w:val="22862B70"/>
    <w:rsid w:val="228C104B"/>
    <w:rsid w:val="228C2DF9"/>
    <w:rsid w:val="228E4DC3"/>
    <w:rsid w:val="22947F00"/>
    <w:rsid w:val="22974CE6"/>
    <w:rsid w:val="22A75BF3"/>
    <w:rsid w:val="22AC524A"/>
    <w:rsid w:val="22AC6FF8"/>
    <w:rsid w:val="22B440FE"/>
    <w:rsid w:val="22B660C8"/>
    <w:rsid w:val="22B81625"/>
    <w:rsid w:val="22BD0785"/>
    <w:rsid w:val="22C24A6D"/>
    <w:rsid w:val="22CA3A39"/>
    <w:rsid w:val="22D327D6"/>
    <w:rsid w:val="22D402FC"/>
    <w:rsid w:val="22D73BFA"/>
    <w:rsid w:val="22DF75C1"/>
    <w:rsid w:val="22EA5D72"/>
    <w:rsid w:val="22EE13BE"/>
    <w:rsid w:val="22FF181D"/>
    <w:rsid w:val="230E7CB2"/>
    <w:rsid w:val="233C6672"/>
    <w:rsid w:val="233F1C1A"/>
    <w:rsid w:val="23496F3C"/>
    <w:rsid w:val="234F5BD5"/>
    <w:rsid w:val="23675615"/>
    <w:rsid w:val="237A6811"/>
    <w:rsid w:val="2389558B"/>
    <w:rsid w:val="238B1303"/>
    <w:rsid w:val="238E0DF3"/>
    <w:rsid w:val="23A14683"/>
    <w:rsid w:val="23AD1279"/>
    <w:rsid w:val="23B33488"/>
    <w:rsid w:val="23BA3996"/>
    <w:rsid w:val="23C71C0F"/>
    <w:rsid w:val="23D06D16"/>
    <w:rsid w:val="23D5432C"/>
    <w:rsid w:val="23DC1B5F"/>
    <w:rsid w:val="23E46C65"/>
    <w:rsid w:val="23EB7FF4"/>
    <w:rsid w:val="23F86C16"/>
    <w:rsid w:val="24062738"/>
    <w:rsid w:val="241035B6"/>
    <w:rsid w:val="24170DE9"/>
    <w:rsid w:val="24175CBF"/>
    <w:rsid w:val="241F37F9"/>
    <w:rsid w:val="24374FE7"/>
    <w:rsid w:val="244119C2"/>
    <w:rsid w:val="24431BDE"/>
    <w:rsid w:val="24596D0B"/>
    <w:rsid w:val="245E14EF"/>
    <w:rsid w:val="2460453E"/>
    <w:rsid w:val="2473727F"/>
    <w:rsid w:val="249D7540"/>
    <w:rsid w:val="24B16B47"/>
    <w:rsid w:val="24B50DF3"/>
    <w:rsid w:val="24B623B0"/>
    <w:rsid w:val="24B959FC"/>
    <w:rsid w:val="24BB5C18"/>
    <w:rsid w:val="24BE3012"/>
    <w:rsid w:val="24C22B02"/>
    <w:rsid w:val="24C77D8C"/>
    <w:rsid w:val="24C83E91"/>
    <w:rsid w:val="24CA7C09"/>
    <w:rsid w:val="24D6035C"/>
    <w:rsid w:val="24D804D4"/>
    <w:rsid w:val="24E011DB"/>
    <w:rsid w:val="24F9229C"/>
    <w:rsid w:val="250749B9"/>
    <w:rsid w:val="253317D4"/>
    <w:rsid w:val="253357AE"/>
    <w:rsid w:val="25357778"/>
    <w:rsid w:val="253634F0"/>
    <w:rsid w:val="254C4D6D"/>
    <w:rsid w:val="254E083A"/>
    <w:rsid w:val="255252FE"/>
    <w:rsid w:val="25643BBA"/>
    <w:rsid w:val="25697422"/>
    <w:rsid w:val="25714529"/>
    <w:rsid w:val="2572277A"/>
    <w:rsid w:val="257302A1"/>
    <w:rsid w:val="257C53A7"/>
    <w:rsid w:val="258029E2"/>
    <w:rsid w:val="259D0E7A"/>
    <w:rsid w:val="25AB17E9"/>
    <w:rsid w:val="25B61F3B"/>
    <w:rsid w:val="25BC57A4"/>
    <w:rsid w:val="25BF25AC"/>
    <w:rsid w:val="25C24D84"/>
    <w:rsid w:val="25C74149"/>
    <w:rsid w:val="25EB42DB"/>
    <w:rsid w:val="25FC3DF2"/>
    <w:rsid w:val="25FD1C98"/>
    <w:rsid w:val="260C65AF"/>
    <w:rsid w:val="26127ABA"/>
    <w:rsid w:val="261F3F85"/>
    <w:rsid w:val="263712CE"/>
    <w:rsid w:val="263834BB"/>
    <w:rsid w:val="26393298"/>
    <w:rsid w:val="266B541C"/>
    <w:rsid w:val="266F2816"/>
    <w:rsid w:val="26881B2A"/>
    <w:rsid w:val="26914E82"/>
    <w:rsid w:val="26A5092E"/>
    <w:rsid w:val="26AD1590"/>
    <w:rsid w:val="26B66697"/>
    <w:rsid w:val="26BF3727"/>
    <w:rsid w:val="26CD578F"/>
    <w:rsid w:val="26CF7759"/>
    <w:rsid w:val="26E01699"/>
    <w:rsid w:val="26F1147D"/>
    <w:rsid w:val="270311B0"/>
    <w:rsid w:val="27054F28"/>
    <w:rsid w:val="270D202F"/>
    <w:rsid w:val="271B0BF0"/>
    <w:rsid w:val="27231852"/>
    <w:rsid w:val="2729330D"/>
    <w:rsid w:val="273D46C2"/>
    <w:rsid w:val="274E4B21"/>
    <w:rsid w:val="275A1718"/>
    <w:rsid w:val="275B2D9A"/>
    <w:rsid w:val="276E0D20"/>
    <w:rsid w:val="276E441C"/>
    <w:rsid w:val="276E6F72"/>
    <w:rsid w:val="279D1605"/>
    <w:rsid w:val="279D33B3"/>
    <w:rsid w:val="27B32BD6"/>
    <w:rsid w:val="27B626C7"/>
    <w:rsid w:val="27B63CAD"/>
    <w:rsid w:val="27C60B5C"/>
    <w:rsid w:val="27CC3C98"/>
    <w:rsid w:val="27CE17BE"/>
    <w:rsid w:val="27D25752"/>
    <w:rsid w:val="27E9484A"/>
    <w:rsid w:val="27FD20A3"/>
    <w:rsid w:val="280260F1"/>
    <w:rsid w:val="2803187B"/>
    <w:rsid w:val="280451E0"/>
    <w:rsid w:val="28081174"/>
    <w:rsid w:val="28133675"/>
    <w:rsid w:val="28180C8B"/>
    <w:rsid w:val="281F64BE"/>
    <w:rsid w:val="284303FE"/>
    <w:rsid w:val="284877C3"/>
    <w:rsid w:val="28537F15"/>
    <w:rsid w:val="2858552C"/>
    <w:rsid w:val="286D0FD7"/>
    <w:rsid w:val="28777DED"/>
    <w:rsid w:val="287E4F92"/>
    <w:rsid w:val="288D78CB"/>
    <w:rsid w:val="28904CC6"/>
    <w:rsid w:val="28A752D7"/>
    <w:rsid w:val="28CA467C"/>
    <w:rsid w:val="28CA642A"/>
    <w:rsid w:val="28CB21A2"/>
    <w:rsid w:val="28CB63A1"/>
    <w:rsid w:val="28D42E04"/>
    <w:rsid w:val="28EC45F2"/>
    <w:rsid w:val="28F214DC"/>
    <w:rsid w:val="28F90ABD"/>
    <w:rsid w:val="28F96D0F"/>
    <w:rsid w:val="28FB2A87"/>
    <w:rsid w:val="28FE4325"/>
    <w:rsid w:val="29001E4B"/>
    <w:rsid w:val="290A0F1C"/>
    <w:rsid w:val="290C6A42"/>
    <w:rsid w:val="29143B49"/>
    <w:rsid w:val="291853E7"/>
    <w:rsid w:val="292875F4"/>
    <w:rsid w:val="292C2C40"/>
    <w:rsid w:val="29386CDF"/>
    <w:rsid w:val="294C499F"/>
    <w:rsid w:val="295C2DFA"/>
    <w:rsid w:val="29641E6F"/>
    <w:rsid w:val="29736AC1"/>
    <w:rsid w:val="297D16EE"/>
    <w:rsid w:val="298505A2"/>
    <w:rsid w:val="29B50E88"/>
    <w:rsid w:val="29C9048F"/>
    <w:rsid w:val="29F15C38"/>
    <w:rsid w:val="29F319B0"/>
    <w:rsid w:val="29F51284"/>
    <w:rsid w:val="29F85218"/>
    <w:rsid w:val="2A043BBD"/>
    <w:rsid w:val="2A070FB7"/>
    <w:rsid w:val="2A1262DA"/>
    <w:rsid w:val="2A1A258F"/>
    <w:rsid w:val="2A224043"/>
    <w:rsid w:val="2A355B25"/>
    <w:rsid w:val="2A3A313B"/>
    <w:rsid w:val="2A475858"/>
    <w:rsid w:val="2A5E151F"/>
    <w:rsid w:val="2A790107"/>
    <w:rsid w:val="2A7D127A"/>
    <w:rsid w:val="2A7F1496"/>
    <w:rsid w:val="2A7F3244"/>
    <w:rsid w:val="2A866380"/>
    <w:rsid w:val="2A9C2048"/>
    <w:rsid w:val="2AAB4039"/>
    <w:rsid w:val="2AAB4AF0"/>
    <w:rsid w:val="2ABC283B"/>
    <w:rsid w:val="2AC0139D"/>
    <w:rsid w:val="2ACD3FAF"/>
    <w:rsid w:val="2AD90BA6"/>
    <w:rsid w:val="2ADC41F2"/>
    <w:rsid w:val="2AE00186"/>
    <w:rsid w:val="2AE82B97"/>
    <w:rsid w:val="2AFB4FC0"/>
    <w:rsid w:val="2AFC2AE6"/>
    <w:rsid w:val="2B083239"/>
    <w:rsid w:val="2B0A6FB1"/>
    <w:rsid w:val="2B171363"/>
    <w:rsid w:val="2B33475A"/>
    <w:rsid w:val="2B345DDC"/>
    <w:rsid w:val="2B351DF5"/>
    <w:rsid w:val="2B381D70"/>
    <w:rsid w:val="2B457FE9"/>
    <w:rsid w:val="2B4D50F0"/>
    <w:rsid w:val="2B585F6F"/>
    <w:rsid w:val="2B764726"/>
    <w:rsid w:val="2B791198"/>
    <w:rsid w:val="2B7D59D5"/>
    <w:rsid w:val="2B7E52A9"/>
    <w:rsid w:val="2B836DE4"/>
    <w:rsid w:val="2B8B3652"/>
    <w:rsid w:val="2B8C79C6"/>
    <w:rsid w:val="2B964CE9"/>
    <w:rsid w:val="2BAC62BA"/>
    <w:rsid w:val="2BB138D1"/>
    <w:rsid w:val="2BB62C95"/>
    <w:rsid w:val="2BC730F4"/>
    <w:rsid w:val="2BCC24B9"/>
    <w:rsid w:val="2BD33847"/>
    <w:rsid w:val="2BD355F5"/>
    <w:rsid w:val="2BD650E5"/>
    <w:rsid w:val="2BD66E93"/>
    <w:rsid w:val="2BD82622"/>
    <w:rsid w:val="2BE27F2E"/>
    <w:rsid w:val="2BFA0DD4"/>
    <w:rsid w:val="2BFD2672"/>
    <w:rsid w:val="2C0305C9"/>
    <w:rsid w:val="2C047EA4"/>
    <w:rsid w:val="2C060465"/>
    <w:rsid w:val="2C0C6D59"/>
    <w:rsid w:val="2C0E2AD1"/>
    <w:rsid w:val="2C270159"/>
    <w:rsid w:val="2C2B5431"/>
    <w:rsid w:val="2C3342E6"/>
    <w:rsid w:val="2C626979"/>
    <w:rsid w:val="2C684534"/>
    <w:rsid w:val="2C6F7C48"/>
    <w:rsid w:val="2C7212B2"/>
    <w:rsid w:val="2C7E7C57"/>
    <w:rsid w:val="2C815051"/>
    <w:rsid w:val="2C820DC9"/>
    <w:rsid w:val="2C9034E6"/>
    <w:rsid w:val="2CB01DDA"/>
    <w:rsid w:val="2CB847EB"/>
    <w:rsid w:val="2CC17B44"/>
    <w:rsid w:val="2CC55886"/>
    <w:rsid w:val="2CC969F8"/>
    <w:rsid w:val="2CD535EF"/>
    <w:rsid w:val="2CD86C3B"/>
    <w:rsid w:val="2CEA52EC"/>
    <w:rsid w:val="2CF03F85"/>
    <w:rsid w:val="2D067C4C"/>
    <w:rsid w:val="2D151C3D"/>
    <w:rsid w:val="2D1934DC"/>
    <w:rsid w:val="2D236108"/>
    <w:rsid w:val="2D247A5C"/>
    <w:rsid w:val="2D352B6D"/>
    <w:rsid w:val="2D371BB4"/>
    <w:rsid w:val="2D404F0C"/>
    <w:rsid w:val="2D4B565F"/>
    <w:rsid w:val="2D4C1B03"/>
    <w:rsid w:val="2D5C161A"/>
    <w:rsid w:val="2D616C31"/>
    <w:rsid w:val="2D8F7C42"/>
    <w:rsid w:val="2D937732"/>
    <w:rsid w:val="2DC518B5"/>
    <w:rsid w:val="2DCD42C6"/>
    <w:rsid w:val="2DD218DC"/>
    <w:rsid w:val="2DD9710F"/>
    <w:rsid w:val="2DE53D06"/>
    <w:rsid w:val="2DEC0BF0"/>
    <w:rsid w:val="2DF14458"/>
    <w:rsid w:val="2DF950BB"/>
    <w:rsid w:val="2E045E72"/>
    <w:rsid w:val="2E0C4DEE"/>
    <w:rsid w:val="2E3305CD"/>
    <w:rsid w:val="2E33681F"/>
    <w:rsid w:val="2E3C1B78"/>
    <w:rsid w:val="2E5A3DAC"/>
    <w:rsid w:val="2E6A7D67"/>
    <w:rsid w:val="2E8E3CAA"/>
    <w:rsid w:val="2E9077CD"/>
    <w:rsid w:val="2E960B5C"/>
    <w:rsid w:val="2EAC496F"/>
    <w:rsid w:val="2EB84F76"/>
    <w:rsid w:val="2ECB4CA9"/>
    <w:rsid w:val="2EDA7F77"/>
    <w:rsid w:val="2EE04960"/>
    <w:rsid w:val="2EE23DA1"/>
    <w:rsid w:val="2EF91817"/>
    <w:rsid w:val="2EFC1307"/>
    <w:rsid w:val="2F067A90"/>
    <w:rsid w:val="2F081A5A"/>
    <w:rsid w:val="2F083808"/>
    <w:rsid w:val="2F1403FE"/>
    <w:rsid w:val="2F1F0B51"/>
    <w:rsid w:val="2F25085E"/>
    <w:rsid w:val="2F2B1BEC"/>
    <w:rsid w:val="2F2D7712"/>
    <w:rsid w:val="2F3C71C8"/>
    <w:rsid w:val="2F454A5C"/>
    <w:rsid w:val="2F48454C"/>
    <w:rsid w:val="2F4C5E70"/>
    <w:rsid w:val="2F68639C"/>
    <w:rsid w:val="2F6A44C2"/>
    <w:rsid w:val="2F6D7B0F"/>
    <w:rsid w:val="2F762E67"/>
    <w:rsid w:val="2F891E54"/>
    <w:rsid w:val="2F9432ED"/>
    <w:rsid w:val="2F963509"/>
    <w:rsid w:val="2F974B8C"/>
    <w:rsid w:val="2F9B28CE"/>
    <w:rsid w:val="2FA15A0A"/>
    <w:rsid w:val="2FAA0D63"/>
    <w:rsid w:val="2FB43990"/>
    <w:rsid w:val="2FBC45F2"/>
    <w:rsid w:val="2FC82F97"/>
    <w:rsid w:val="2FD81838"/>
    <w:rsid w:val="2FE37DD1"/>
    <w:rsid w:val="300A1801"/>
    <w:rsid w:val="30110DE2"/>
    <w:rsid w:val="301E5EAA"/>
    <w:rsid w:val="30281C88"/>
    <w:rsid w:val="304916CE"/>
    <w:rsid w:val="304E73A5"/>
    <w:rsid w:val="3050591E"/>
    <w:rsid w:val="30601421"/>
    <w:rsid w:val="306727B0"/>
    <w:rsid w:val="306C6018"/>
    <w:rsid w:val="307B60BB"/>
    <w:rsid w:val="307B625B"/>
    <w:rsid w:val="307F7AFA"/>
    <w:rsid w:val="3098505F"/>
    <w:rsid w:val="309A0DD7"/>
    <w:rsid w:val="30B458C6"/>
    <w:rsid w:val="30BA3228"/>
    <w:rsid w:val="30BD0622"/>
    <w:rsid w:val="30BF25EC"/>
    <w:rsid w:val="30CD2F5B"/>
    <w:rsid w:val="30D20571"/>
    <w:rsid w:val="30D51E0F"/>
    <w:rsid w:val="30DF2C8E"/>
    <w:rsid w:val="30E107B4"/>
    <w:rsid w:val="30E958BB"/>
    <w:rsid w:val="30EB33E1"/>
    <w:rsid w:val="30FD3114"/>
    <w:rsid w:val="31000EC1"/>
    <w:rsid w:val="31215055"/>
    <w:rsid w:val="3126266B"/>
    <w:rsid w:val="31305298"/>
    <w:rsid w:val="314F3970"/>
    <w:rsid w:val="31603DCF"/>
    <w:rsid w:val="31666F0B"/>
    <w:rsid w:val="316B4522"/>
    <w:rsid w:val="316D2048"/>
    <w:rsid w:val="316F46F5"/>
    <w:rsid w:val="31704C6D"/>
    <w:rsid w:val="317B29B7"/>
    <w:rsid w:val="31927D00"/>
    <w:rsid w:val="31B47C77"/>
    <w:rsid w:val="31C12394"/>
    <w:rsid w:val="31C3610C"/>
    <w:rsid w:val="31C559E0"/>
    <w:rsid w:val="31EA5447"/>
    <w:rsid w:val="3204466B"/>
    <w:rsid w:val="320F30FF"/>
    <w:rsid w:val="320F75A3"/>
    <w:rsid w:val="3234700A"/>
    <w:rsid w:val="32384404"/>
    <w:rsid w:val="32626F4C"/>
    <w:rsid w:val="32647372"/>
    <w:rsid w:val="3267118D"/>
    <w:rsid w:val="32690A61"/>
    <w:rsid w:val="327318E0"/>
    <w:rsid w:val="328B4E7C"/>
    <w:rsid w:val="329B2BE5"/>
    <w:rsid w:val="32AB72CC"/>
    <w:rsid w:val="32C20171"/>
    <w:rsid w:val="32CC0FF0"/>
    <w:rsid w:val="32E4633A"/>
    <w:rsid w:val="32E97DF4"/>
    <w:rsid w:val="32EB3B6C"/>
    <w:rsid w:val="32F742BF"/>
    <w:rsid w:val="3301513E"/>
    <w:rsid w:val="331035D3"/>
    <w:rsid w:val="3310712F"/>
    <w:rsid w:val="331C1F78"/>
    <w:rsid w:val="331D35FA"/>
    <w:rsid w:val="33294694"/>
    <w:rsid w:val="333A41AC"/>
    <w:rsid w:val="333F7A14"/>
    <w:rsid w:val="3369683F"/>
    <w:rsid w:val="338B5000"/>
    <w:rsid w:val="33A61841"/>
    <w:rsid w:val="33AD2BD0"/>
    <w:rsid w:val="33B45D0C"/>
    <w:rsid w:val="33BC2E13"/>
    <w:rsid w:val="33E67E90"/>
    <w:rsid w:val="33EC6C5A"/>
    <w:rsid w:val="34120892"/>
    <w:rsid w:val="3417273F"/>
    <w:rsid w:val="341C1B03"/>
    <w:rsid w:val="341E7629"/>
    <w:rsid w:val="34232E92"/>
    <w:rsid w:val="34237336"/>
    <w:rsid w:val="343926B5"/>
    <w:rsid w:val="343D03F7"/>
    <w:rsid w:val="344352E2"/>
    <w:rsid w:val="344572AC"/>
    <w:rsid w:val="345117AD"/>
    <w:rsid w:val="346239BA"/>
    <w:rsid w:val="346314E0"/>
    <w:rsid w:val="34645984"/>
    <w:rsid w:val="346C4839"/>
    <w:rsid w:val="347436ED"/>
    <w:rsid w:val="347A51A8"/>
    <w:rsid w:val="347D25A2"/>
    <w:rsid w:val="349D49F2"/>
    <w:rsid w:val="34A00986"/>
    <w:rsid w:val="34A53038"/>
    <w:rsid w:val="34A741F9"/>
    <w:rsid w:val="34B65AB4"/>
    <w:rsid w:val="34C46423"/>
    <w:rsid w:val="34DA5C46"/>
    <w:rsid w:val="34DB376C"/>
    <w:rsid w:val="34DF14AF"/>
    <w:rsid w:val="34EB1C02"/>
    <w:rsid w:val="34EE16F2"/>
    <w:rsid w:val="34F12F90"/>
    <w:rsid w:val="34F93554"/>
    <w:rsid w:val="34FF56AD"/>
    <w:rsid w:val="350054D7"/>
    <w:rsid w:val="350C1B78"/>
    <w:rsid w:val="35174B9A"/>
    <w:rsid w:val="351F3659"/>
    <w:rsid w:val="351F5D4F"/>
    <w:rsid w:val="35284C04"/>
    <w:rsid w:val="35325C5F"/>
    <w:rsid w:val="35352E7D"/>
    <w:rsid w:val="35521C81"/>
    <w:rsid w:val="355E6877"/>
    <w:rsid w:val="35645510"/>
    <w:rsid w:val="357A2F85"/>
    <w:rsid w:val="357F234A"/>
    <w:rsid w:val="358362DE"/>
    <w:rsid w:val="35847960"/>
    <w:rsid w:val="35A21A30"/>
    <w:rsid w:val="35AD335B"/>
    <w:rsid w:val="35AF0E81"/>
    <w:rsid w:val="35B5220F"/>
    <w:rsid w:val="35BA7826"/>
    <w:rsid w:val="35BB5A78"/>
    <w:rsid w:val="35C0308E"/>
    <w:rsid w:val="35C30488"/>
    <w:rsid w:val="35CD1307"/>
    <w:rsid w:val="35D46B3A"/>
    <w:rsid w:val="35E87EEF"/>
    <w:rsid w:val="35F77FA8"/>
    <w:rsid w:val="35FD7CCE"/>
    <w:rsid w:val="36050AA1"/>
    <w:rsid w:val="3607288D"/>
    <w:rsid w:val="3608233F"/>
    <w:rsid w:val="361138EA"/>
    <w:rsid w:val="36190952"/>
    <w:rsid w:val="362058DB"/>
    <w:rsid w:val="36257395"/>
    <w:rsid w:val="363B44C3"/>
    <w:rsid w:val="365732C7"/>
    <w:rsid w:val="36625EF3"/>
    <w:rsid w:val="366267D9"/>
    <w:rsid w:val="36637EBD"/>
    <w:rsid w:val="36767BF1"/>
    <w:rsid w:val="3679148F"/>
    <w:rsid w:val="36861647"/>
    <w:rsid w:val="36932551"/>
    <w:rsid w:val="369E2CA4"/>
    <w:rsid w:val="36A209E6"/>
    <w:rsid w:val="36A77DAA"/>
    <w:rsid w:val="36B64491"/>
    <w:rsid w:val="36C50230"/>
    <w:rsid w:val="36CF10AF"/>
    <w:rsid w:val="36D337A7"/>
    <w:rsid w:val="36D466C5"/>
    <w:rsid w:val="36DD1A1E"/>
    <w:rsid w:val="36E508D2"/>
    <w:rsid w:val="36E7464B"/>
    <w:rsid w:val="36EC1C61"/>
    <w:rsid w:val="36F6663C"/>
    <w:rsid w:val="37076A9B"/>
    <w:rsid w:val="371A057C"/>
    <w:rsid w:val="37265173"/>
    <w:rsid w:val="37405B09"/>
    <w:rsid w:val="37441A9D"/>
    <w:rsid w:val="37450271"/>
    <w:rsid w:val="3756612A"/>
    <w:rsid w:val="37645C9B"/>
    <w:rsid w:val="37727331"/>
    <w:rsid w:val="37797999"/>
    <w:rsid w:val="377F61B5"/>
    <w:rsid w:val="37841E99"/>
    <w:rsid w:val="37895702"/>
    <w:rsid w:val="379F4F25"/>
    <w:rsid w:val="37AF33BA"/>
    <w:rsid w:val="37B22EAA"/>
    <w:rsid w:val="37B7401D"/>
    <w:rsid w:val="37BF7375"/>
    <w:rsid w:val="37C30C14"/>
    <w:rsid w:val="37CC3B28"/>
    <w:rsid w:val="37CD0DFA"/>
    <w:rsid w:val="37D83684"/>
    <w:rsid w:val="37D90437"/>
    <w:rsid w:val="37EB3CC7"/>
    <w:rsid w:val="37FB65FF"/>
    <w:rsid w:val="38016B7B"/>
    <w:rsid w:val="38033706"/>
    <w:rsid w:val="38064FA4"/>
    <w:rsid w:val="38080D1C"/>
    <w:rsid w:val="382B0567"/>
    <w:rsid w:val="382C1ED7"/>
    <w:rsid w:val="383021F0"/>
    <w:rsid w:val="38303DCF"/>
    <w:rsid w:val="38312021"/>
    <w:rsid w:val="383218F5"/>
    <w:rsid w:val="3834566E"/>
    <w:rsid w:val="383C2774"/>
    <w:rsid w:val="384358B1"/>
    <w:rsid w:val="38455ACD"/>
    <w:rsid w:val="384F06F9"/>
    <w:rsid w:val="385201EA"/>
    <w:rsid w:val="38675A43"/>
    <w:rsid w:val="38685317"/>
    <w:rsid w:val="38832151"/>
    <w:rsid w:val="388B12FA"/>
    <w:rsid w:val="38922426"/>
    <w:rsid w:val="389D76B7"/>
    <w:rsid w:val="389E342F"/>
    <w:rsid w:val="38A10829"/>
    <w:rsid w:val="38AD71CE"/>
    <w:rsid w:val="38B4055C"/>
    <w:rsid w:val="38B947F5"/>
    <w:rsid w:val="38C5276A"/>
    <w:rsid w:val="38C757B4"/>
    <w:rsid w:val="38CD161E"/>
    <w:rsid w:val="38D429AD"/>
    <w:rsid w:val="38DE5D2A"/>
    <w:rsid w:val="38E5105E"/>
    <w:rsid w:val="38F117B0"/>
    <w:rsid w:val="38F35529"/>
    <w:rsid w:val="38F60B75"/>
    <w:rsid w:val="38F90665"/>
    <w:rsid w:val="38FD638A"/>
    <w:rsid w:val="38FE0016"/>
    <w:rsid w:val="390A4620"/>
    <w:rsid w:val="390F1C37"/>
    <w:rsid w:val="39227BBC"/>
    <w:rsid w:val="392B7033"/>
    <w:rsid w:val="39382F3B"/>
    <w:rsid w:val="393B2BAB"/>
    <w:rsid w:val="393F251C"/>
    <w:rsid w:val="395A55A8"/>
    <w:rsid w:val="395F496C"/>
    <w:rsid w:val="39602492"/>
    <w:rsid w:val="3971644D"/>
    <w:rsid w:val="39783C80"/>
    <w:rsid w:val="398C14D9"/>
    <w:rsid w:val="39A131D7"/>
    <w:rsid w:val="39A405D1"/>
    <w:rsid w:val="39AD1B7B"/>
    <w:rsid w:val="39BF7F73"/>
    <w:rsid w:val="39C173D5"/>
    <w:rsid w:val="39C42A21"/>
    <w:rsid w:val="39CA3353"/>
    <w:rsid w:val="39D06AAF"/>
    <w:rsid w:val="39D4146A"/>
    <w:rsid w:val="39E62997"/>
    <w:rsid w:val="39ED01CA"/>
    <w:rsid w:val="39F049CA"/>
    <w:rsid w:val="3A03179B"/>
    <w:rsid w:val="3A085004"/>
    <w:rsid w:val="3A092B2A"/>
    <w:rsid w:val="3A1F5EA9"/>
    <w:rsid w:val="3A3E4582"/>
    <w:rsid w:val="3A3F02FA"/>
    <w:rsid w:val="3A5169AB"/>
    <w:rsid w:val="3A72247D"/>
    <w:rsid w:val="3A7D77A0"/>
    <w:rsid w:val="3A804B9A"/>
    <w:rsid w:val="3A8522B8"/>
    <w:rsid w:val="3A8A5A19"/>
    <w:rsid w:val="3A8B1791"/>
    <w:rsid w:val="3AA12D62"/>
    <w:rsid w:val="3AA80595"/>
    <w:rsid w:val="3AAB28EC"/>
    <w:rsid w:val="3AB46F3A"/>
    <w:rsid w:val="3AC21656"/>
    <w:rsid w:val="3AC52EF5"/>
    <w:rsid w:val="3ACA4067"/>
    <w:rsid w:val="3AD4138A"/>
    <w:rsid w:val="3AD66EB0"/>
    <w:rsid w:val="3AD82C28"/>
    <w:rsid w:val="3ADD1FEC"/>
    <w:rsid w:val="3AF410E4"/>
    <w:rsid w:val="3B0C0B24"/>
    <w:rsid w:val="3B2220F5"/>
    <w:rsid w:val="3B295232"/>
    <w:rsid w:val="3B2C6AD0"/>
    <w:rsid w:val="3B345984"/>
    <w:rsid w:val="3B4A33FA"/>
    <w:rsid w:val="3B4B164C"/>
    <w:rsid w:val="3B4C7172"/>
    <w:rsid w:val="3B4F1EBC"/>
    <w:rsid w:val="3B6B3A9C"/>
    <w:rsid w:val="3B702E61"/>
    <w:rsid w:val="3B781D15"/>
    <w:rsid w:val="3B787F67"/>
    <w:rsid w:val="3B7A783B"/>
    <w:rsid w:val="3B7C1BBA"/>
    <w:rsid w:val="3B866A14"/>
    <w:rsid w:val="3B9B5A04"/>
    <w:rsid w:val="3BAA5C47"/>
    <w:rsid w:val="3BB24DE0"/>
    <w:rsid w:val="3BC767F9"/>
    <w:rsid w:val="3BC96A15"/>
    <w:rsid w:val="3BD056AD"/>
    <w:rsid w:val="3BD17677"/>
    <w:rsid w:val="3BD553B9"/>
    <w:rsid w:val="3BDA29D0"/>
    <w:rsid w:val="3BDF7FE6"/>
    <w:rsid w:val="3BE85E2B"/>
    <w:rsid w:val="3BEC40FD"/>
    <w:rsid w:val="3BF82E56"/>
    <w:rsid w:val="3C065573"/>
    <w:rsid w:val="3C131A3E"/>
    <w:rsid w:val="3C1557B6"/>
    <w:rsid w:val="3C1A7270"/>
    <w:rsid w:val="3C2B4FD9"/>
    <w:rsid w:val="3C2E6878"/>
    <w:rsid w:val="3C3A6FCB"/>
    <w:rsid w:val="3C460065"/>
    <w:rsid w:val="3C522566"/>
    <w:rsid w:val="3C700C3E"/>
    <w:rsid w:val="3C81109D"/>
    <w:rsid w:val="3C830972"/>
    <w:rsid w:val="3C860462"/>
    <w:rsid w:val="3C8F37BA"/>
    <w:rsid w:val="3C94492D"/>
    <w:rsid w:val="3C9C1A33"/>
    <w:rsid w:val="3CAD1E92"/>
    <w:rsid w:val="3CAD59EE"/>
    <w:rsid w:val="3CBA0E32"/>
    <w:rsid w:val="3CBD0327"/>
    <w:rsid w:val="3CCA034E"/>
    <w:rsid w:val="3CCB40C7"/>
    <w:rsid w:val="3CEA6C43"/>
    <w:rsid w:val="3CF03B2D"/>
    <w:rsid w:val="3CF278A5"/>
    <w:rsid w:val="3D031AB2"/>
    <w:rsid w:val="3D0432D8"/>
    <w:rsid w:val="3D145A6E"/>
    <w:rsid w:val="3D202664"/>
    <w:rsid w:val="3D232155"/>
    <w:rsid w:val="3D673DEF"/>
    <w:rsid w:val="3D7A6218"/>
    <w:rsid w:val="3D7B5AED"/>
    <w:rsid w:val="3D804EB1"/>
    <w:rsid w:val="3DA07301"/>
    <w:rsid w:val="3DA212CB"/>
    <w:rsid w:val="3DA35066"/>
    <w:rsid w:val="3DBF1E7D"/>
    <w:rsid w:val="3DC15BF5"/>
    <w:rsid w:val="3DCB0822"/>
    <w:rsid w:val="3DDB4D41"/>
    <w:rsid w:val="3DEB0EC4"/>
    <w:rsid w:val="3DF02037"/>
    <w:rsid w:val="3DF064DB"/>
    <w:rsid w:val="3DF84302"/>
    <w:rsid w:val="3E173A67"/>
    <w:rsid w:val="3E1C72D0"/>
    <w:rsid w:val="3E2C7B73"/>
    <w:rsid w:val="3E3363C7"/>
    <w:rsid w:val="3E47143C"/>
    <w:rsid w:val="3E4F1453"/>
    <w:rsid w:val="3E522CF1"/>
    <w:rsid w:val="3E5527E2"/>
    <w:rsid w:val="3E971F92"/>
    <w:rsid w:val="3E99447C"/>
    <w:rsid w:val="3EA370A9"/>
    <w:rsid w:val="3EB968CD"/>
    <w:rsid w:val="3EDA6843"/>
    <w:rsid w:val="3EDC6A5F"/>
    <w:rsid w:val="3F012022"/>
    <w:rsid w:val="3F0221B3"/>
    <w:rsid w:val="3F1D4250"/>
    <w:rsid w:val="3F293CE8"/>
    <w:rsid w:val="3F29742D"/>
    <w:rsid w:val="3F454604"/>
    <w:rsid w:val="3F4940F4"/>
    <w:rsid w:val="3F4C14EF"/>
    <w:rsid w:val="3F4F5483"/>
    <w:rsid w:val="3F5E1222"/>
    <w:rsid w:val="3F646D67"/>
    <w:rsid w:val="3F793477"/>
    <w:rsid w:val="3F852C53"/>
    <w:rsid w:val="3F8E1777"/>
    <w:rsid w:val="3F935BBF"/>
    <w:rsid w:val="3F9B31E4"/>
    <w:rsid w:val="3F9B5FD2"/>
    <w:rsid w:val="3FA330D9"/>
    <w:rsid w:val="3FBB0422"/>
    <w:rsid w:val="3FC27A03"/>
    <w:rsid w:val="3FCE0156"/>
    <w:rsid w:val="3FD414E4"/>
    <w:rsid w:val="3FE61943"/>
    <w:rsid w:val="3FEB6F5A"/>
    <w:rsid w:val="3FF468EF"/>
    <w:rsid w:val="400E6F45"/>
    <w:rsid w:val="40112738"/>
    <w:rsid w:val="401A339B"/>
    <w:rsid w:val="401A783F"/>
    <w:rsid w:val="401B7113"/>
    <w:rsid w:val="402204A1"/>
    <w:rsid w:val="40267F92"/>
    <w:rsid w:val="403703F1"/>
    <w:rsid w:val="403E177F"/>
    <w:rsid w:val="40436D96"/>
    <w:rsid w:val="40512B35"/>
    <w:rsid w:val="40532D51"/>
    <w:rsid w:val="407056B1"/>
    <w:rsid w:val="40713249"/>
    <w:rsid w:val="409A0980"/>
    <w:rsid w:val="409A44DC"/>
    <w:rsid w:val="40A23390"/>
    <w:rsid w:val="40A86BF9"/>
    <w:rsid w:val="40B7508E"/>
    <w:rsid w:val="40C55B80"/>
    <w:rsid w:val="40DA6FCE"/>
    <w:rsid w:val="40DC2D46"/>
    <w:rsid w:val="40DE086C"/>
    <w:rsid w:val="40FE0F0E"/>
    <w:rsid w:val="410858E9"/>
    <w:rsid w:val="410E30E2"/>
    <w:rsid w:val="41195D48"/>
    <w:rsid w:val="41232723"/>
    <w:rsid w:val="41322966"/>
    <w:rsid w:val="41384420"/>
    <w:rsid w:val="413B5CBF"/>
    <w:rsid w:val="41432DC5"/>
    <w:rsid w:val="41434B73"/>
    <w:rsid w:val="4151103E"/>
    <w:rsid w:val="4153125A"/>
    <w:rsid w:val="415C79E3"/>
    <w:rsid w:val="416B7C26"/>
    <w:rsid w:val="416C5E78"/>
    <w:rsid w:val="419158DF"/>
    <w:rsid w:val="41970A1B"/>
    <w:rsid w:val="419E1DAA"/>
    <w:rsid w:val="41B11ADD"/>
    <w:rsid w:val="41C23CEA"/>
    <w:rsid w:val="41E9396D"/>
    <w:rsid w:val="41F22153"/>
    <w:rsid w:val="41FD2F74"/>
    <w:rsid w:val="41FF4F3E"/>
    <w:rsid w:val="42051E29"/>
    <w:rsid w:val="420A5691"/>
    <w:rsid w:val="420A743F"/>
    <w:rsid w:val="420F2CA7"/>
    <w:rsid w:val="42162288"/>
    <w:rsid w:val="42204EB5"/>
    <w:rsid w:val="42276243"/>
    <w:rsid w:val="42360234"/>
    <w:rsid w:val="423A261E"/>
    <w:rsid w:val="4262727B"/>
    <w:rsid w:val="4269060A"/>
    <w:rsid w:val="42784CF1"/>
    <w:rsid w:val="42785D1A"/>
    <w:rsid w:val="428D254A"/>
    <w:rsid w:val="429F402B"/>
    <w:rsid w:val="42A72EE0"/>
    <w:rsid w:val="42AB6E74"/>
    <w:rsid w:val="42C57F36"/>
    <w:rsid w:val="42EF3074"/>
    <w:rsid w:val="42F425C9"/>
    <w:rsid w:val="42FA1DCA"/>
    <w:rsid w:val="42FE6FA4"/>
    <w:rsid w:val="430345BA"/>
    <w:rsid w:val="43056584"/>
    <w:rsid w:val="430B7913"/>
    <w:rsid w:val="43151776"/>
    <w:rsid w:val="431542ED"/>
    <w:rsid w:val="43305BFF"/>
    <w:rsid w:val="4339622E"/>
    <w:rsid w:val="433A3D54"/>
    <w:rsid w:val="433E55F2"/>
    <w:rsid w:val="434765EB"/>
    <w:rsid w:val="434C41B3"/>
    <w:rsid w:val="43566DE0"/>
    <w:rsid w:val="4368266F"/>
    <w:rsid w:val="438155FD"/>
    <w:rsid w:val="438A0837"/>
    <w:rsid w:val="439D67BD"/>
    <w:rsid w:val="43A37B4B"/>
    <w:rsid w:val="43B835F7"/>
    <w:rsid w:val="43BE4985"/>
    <w:rsid w:val="43C006FD"/>
    <w:rsid w:val="43C024AB"/>
    <w:rsid w:val="43C27FD1"/>
    <w:rsid w:val="43C81360"/>
    <w:rsid w:val="43CD6976"/>
    <w:rsid w:val="43D30430"/>
    <w:rsid w:val="43D441A9"/>
    <w:rsid w:val="43D47D05"/>
    <w:rsid w:val="43D9356D"/>
    <w:rsid w:val="43DF6B4D"/>
    <w:rsid w:val="43EB1EBD"/>
    <w:rsid w:val="43EC504E"/>
    <w:rsid w:val="43F6411F"/>
    <w:rsid w:val="4404683C"/>
    <w:rsid w:val="44046CFA"/>
    <w:rsid w:val="44093E52"/>
    <w:rsid w:val="44185E43"/>
    <w:rsid w:val="445B21D4"/>
    <w:rsid w:val="446E1F07"/>
    <w:rsid w:val="448B64AE"/>
    <w:rsid w:val="449556E6"/>
    <w:rsid w:val="44BA15F0"/>
    <w:rsid w:val="44CE29A6"/>
    <w:rsid w:val="44D426B2"/>
    <w:rsid w:val="44DD6AF9"/>
    <w:rsid w:val="44E421C9"/>
    <w:rsid w:val="44F312D7"/>
    <w:rsid w:val="44F763A1"/>
    <w:rsid w:val="44F93EC7"/>
    <w:rsid w:val="450F28D0"/>
    <w:rsid w:val="451F3201"/>
    <w:rsid w:val="452F5B3A"/>
    <w:rsid w:val="45322F35"/>
    <w:rsid w:val="456C1406"/>
    <w:rsid w:val="4585575A"/>
    <w:rsid w:val="45A57BAB"/>
    <w:rsid w:val="45C06792"/>
    <w:rsid w:val="45EC3A2B"/>
    <w:rsid w:val="460F14C8"/>
    <w:rsid w:val="46164604"/>
    <w:rsid w:val="4618037D"/>
    <w:rsid w:val="461D1E37"/>
    <w:rsid w:val="462C3E28"/>
    <w:rsid w:val="46334A99"/>
    <w:rsid w:val="463351B6"/>
    <w:rsid w:val="463F61A4"/>
    <w:rsid w:val="464473C4"/>
    <w:rsid w:val="465B0FE9"/>
    <w:rsid w:val="465F0160"/>
    <w:rsid w:val="46607F75"/>
    <w:rsid w:val="46712183"/>
    <w:rsid w:val="46715CDF"/>
    <w:rsid w:val="467852BF"/>
    <w:rsid w:val="46976144"/>
    <w:rsid w:val="46A41C10"/>
    <w:rsid w:val="46A6134D"/>
    <w:rsid w:val="46AA2F9F"/>
    <w:rsid w:val="46D5626E"/>
    <w:rsid w:val="46EC5F09"/>
    <w:rsid w:val="46FA3F26"/>
    <w:rsid w:val="47017063"/>
    <w:rsid w:val="470E352E"/>
    <w:rsid w:val="471F1BDF"/>
    <w:rsid w:val="47213261"/>
    <w:rsid w:val="472400A2"/>
    <w:rsid w:val="47290367"/>
    <w:rsid w:val="473867FC"/>
    <w:rsid w:val="474451A1"/>
    <w:rsid w:val="47543636"/>
    <w:rsid w:val="476B6BD2"/>
    <w:rsid w:val="477E06B3"/>
    <w:rsid w:val="47950918"/>
    <w:rsid w:val="479E2B03"/>
    <w:rsid w:val="47B16CDB"/>
    <w:rsid w:val="47B75973"/>
    <w:rsid w:val="47BA5463"/>
    <w:rsid w:val="47C744A7"/>
    <w:rsid w:val="47CD165C"/>
    <w:rsid w:val="47EF7803"/>
    <w:rsid w:val="47FF736B"/>
    <w:rsid w:val="4807714A"/>
    <w:rsid w:val="480A63EB"/>
    <w:rsid w:val="480C2163"/>
    <w:rsid w:val="481132D5"/>
    <w:rsid w:val="481334F1"/>
    <w:rsid w:val="48272AF9"/>
    <w:rsid w:val="482E55D2"/>
    <w:rsid w:val="48311BC9"/>
    <w:rsid w:val="48347216"/>
    <w:rsid w:val="484E277B"/>
    <w:rsid w:val="487815A6"/>
    <w:rsid w:val="487F2935"/>
    <w:rsid w:val="48934632"/>
    <w:rsid w:val="489839F7"/>
    <w:rsid w:val="489B5295"/>
    <w:rsid w:val="48A028AB"/>
    <w:rsid w:val="48A203D1"/>
    <w:rsid w:val="48BF71D5"/>
    <w:rsid w:val="48CB3DCC"/>
    <w:rsid w:val="48CB5B7A"/>
    <w:rsid w:val="48CE41DE"/>
    <w:rsid w:val="48D32C81"/>
    <w:rsid w:val="48D82045"/>
    <w:rsid w:val="48DA400F"/>
    <w:rsid w:val="48E21116"/>
    <w:rsid w:val="490C1CEF"/>
    <w:rsid w:val="49172B6D"/>
    <w:rsid w:val="491E3397"/>
    <w:rsid w:val="4933371F"/>
    <w:rsid w:val="49374FBE"/>
    <w:rsid w:val="493D634C"/>
    <w:rsid w:val="493E7178"/>
    <w:rsid w:val="49425710"/>
    <w:rsid w:val="49470F79"/>
    <w:rsid w:val="49494CF1"/>
    <w:rsid w:val="496237F6"/>
    <w:rsid w:val="49935F6C"/>
    <w:rsid w:val="49973CAE"/>
    <w:rsid w:val="499C2E13"/>
    <w:rsid w:val="49A73042"/>
    <w:rsid w:val="49B02FC2"/>
    <w:rsid w:val="49C12AD9"/>
    <w:rsid w:val="49DA71F6"/>
    <w:rsid w:val="49E54B4B"/>
    <w:rsid w:val="49EC224C"/>
    <w:rsid w:val="49F66C27"/>
    <w:rsid w:val="4A2A68D0"/>
    <w:rsid w:val="4A3B0ADD"/>
    <w:rsid w:val="4A455895"/>
    <w:rsid w:val="4A477482"/>
    <w:rsid w:val="4A563B69"/>
    <w:rsid w:val="4A5E2A1E"/>
    <w:rsid w:val="4A6138B7"/>
    <w:rsid w:val="4A655B5A"/>
    <w:rsid w:val="4A7D4C52"/>
    <w:rsid w:val="4A7F614D"/>
    <w:rsid w:val="4A995804"/>
    <w:rsid w:val="4A9E2E1A"/>
    <w:rsid w:val="4AA77F21"/>
    <w:rsid w:val="4AA91CA4"/>
    <w:rsid w:val="4AAE5753"/>
    <w:rsid w:val="4AB443EC"/>
    <w:rsid w:val="4AB44966"/>
    <w:rsid w:val="4AB45879"/>
    <w:rsid w:val="4ABC401E"/>
    <w:rsid w:val="4AD048CE"/>
    <w:rsid w:val="4AD52CE0"/>
    <w:rsid w:val="4AE20F59"/>
    <w:rsid w:val="4AF34F14"/>
    <w:rsid w:val="4AFA124B"/>
    <w:rsid w:val="4AFD5D93"/>
    <w:rsid w:val="4B0B4954"/>
    <w:rsid w:val="4B15132F"/>
    <w:rsid w:val="4B1D4687"/>
    <w:rsid w:val="4B1F3F5B"/>
    <w:rsid w:val="4B2B0CD6"/>
    <w:rsid w:val="4B3317B5"/>
    <w:rsid w:val="4B38326F"/>
    <w:rsid w:val="4B3903B5"/>
    <w:rsid w:val="4B4166B6"/>
    <w:rsid w:val="4B4C0AC8"/>
    <w:rsid w:val="4B6202EC"/>
    <w:rsid w:val="4B700C5B"/>
    <w:rsid w:val="4B7C7600"/>
    <w:rsid w:val="4B7D0C82"/>
    <w:rsid w:val="4B8B15F1"/>
    <w:rsid w:val="4B991F60"/>
    <w:rsid w:val="4BB56687"/>
    <w:rsid w:val="4BBC79FC"/>
    <w:rsid w:val="4BBD5522"/>
    <w:rsid w:val="4BC0573E"/>
    <w:rsid w:val="4BC52D55"/>
    <w:rsid w:val="4BCA036B"/>
    <w:rsid w:val="4BCF3BD3"/>
    <w:rsid w:val="4BD16FC9"/>
    <w:rsid w:val="4BD72A88"/>
    <w:rsid w:val="4BE156B5"/>
    <w:rsid w:val="4BEC2A5F"/>
    <w:rsid w:val="4BF453E8"/>
    <w:rsid w:val="4BFA22D2"/>
    <w:rsid w:val="4C066EC9"/>
    <w:rsid w:val="4C080E93"/>
    <w:rsid w:val="4C0F2222"/>
    <w:rsid w:val="4C1C049B"/>
    <w:rsid w:val="4C1E06B7"/>
    <w:rsid w:val="4C211F55"/>
    <w:rsid w:val="4C24551A"/>
    <w:rsid w:val="4C261319"/>
    <w:rsid w:val="4C312198"/>
    <w:rsid w:val="4C3457E4"/>
    <w:rsid w:val="4C453E95"/>
    <w:rsid w:val="4C4579F1"/>
    <w:rsid w:val="4C4A14AC"/>
    <w:rsid w:val="4C56173B"/>
    <w:rsid w:val="4C5A4452"/>
    <w:rsid w:val="4C5E0AB3"/>
    <w:rsid w:val="4C673E0C"/>
    <w:rsid w:val="4C8147A2"/>
    <w:rsid w:val="4C83676C"/>
    <w:rsid w:val="4C8449BE"/>
    <w:rsid w:val="4C8D7BF2"/>
    <w:rsid w:val="4C991AEB"/>
    <w:rsid w:val="4CA81748"/>
    <w:rsid w:val="4CA85F79"/>
    <w:rsid w:val="4CB6269D"/>
    <w:rsid w:val="4CC27294"/>
    <w:rsid w:val="4CD97E11"/>
    <w:rsid w:val="4CDD5E7C"/>
    <w:rsid w:val="4CE0771A"/>
    <w:rsid w:val="4CFD651E"/>
    <w:rsid w:val="4D001B6A"/>
    <w:rsid w:val="4D0A29E9"/>
    <w:rsid w:val="4D133CF9"/>
    <w:rsid w:val="4D1B4BF6"/>
    <w:rsid w:val="4D21045F"/>
    <w:rsid w:val="4D423F31"/>
    <w:rsid w:val="4D455A02"/>
    <w:rsid w:val="4D495FE2"/>
    <w:rsid w:val="4D5F2D35"/>
    <w:rsid w:val="4D7762D0"/>
    <w:rsid w:val="4D783DF7"/>
    <w:rsid w:val="4D7F33D7"/>
    <w:rsid w:val="4D930C30"/>
    <w:rsid w:val="4DA22C22"/>
    <w:rsid w:val="4DB7491F"/>
    <w:rsid w:val="4DBA7F6B"/>
    <w:rsid w:val="4DC31516"/>
    <w:rsid w:val="4DC408D5"/>
    <w:rsid w:val="4DCA28A4"/>
    <w:rsid w:val="4DCB3F26"/>
    <w:rsid w:val="4DD76D6F"/>
    <w:rsid w:val="4DE43331"/>
    <w:rsid w:val="4DE82D2A"/>
    <w:rsid w:val="4DF76787"/>
    <w:rsid w:val="4E0456DB"/>
    <w:rsid w:val="4E094A4F"/>
    <w:rsid w:val="4E217FEA"/>
    <w:rsid w:val="4E2F5148"/>
    <w:rsid w:val="4E3715BC"/>
    <w:rsid w:val="4E37780E"/>
    <w:rsid w:val="4E3B5550"/>
    <w:rsid w:val="4E4B5067"/>
    <w:rsid w:val="4E5E123E"/>
    <w:rsid w:val="4E5E1791"/>
    <w:rsid w:val="4E6357E0"/>
    <w:rsid w:val="4E661EA1"/>
    <w:rsid w:val="4E6D1482"/>
    <w:rsid w:val="4E726A98"/>
    <w:rsid w:val="4E855F87"/>
    <w:rsid w:val="4E946A0E"/>
    <w:rsid w:val="4ECA4B95"/>
    <w:rsid w:val="4ECC43FA"/>
    <w:rsid w:val="4ECF5C98"/>
    <w:rsid w:val="4ED95062"/>
    <w:rsid w:val="4EF474AD"/>
    <w:rsid w:val="4EFD2805"/>
    <w:rsid w:val="4F0E056F"/>
    <w:rsid w:val="4F141390"/>
    <w:rsid w:val="4F1D2EA8"/>
    <w:rsid w:val="4F367AC5"/>
    <w:rsid w:val="4F4908B5"/>
    <w:rsid w:val="4F4A531F"/>
    <w:rsid w:val="4F560168"/>
    <w:rsid w:val="4F595470"/>
    <w:rsid w:val="4F5A37B4"/>
    <w:rsid w:val="4F602D94"/>
    <w:rsid w:val="4F6B2D75"/>
    <w:rsid w:val="4F74239C"/>
    <w:rsid w:val="4F754A92"/>
    <w:rsid w:val="4F813436"/>
    <w:rsid w:val="4F8847C5"/>
    <w:rsid w:val="4F974A08"/>
    <w:rsid w:val="4FA233AD"/>
    <w:rsid w:val="4FA30E9E"/>
    <w:rsid w:val="4FA47125"/>
    <w:rsid w:val="4FA64C4B"/>
    <w:rsid w:val="4FC11A85"/>
    <w:rsid w:val="4FC926E8"/>
    <w:rsid w:val="4FCC21D8"/>
    <w:rsid w:val="4FD74E04"/>
    <w:rsid w:val="4FD863CB"/>
    <w:rsid w:val="4FEB4D54"/>
    <w:rsid w:val="50105A26"/>
    <w:rsid w:val="50131BB5"/>
    <w:rsid w:val="50250266"/>
    <w:rsid w:val="50306C0B"/>
    <w:rsid w:val="50395ABF"/>
    <w:rsid w:val="503E30D6"/>
    <w:rsid w:val="5043249A"/>
    <w:rsid w:val="504601DC"/>
    <w:rsid w:val="50566671"/>
    <w:rsid w:val="50591CBD"/>
    <w:rsid w:val="505A77E4"/>
    <w:rsid w:val="505E1082"/>
    <w:rsid w:val="50642410"/>
    <w:rsid w:val="50666188"/>
    <w:rsid w:val="5075461D"/>
    <w:rsid w:val="50834F8C"/>
    <w:rsid w:val="508413B4"/>
    <w:rsid w:val="50903205"/>
    <w:rsid w:val="50B05655"/>
    <w:rsid w:val="50B63831"/>
    <w:rsid w:val="50BC224C"/>
    <w:rsid w:val="50CC6933"/>
    <w:rsid w:val="50F773C8"/>
    <w:rsid w:val="50FD6AED"/>
    <w:rsid w:val="51355098"/>
    <w:rsid w:val="514566E6"/>
    <w:rsid w:val="51510BE7"/>
    <w:rsid w:val="51644DBE"/>
    <w:rsid w:val="516A1CA8"/>
    <w:rsid w:val="517D19DC"/>
    <w:rsid w:val="518965D2"/>
    <w:rsid w:val="519531C9"/>
    <w:rsid w:val="51962A9D"/>
    <w:rsid w:val="519F416B"/>
    <w:rsid w:val="51B11685"/>
    <w:rsid w:val="51BC0756"/>
    <w:rsid w:val="51C969CF"/>
    <w:rsid w:val="51CB6BEB"/>
    <w:rsid w:val="51D15F03"/>
    <w:rsid w:val="51E41A5B"/>
    <w:rsid w:val="51F021AD"/>
    <w:rsid w:val="51F37EF0"/>
    <w:rsid w:val="520456D4"/>
    <w:rsid w:val="520E676F"/>
    <w:rsid w:val="521C2FA3"/>
    <w:rsid w:val="52263E21"/>
    <w:rsid w:val="524B3888"/>
    <w:rsid w:val="52635075"/>
    <w:rsid w:val="526A6404"/>
    <w:rsid w:val="5272350A"/>
    <w:rsid w:val="528374C6"/>
    <w:rsid w:val="52854FEC"/>
    <w:rsid w:val="52884ADC"/>
    <w:rsid w:val="529E42FF"/>
    <w:rsid w:val="52AD009F"/>
    <w:rsid w:val="52C61160"/>
    <w:rsid w:val="52DF1B20"/>
    <w:rsid w:val="52E361B6"/>
    <w:rsid w:val="52E46546"/>
    <w:rsid w:val="52E77A54"/>
    <w:rsid w:val="530F2B07"/>
    <w:rsid w:val="532B26FC"/>
    <w:rsid w:val="532D1C0E"/>
    <w:rsid w:val="53400F13"/>
    <w:rsid w:val="535029F5"/>
    <w:rsid w:val="535449BE"/>
    <w:rsid w:val="535844AE"/>
    <w:rsid w:val="53605111"/>
    <w:rsid w:val="53621677"/>
    <w:rsid w:val="5367649F"/>
    <w:rsid w:val="53844711"/>
    <w:rsid w:val="5386726D"/>
    <w:rsid w:val="538928BA"/>
    <w:rsid w:val="53963229"/>
    <w:rsid w:val="53A21BCD"/>
    <w:rsid w:val="53A616BE"/>
    <w:rsid w:val="53AB0A82"/>
    <w:rsid w:val="53AC47FA"/>
    <w:rsid w:val="53AC65A8"/>
    <w:rsid w:val="53B11E10"/>
    <w:rsid w:val="53B16803"/>
    <w:rsid w:val="53B27C92"/>
    <w:rsid w:val="53B90DAB"/>
    <w:rsid w:val="53DA3115"/>
    <w:rsid w:val="53EA0E7E"/>
    <w:rsid w:val="53F561A1"/>
    <w:rsid w:val="5405097D"/>
    <w:rsid w:val="541D3002"/>
    <w:rsid w:val="541F6D7A"/>
    <w:rsid w:val="54215951"/>
    <w:rsid w:val="542815A5"/>
    <w:rsid w:val="542D76E9"/>
    <w:rsid w:val="542E16B3"/>
    <w:rsid w:val="543547EF"/>
    <w:rsid w:val="544F3B03"/>
    <w:rsid w:val="54554E92"/>
    <w:rsid w:val="54574766"/>
    <w:rsid w:val="545A4256"/>
    <w:rsid w:val="54624EB9"/>
    <w:rsid w:val="54752E3E"/>
    <w:rsid w:val="547E6196"/>
    <w:rsid w:val="547F3CBD"/>
    <w:rsid w:val="547F4712"/>
    <w:rsid w:val="549332C4"/>
    <w:rsid w:val="54A379AB"/>
    <w:rsid w:val="54AD6A7C"/>
    <w:rsid w:val="54C65448"/>
    <w:rsid w:val="54C94F38"/>
    <w:rsid w:val="54EA7388"/>
    <w:rsid w:val="54EC45E7"/>
    <w:rsid w:val="54F93A6F"/>
    <w:rsid w:val="55012EBF"/>
    <w:rsid w:val="550146D2"/>
    <w:rsid w:val="55027C53"/>
    <w:rsid w:val="55052414"/>
    <w:rsid w:val="5523289A"/>
    <w:rsid w:val="552503C0"/>
    <w:rsid w:val="552C5BF2"/>
    <w:rsid w:val="55306D65"/>
    <w:rsid w:val="554C0043"/>
    <w:rsid w:val="555D3FFE"/>
    <w:rsid w:val="5572737D"/>
    <w:rsid w:val="55760C1C"/>
    <w:rsid w:val="55821CB6"/>
    <w:rsid w:val="559317CE"/>
    <w:rsid w:val="55961E7F"/>
    <w:rsid w:val="559D264C"/>
    <w:rsid w:val="55AA6B17"/>
    <w:rsid w:val="55AC6D33"/>
    <w:rsid w:val="55BD4A9D"/>
    <w:rsid w:val="55C07936"/>
    <w:rsid w:val="55C23E61"/>
    <w:rsid w:val="55C51BA3"/>
    <w:rsid w:val="55D87B28"/>
    <w:rsid w:val="55DB3175"/>
    <w:rsid w:val="55DB4F23"/>
    <w:rsid w:val="55E42029"/>
    <w:rsid w:val="55E62245"/>
    <w:rsid w:val="56150435"/>
    <w:rsid w:val="561F5757"/>
    <w:rsid w:val="56246DA9"/>
    <w:rsid w:val="56262642"/>
    <w:rsid w:val="562D4469"/>
    <w:rsid w:val="562D652E"/>
    <w:rsid w:val="562E5095"/>
    <w:rsid w:val="56301712"/>
    <w:rsid w:val="56310FE7"/>
    <w:rsid w:val="56312D95"/>
    <w:rsid w:val="5632548A"/>
    <w:rsid w:val="56367490"/>
    <w:rsid w:val="56372AA1"/>
    <w:rsid w:val="56424FA2"/>
    <w:rsid w:val="56535401"/>
    <w:rsid w:val="56570A4D"/>
    <w:rsid w:val="56586573"/>
    <w:rsid w:val="5663384B"/>
    <w:rsid w:val="56737851"/>
    <w:rsid w:val="567C4958"/>
    <w:rsid w:val="567F1D52"/>
    <w:rsid w:val="56813D1C"/>
    <w:rsid w:val="56821842"/>
    <w:rsid w:val="568D26C1"/>
    <w:rsid w:val="56982E14"/>
    <w:rsid w:val="56B476CF"/>
    <w:rsid w:val="56C8194B"/>
    <w:rsid w:val="56D26326"/>
    <w:rsid w:val="56D57BC4"/>
    <w:rsid w:val="56DC71A4"/>
    <w:rsid w:val="56F20776"/>
    <w:rsid w:val="56F3081B"/>
    <w:rsid w:val="56F40992"/>
    <w:rsid w:val="56F81229"/>
    <w:rsid w:val="57016089"/>
    <w:rsid w:val="57030BD5"/>
    <w:rsid w:val="570F0F6F"/>
    <w:rsid w:val="57154464"/>
    <w:rsid w:val="571E3426"/>
    <w:rsid w:val="57284198"/>
    <w:rsid w:val="573214BA"/>
    <w:rsid w:val="57390153"/>
    <w:rsid w:val="573E59BE"/>
    <w:rsid w:val="57623B4D"/>
    <w:rsid w:val="576604EA"/>
    <w:rsid w:val="57664CC0"/>
    <w:rsid w:val="577949F3"/>
    <w:rsid w:val="5785783C"/>
    <w:rsid w:val="578867F4"/>
    <w:rsid w:val="578C4726"/>
    <w:rsid w:val="579F491D"/>
    <w:rsid w:val="57A04676"/>
    <w:rsid w:val="57AC301B"/>
    <w:rsid w:val="57AE6D93"/>
    <w:rsid w:val="57BD6FD6"/>
    <w:rsid w:val="57C77E54"/>
    <w:rsid w:val="57CC7219"/>
    <w:rsid w:val="57CF249D"/>
    <w:rsid w:val="57E83927"/>
    <w:rsid w:val="57F56770"/>
    <w:rsid w:val="57FE47C4"/>
    <w:rsid w:val="5809221B"/>
    <w:rsid w:val="581035A9"/>
    <w:rsid w:val="58117322"/>
    <w:rsid w:val="581666E6"/>
    <w:rsid w:val="581F1A3E"/>
    <w:rsid w:val="58352E01"/>
    <w:rsid w:val="58472D43"/>
    <w:rsid w:val="585F1E3B"/>
    <w:rsid w:val="587628B0"/>
    <w:rsid w:val="587D50F9"/>
    <w:rsid w:val="587E60A3"/>
    <w:rsid w:val="58847AF3"/>
    <w:rsid w:val="589917F1"/>
    <w:rsid w:val="58A12453"/>
    <w:rsid w:val="58AC2BA6"/>
    <w:rsid w:val="58BA52C3"/>
    <w:rsid w:val="58D345D7"/>
    <w:rsid w:val="58E30CBE"/>
    <w:rsid w:val="58F25103"/>
    <w:rsid w:val="58FC58DC"/>
    <w:rsid w:val="590D1897"/>
    <w:rsid w:val="591744C4"/>
    <w:rsid w:val="591C5F7E"/>
    <w:rsid w:val="59246BE1"/>
    <w:rsid w:val="592B61C1"/>
    <w:rsid w:val="592D018B"/>
    <w:rsid w:val="592F3F03"/>
    <w:rsid w:val="593B28A8"/>
    <w:rsid w:val="593E7CA2"/>
    <w:rsid w:val="593F3A1A"/>
    <w:rsid w:val="594159E5"/>
    <w:rsid w:val="594B23BF"/>
    <w:rsid w:val="595D7498"/>
    <w:rsid w:val="59617E35"/>
    <w:rsid w:val="59644D8F"/>
    <w:rsid w:val="598C7161"/>
    <w:rsid w:val="599D70BF"/>
    <w:rsid w:val="59B241EC"/>
    <w:rsid w:val="59C503C4"/>
    <w:rsid w:val="59C55518"/>
    <w:rsid w:val="5A040EEC"/>
    <w:rsid w:val="5A04713E"/>
    <w:rsid w:val="5A2570B4"/>
    <w:rsid w:val="5A2C3F9F"/>
    <w:rsid w:val="5A3A2B60"/>
    <w:rsid w:val="5A403EEE"/>
    <w:rsid w:val="5A584D94"/>
    <w:rsid w:val="5A61633E"/>
    <w:rsid w:val="5A663955"/>
    <w:rsid w:val="5A6C4CE3"/>
    <w:rsid w:val="5A6E2809"/>
    <w:rsid w:val="5A76346C"/>
    <w:rsid w:val="5A7C7D29"/>
    <w:rsid w:val="5A8042EB"/>
    <w:rsid w:val="5A871B1D"/>
    <w:rsid w:val="5A8C0EE1"/>
    <w:rsid w:val="5A9008D8"/>
    <w:rsid w:val="5A9C23C3"/>
    <w:rsid w:val="5A9D4E9D"/>
    <w:rsid w:val="5AB50438"/>
    <w:rsid w:val="5ABD553F"/>
    <w:rsid w:val="5AC65BD6"/>
    <w:rsid w:val="5AC97A40"/>
    <w:rsid w:val="5AD646D7"/>
    <w:rsid w:val="5ADE5BDE"/>
    <w:rsid w:val="5AEC2C48"/>
    <w:rsid w:val="5AF34ABD"/>
    <w:rsid w:val="5AFA5E4B"/>
    <w:rsid w:val="5B003269"/>
    <w:rsid w:val="5B044F1C"/>
    <w:rsid w:val="5B055652"/>
    <w:rsid w:val="5B056DDE"/>
    <w:rsid w:val="5B184523"/>
    <w:rsid w:val="5B3F7D02"/>
    <w:rsid w:val="5B4377F2"/>
    <w:rsid w:val="5B445318"/>
    <w:rsid w:val="5B450D77"/>
    <w:rsid w:val="5B4672E2"/>
    <w:rsid w:val="5B4D1787"/>
    <w:rsid w:val="5B545E5B"/>
    <w:rsid w:val="5B5C6B06"/>
    <w:rsid w:val="5B5E462C"/>
    <w:rsid w:val="5B7420A1"/>
    <w:rsid w:val="5B8B1199"/>
    <w:rsid w:val="5B8D756D"/>
    <w:rsid w:val="5B90055D"/>
    <w:rsid w:val="5B962018"/>
    <w:rsid w:val="5B9E74B2"/>
    <w:rsid w:val="5BBB3EE7"/>
    <w:rsid w:val="5BC24D1C"/>
    <w:rsid w:val="5BCE7A03"/>
    <w:rsid w:val="5BD24200"/>
    <w:rsid w:val="5BDB7A2A"/>
    <w:rsid w:val="5BF907F8"/>
    <w:rsid w:val="5BF9258D"/>
    <w:rsid w:val="5BFE7BBD"/>
    <w:rsid w:val="5C07081F"/>
    <w:rsid w:val="5C2D3FFE"/>
    <w:rsid w:val="5C3E7FB9"/>
    <w:rsid w:val="5C4C26D6"/>
    <w:rsid w:val="5C6B34A4"/>
    <w:rsid w:val="5C700ABB"/>
    <w:rsid w:val="5C751CDB"/>
    <w:rsid w:val="5C7F2AAC"/>
    <w:rsid w:val="5C891B7C"/>
    <w:rsid w:val="5C8F6A67"/>
    <w:rsid w:val="5C902F0B"/>
    <w:rsid w:val="5C904CB9"/>
    <w:rsid w:val="5C913139"/>
    <w:rsid w:val="5CA249EC"/>
    <w:rsid w:val="5CA42512"/>
    <w:rsid w:val="5CAF5C10"/>
    <w:rsid w:val="5CB564CD"/>
    <w:rsid w:val="5CBA3AE4"/>
    <w:rsid w:val="5CBC3D00"/>
    <w:rsid w:val="5CBF734C"/>
    <w:rsid w:val="5CD526CC"/>
    <w:rsid w:val="5CDC52A1"/>
    <w:rsid w:val="5CE46DB3"/>
    <w:rsid w:val="5CE648D9"/>
    <w:rsid w:val="5CED3EB9"/>
    <w:rsid w:val="5CF50FC0"/>
    <w:rsid w:val="5D027239"/>
    <w:rsid w:val="5D177188"/>
    <w:rsid w:val="5D1A6C78"/>
    <w:rsid w:val="5D3A2E77"/>
    <w:rsid w:val="5D802FF1"/>
    <w:rsid w:val="5D821FC3"/>
    <w:rsid w:val="5DA0717E"/>
    <w:rsid w:val="5DA12EF6"/>
    <w:rsid w:val="5DB06C95"/>
    <w:rsid w:val="5DC015CE"/>
    <w:rsid w:val="5DD010E5"/>
    <w:rsid w:val="5DDD2180"/>
    <w:rsid w:val="5DF11787"/>
    <w:rsid w:val="5E0A45F7"/>
    <w:rsid w:val="5E0B0B44"/>
    <w:rsid w:val="5E0F60B1"/>
    <w:rsid w:val="5E1A5D2A"/>
    <w:rsid w:val="5E20206C"/>
    <w:rsid w:val="5E242673"/>
    <w:rsid w:val="5E290A02"/>
    <w:rsid w:val="5E2C27BF"/>
    <w:rsid w:val="5E2D4789"/>
    <w:rsid w:val="5E421FE3"/>
    <w:rsid w:val="5E4C4C10"/>
    <w:rsid w:val="5E5D0BCB"/>
    <w:rsid w:val="5E5F0DE7"/>
    <w:rsid w:val="5E63216A"/>
    <w:rsid w:val="5E6C7060"/>
    <w:rsid w:val="5E6D4B86"/>
    <w:rsid w:val="5E6F6F21"/>
    <w:rsid w:val="5E736640"/>
    <w:rsid w:val="5E79352B"/>
    <w:rsid w:val="5E856373"/>
    <w:rsid w:val="5E8C75FF"/>
    <w:rsid w:val="5E9B16F3"/>
    <w:rsid w:val="5EA031AD"/>
    <w:rsid w:val="5EAA560E"/>
    <w:rsid w:val="5EC155FD"/>
    <w:rsid w:val="5EE4309A"/>
    <w:rsid w:val="5EE72B8A"/>
    <w:rsid w:val="5EF05EE3"/>
    <w:rsid w:val="5EF66416"/>
    <w:rsid w:val="5F061262"/>
    <w:rsid w:val="5F0C439F"/>
    <w:rsid w:val="5F100333"/>
    <w:rsid w:val="5F2931A3"/>
    <w:rsid w:val="5F2D4A41"/>
    <w:rsid w:val="5F3C41E6"/>
    <w:rsid w:val="5F4F0E5B"/>
    <w:rsid w:val="5F5A18F2"/>
    <w:rsid w:val="5F7406A0"/>
    <w:rsid w:val="5F7F5EB4"/>
    <w:rsid w:val="5F8E3006"/>
    <w:rsid w:val="5F9745B0"/>
    <w:rsid w:val="5FA40A7B"/>
    <w:rsid w:val="5FB83B1F"/>
    <w:rsid w:val="5FCD3B2E"/>
    <w:rsid w:val="5FD21144"/>
    <w:rsid w:val="5FD70E51"/>
    <w:rsid w:val="5FDA449D"/>
    <w:rsid w:val="5FE175D9"/>
    <w:rsid w:val="60067040"/>
    <w:rsid w:val="6017749F"/>
    <w:rsid w:val="601E25DC"/>
    <w:rsid w:val="602045A6"/>
    <w:rsid w:val="6025396A"/>
    <w:rsid w:val="604069F6"/>
    <w:rsid w:val="60597AB8"/>
    <w:rsid w:val="605D1356"/>
    <w:rsid w:val="60602BF4"/>
    <w:rsid w:val="6062696C"/>
    <w:rsid w:val="60844416"/>
    <w:rsid w:val="608B73CF"/>
    <w:rsid w:val="60911000"/>
    <w:rsid w:val="609603C4"/>
    <w:rsid w:val="60A56859"/>
    <w:rsid w:val="60AC7BE7"/>
    <w:rsid w:val="60B840F1"/>
    <w:rsid w:val="60C74A21"/>
    <w:rsid w:val="60CF38D6"/>
    <w:rsid w:val="60D62EB6"/>
    <w:rsid w:val="60D869D4"/>
    <w:rsid w:val="60DB04CD"/>
    <w:rsid w:val="60E70C20"/>
    <w:rsid w:val="60EB4BB4"/>
    <w:rsid w:val="610F145C"/>
    <w:rsid w:val="61120392"/>
    <w:rsid w:val="61131A15"/>
    <w:rsid w:val="611834CF"/>
    <w:rsid w:val="611F03B9"/>
    <w:rsid w:val="614B38A4"/>
    <w:rsid w:val="61695AD8"/>
    <w:rsid w:val="61706E67"/>
    <w:rsid w:val="61774699"/>
    <w:rsid w:val="61946FF9"/>
    <w:rsid w:val="61952D71"/>
    <w:rsid w:val="6198016C"/>
    <w:rsid w:val="619863BE"/>
    <w:rsid w:val="619C1A0A"/>
    <w:rsid w:val="619C4100"/>
    <w:rsid w:val="619C5EAE"/>
    <w:rsid w:val="61AB60F1"/>
    <w:rsid w:val="61B256D1"/>
    <w:rsid w:val="61B9240A"/>
    <w:rsid w:val="61BE4076"/>
    <w:rsid w:val="61CE1DDF"/>
    <w:rsid w:val="61D218D0"/>
    <w:rsid w:val="61E82EA1"/>
    <w:rsid w:val="61FC6B1A"/>
    <w:rsid w:val="620B6B90"/>
    <w:rsid w:val="620F48D2"/>
    <w:rsid w:val="62257C51"/>
    <w:rsid w:val="62347E94"/>
    <w:rsid w:val="62426A55"/>
    <w:rsid w:val="62481B92"/>
    <w:rsid w:val="62483940"/>
    <w:rsid w:val="624C78D4"/>
    <w:rsid w:val="62537CA4"/>
    <w:rsid w:val="62600C89"/>
    <w:rsid w:val="627806C9"/>
    <w:rsid w:val="627F1633"/>
    <w:rsid w:val="6280757E"/>
    <w:rsid w:val="628232F6"/>
    <w:rsid w:val="62864468"/>
    <w:rsid w:val="628C1A7E"/>
    <w:rsid w:val="62990308"/>
    <w:rsid w:val="629D4EF0"/>
    <w:rsid w:val="629E17B2"/>
    <w:rsid w:val="62A019CE"/>
    <w:rsid w:val="62A0377C"/>
    <w:rsid w:val="62AA0157"/>
    <w:rsid w:val="62B965EC"/>
    <w:rsid w:val="62C03E1E"/>
    <w:rsid w:val="62C67958"/>
    <w:rsid w:val="62D92B14"/>
    <w:rsid w:val="62E23D94"/>
    <w:rsid w:val="62E96ED1"/>
    <w:rsid w:val="62F47119"/>
    <w:rsid w:val="62F615EE"/>
    <w:rsid w:val="62FB4E56"/>
    <w:rsid w:val="62FD0BCE"/>
    <w:rsid w:val="62FD472A"/>
    <w:rsid w:val="63021D41"/>
    <w:rsid w:val="630A6E47"/>
    <w:rsid w:val="630C0E11"/>
    <w:rsid w:val="630E2DDB"/>
    <w:rsid w:val="631F0B45"/>
    <w:rsid w:val="6324615B"/>
    <w:rsid w:val="632C14B3"/>
    <w:rsid w:val="63310E13"/>
    <w:rsid w:val="63402869"/>
    <w:rsid w:val="63491372"/>
    <w:rsid w:val="63520F1A"/>
    <w:rsid w:val="63556314"/>
    <w:rsid w:val="63576530"/>
    <w:rsid w:val="635A1B7D"/>
    <w:rsid w:val="635A392B"/>
    <w:rsid w:val="63864720"/>
    <w:rsid w:val="6393508F"/>
    <w:rsid w:val="639546DB"/>
    <w:rsid w:val="639A466F"/>
    <w:rsid w:val="63A520D1"/>
    <w:rsid w:val="63B079EF"/>
    <w:rsid w:val="63B41A46"/>
    <w:rsid w:val="63B70D7D"/>
    <w:rsid w:val="63BC2837"/>
    <w:rsid w:val="63D27965"/>
    <w:rsid w:val="63E1229E"/>
    <w:rsid w:val="63E87188"/>
    <w:rsid w:val="63F26E81"/>
    <w:rsid w:val="63F83144"/>
    <w:rsid w:val="63F93559"/>
    <w:rsid w:val="640F6E0B"/>
    <w:rsid w:val="64104931"/>
    <w:rsid w:val="64177A6E"/>
    <w:rsid w:val="641C7510"/>
    <w:rsid w:val="641E2BAA"/>
    <w:rsid w:val="641F1FFF"/>
    <w:rsid w:val="643028DD"/>
    <w:rsid w:val="64335857"/>
    <w:rsid w:val="64340620"/>
    <w:rsid w:val="643E324C"/>
    <w:rsid w:val="6441515C"/>
    <w:rsid w:val="64540CC2"/>
    <w:rsid w:val="645746C3"/>
    <w:rsid w:val="64607DCF"/>
    <w:rsid w:val="6461518D"/>
    <w:rsid w:val="646627A3"/>
    <w:rsid w:val="646B7DB9"/>
    <w:rsid w:val="648D1ADE"/>
    <w:rsid w:val="649410BE"/>
    <w:rsid w:val="649660AE"/>
    <w:rsid w:val="6497295D"/>
    <w:rsid w:val="64A37553"/>
    <w:rsid w:val="64A62BA0"/>
    <w:rsid w:val="64B74DAD"/>
    <w:rsid w:val="64CC2606"/>
    <w:rsid w:val="64CD637E"/>
    <w:rsid w:val="64D433D4"/>
    <w:rsid w:val="64E2007C"/>
    <w:rsid w:val="64E536C8"/>
    <w:rsid w:val="64FB2EEB"/>
    <w:rsid w:val="65000502"/>
    <w:rsid w:val="65024685"/>
    <w:rsid w:val="650D2863"/>
    <w:rsid w:val="65167592"/>
    <w:rsid w:val="651D5558"/>
    <w:rsid w:val="65222B6E"/>
    <w:rsid w:val="65297A59"/>
    <w:rsid w:val="653E4107"/>
    <w:rsid w:val="65426D6C"/>
    <w:rsid w:val="65501489"/>
    <w:rsid w:val="655305C9"/>
    <w:rsid w:val="65530F79"/>
    <w:rsid w:val="65562204"/>
    <w:rsid w:val="65644F35"/>
    <w:rsid w:val="656B0071"/>
    <w:rsid w:val="657038D9"/>
    <w:rsid w:val="657607C4"/>
    <w:rsid w:val="65764C68"/>
    <w:rsid w:val="65901886"/>
    <w:rsid w:val="659A6BA8"/>
    <w:rsid w:val="65A610A9"/>
    <w:rsid w:val="65A672FB"/>
    <w:rsid w:val="65A76BCF"/>
    <w:rsid w:val="65A94E01"/>
    <w:rsid w:val="65D11E9E"/>
    <w:rsid w:val="65D26342"/>
    <w:rsid w:val="65D35604"/>
    <w:rsid w:val="65D702E7"/>
    <w:rsid w:val="65D93C60"/>
    <w:rsid w:val="65E16585"/>
    <w:rsid w:val="65E6594A"/>
    <w:rsid w:val="65E676F8"/>
    <w:rsid w:val="65E9368C"/>
    <w:rsid w:val="65FA13F5"/>
    <w:rsid w:val="65FC516D"/>
    <w:rsid w:val="65FF07B9"/>
    <w:rsid w:val="662B15AE"/>
    <w:rsid w:val="662D0B25"/>
    <w:rsid w:val="662D6DA8"/>
    <w:rsid w:val="66326DE1"/>
    <w:rsid w:val="6659611C"/>
    <w:rsid w:val="666B162C"/>
    <w:rsid w:val="666D7E19"/>
    <w:rsid w:val="66703465"/>
    <w:rsid w:val="667165A8"/>
    <w:rsid w:val="66770C98"/>
    <w:rsid w:val="66825241"/>
    <w:rsid w:val="668D04BB"/>
    <w:rsid w:val="668D2269"/>
    <w:rsid w:val="66A650D9"/>
    <w:rsid w:val="66AA4BC9"/>
    <w:rsid w:val="66B307E8"/>
    <w:rsid w:val="66BB0B84"/>
    <w:rsid w:val="66BC48FC"/>
    <w:rsid w:val="66C43348"/>
    <w:rsid w:val="66C57C55"/>
    <w:rsid w:val="66CD2666"/>
    <w:rsid w:val="66CD2D98"/>
    <w:rsid w:val="66CD4D5B"/>
    <w:rsid w:val="66CF4630"/>
    <w:rsid w:val="66E0683D"/>
    <w:rsid w:val="66E41387"/>
    <w:rsid w:val="66EE01FA"/>
    <w:rsid w:val="66F10A4A"/>
    <w:rsid w:val="66F72914"/>
    <w:rsid w:val="66F95B50"/>
    <w:rsid w:val="66FB3677"/>
    <w:rsid w:val="670047E9"/>
    <w:rsid w:val="67050051"/>
    <w:rsid w:val="671E1113"/>
    <w:rsid w:val="67226E55"/>
    <w:rsid w:val="67430B7A"/>
    <w:rsid w:val="674547B9"/>
    <w:rsid w:val="674E19F8"/>
    <w:rsid w:val="67550FD9"/>
    <w:rsid w:val="676B07FC"/>
    <w:rsid w:val="676C6322"/>
    <w:rsid w:val="6773145F"/>
    <w:rsid w:val="677A2BFA"/>
    <w:rsid w:val="67874F0A"/>
    <w:rsid w:val="678C42CF"/>
    <w:rsid w:val="679118E5"/>
    <w:rsid w:val="679E222A"/>
    <w:rsid w:val="67A4621A"/>
    <w:rsid w:val="67AB6E4B"/>
    <w:rsid w:val="67AC671F"/>
    <w:rsid w:val="67B5220E"/>
    <w:rsid w:val="67C779FD"/>
    <w:rsid w:val="67CD5013"/>
    <w:rsid w:val="67D143D7"/>
    <w:rsid w:val="67D22629"/>
    <w:rsid w:val="67D77C40"/>
    <w:rsid w:val="67D839B8"/>
    <w:rsid w:val="67DA14DE"/>
    <w:rsid w:val="67E61C31"/>
    <w:rsid w:val="67EB4DFC"/>
    <w:rsid w:val="67EE31DB"/>
    <w:rsid w:val="67FF0F45"/>
    <w:rsid w:val="6809591F"/>
    <w:rsid w:val="681A01F2"/>
    <w:rsid w:val="682B7F8C"/>
    <w:rsid w:val="68534DEC"/>
    <w:rsid w:val="68637725"/>
    <w:rsid w:val="68774F7F"/>
    <w:rsid w:val="687D2CDD"/>
    <w:rsid w:val="68882CE8"/>
    <w:rsid w:val="688D02FE"/>
    <w:rsid w:val="68975621"/>
    <w:rsid w:val="689773CF"/>
    <w:rsid w:val="689A2A1B"/>
    <w:rsid w:val="68A044D6"/>
    <w:rsid w:val="68AF296B"/>
    <w:rsid w:val="68B47F81"/>
    <w:rsid w:val="68C34357"/>
    <w:rsid w:val="68C53F3C"/>
    <w:rsid w:val="68D128E1"/>
    <w:rsid w:val="68F62348"/>
    <w:rsid w:val="68FB5BB0"/>
    <w:rsid w:val="68FE2FAA"/>
    <w:rsid w:val="69117181"/>
    <w:rsid w:val="69124CA8"/>
    <w:rsid w:val="691E189E"/>
    <w:rsid w:val="69216C99"/>
    <w:rsid w:val="69230C63"/>
    <w:rsid w:val="69482477"/>
    <w:rsid w:val="694A3AD2"/>
    <w:rsid w:val="69513A22"/>
    <w:rsid w:val="695D4175"/>
    <w:rsid w:val="69601EB7"/>
    <w:rsid w:val="69603C65"/>
    <w:rsid w:val="69653EB7"/>
    <w:rsid w:val="696574CD"/>
    <w:rsid w:val="69670B4F"/>
    <w:rsid w:val="696848C8"/>
    <w:rsid w:val="69715E72"/>
    <w:rsid w:val="698A2A90"/>
    <w:rsid w:val="699833FF"/>
    <w:rsid w:val="69AC2A06"/>
    <w:rsid w:val="69B67D29"/>
    <w:rsid w:val="69BD2E65"/>
    <w:rsid w:val="69C9180A"/>
    <w:rsid w:val="69D1246D"/>
    <w:rsid w:val="69D361E5"/>
    <w:rsid w:val="69D63F27"/>
    <w:rsid w:val="69D65CD5"/>
    <w:rsid w:val="69DD3507"/>
    <w:rsid w:val="69E2467A"/>
    <w:rsid w:val="69E55F18"/>
    <w:rsid w:val="69FA5E67"/>
    <w:rsid w:val="69FA7C16"/>
    <w:rsid w:val="6A026ACA"/>
    <w:rsid w:val="6A0A597F"/>
    <w:rsid w:val="6A0A7080"/>
    <w:rsid w:val="6A13328F"/>
    <w:rsid w:val="6A2F784C"/>
    <w:rsid w:val="6A3B3D8A"/>
    <w:rsid w:val="6A3F387A"/>
    <w:rsid w:val="6A5437CA"/>
    <w:rsid w:val="6A590DE0"/>
    <w:rsid w:val="6A6257BB"/>
    <w:rsid w:val="6A8219B9"/>
    <w:rsid w:val="6A9F256B"/>
    <w:rsid w:val="6AA67D9D"/>
    <w:rsid w:val="6AB75B07"/>
    <w:rsid w:val="6AC83870"/>
    <w:rsid w:val="6AD42215"/>
    <w:rsid w:val="6B1271E1"/>
    <w:rsid w:val="6B271E0C"/>
    <w:rsid w:val="6B340F05"/>
    <w:rsid w:val="6B4A0729"/>
    <w:rsid w:val="6B533A81"/>
    <w:rsid w:val="6B543355"/>
    <w:rsid w:val="6B594E10"/>
    <w:rsid w:val="6B741C4A"/>
    <w:rsid w:val="6B7632CC"/>
    <w:rsid w:val="6B79100E"/>
    <w:rsid w:val="6B8974A3"/>
    <w:rsid w:val="6B9E2F8E"/>
    <w:rsid w:val="6B9F5C8F"/>
    <w:rsid w:val="6BCE4EB6"/>
    <w:rsid w:val="6BD6020E"/>
    <w:rsid w:val="6BDB638E"/>
    <w:rsid w:val="6BF6440D"/>
    <w:rsid w:val="6C054650"/>
    <w:rsid w:val="6C0E1756"/>
    <w:rsid w:val="6C111246"/>
    <w:rsid w:val="6C16565A"/>
    <w:rsid w:val="6C1825D5"/>
    <w:rsid w:val="6C1A634D"/>
    <w:rsid w:val="6C2076DB"/>
    <w:rsid w:val="6C2210AB"/>
    <w:rsid w:val="6C327B3B"/>
    <w:rsid w:val="6C3A079D"/>
    <w:rsid w:val="6C427652"/>
    <w:rsid w:val="6C4E5FF7"/>
    <w:rsid w:val="6C691082"/>
    <w:rsid w:val="6C6B4DFB"/>
    <w:rsid w:val="6C6D0B73"/>
    <w:rsid w:val="6C7A3290"/>
    <w:rsid w:val="6C81017A"/>
    <w:rsid w:val="6C845EBC"/>
    <w:rsid w:val="6C8B724B"/>
    <w:rsid w:val="6CAD0F6F"/>
    <w:rsid w:val="6CAE3860"/>
    <w:rsid w:val="6CAF0550"/>
    <w:rsid w:val="6CB00A5F"/>
    <w:rsid w:val="6CBE13CE"/>
    <w:rsid w:val="6CD5001E"/>
    <w:rsid w:val="6CDE5EC7"/>
    <w:rsid w:val="6CF272CA"/>
    <w:rsid w:val="6CF3094C"/>
    <w:rsid w:val="6CF941B4"/>
    <w:rsid w:val="6CFF5543"/>
    <w:rsid w:val="6D0112BB"/>
    <w:rsid w:val="6D0843F7"/>
    <w:rsid w:val="6D0B038C"/>
    <w:rsid w:val="6D176D30"/>
    <w:rsid w:val="6D1E3C1B"/>
    <w:rsid w:val="6D2356D5"/>
    <w:rsid w:val="6D260D22"/>
    <w:rsid w:val="6D3E250F"/>
    <w:rsid w:val="6D400035"/>
    <w:rsid w:val="6D4A4A10"/>
    <w:rsid w:val="6D635AD2"/>
    <w:rsid w:val="6D69475D"/>
    <w:rsid w:val="6D741A8D"/>
    <w:rsid w:val="6D803A53"/>
    <w:rsid w:val="6DA700B4"/>
    <w:rsid w:val="6DCC786D"/>
    <w:rsid w:val="6DCE3893"/>
    <w:rsid w:val="6DD125C0"/>
    <w:rsid w:val="6DD16EDF"/>
    <w:rsid w:val="6DE704B1"/>
    <w:rsid w:val="6DF337EC"/>
    <w:rsid w:val="6E02353D"/>
    <w:rsid w:val="6E0A23F1"/>
    <w:rsid w:val="6E2E60E0"/>
    <w:rsid w:val="6E2F3C06"/>
    <w:rsid w:val="6E31797E"/>
    <w:rsid w:val="6E492F1A"/>
    <w:rsid w:val="6E661D1D"/>
    <w:rsid w:val="6E6935BC"/>
    <w:rsid w:val="6E796D14"/>
    <w:rsid w:val="6E82467D"/>
    <w:rsid w:val="6E96010E"/>
    <w:rsid w:val="6E9817AB"/>
    <w:rsid w:val="6EB365E5"/>
    <w:rsid w:val="6EDD3662"/>
    <w:rsid w:val="6F011A46"/>
    <w:rsid w:val="6F176B74"/>
    <w:rsid w:val="6F282B2F"/>
    <w:rsid w:val="6F327E52"/>
    <w:rsid w:val="6F347726"/>
    <w:rsid w:val="6F4D4C8B"/>
    <w:rsid w:val="6F593630"/>
    <w:rsid w:val="6F685621"/>
    <w:rsid w:val="6F880045"/>
    <w:rsid w:val="6F8C20EA"/>
    <w:rsid w:val="6FA0423E"/>
    <w:rsid w:val="6FB923E6"/>
    <w:rsid w:val="6FBA7628"/>
    <w:rsid w:val="6FBD07B7"/>
    <w:rsid w:val="6FC0545D"/>
    <w:rsid w:val="6FC7059A"/>
    <w:rsid w:val="6FD34539"/>
    <w:rsid w:val="6FD74555"/>
    <w:rsid w:val="6FDA7F12"/>
    <w:rsid w:val="6FDE4A8E"/>
    <w:rsid w:val="6FDE7692"/>
    <w:rsid w:val="6FED5B27"/>
    <w:rsid w:val="6FF11ABB"/>
    <w:rsid w:val="6FFC27B2"/>
    <w:rsid w:val="6FFD220E"/>
    <w:rsid w:val="6FFE5F86"/>
    <w:rsid w:val="70001CFE"/>
    <w:rsid w:val="700F114A"/>
    <w:rsid w:val="70187047"/>
    <w:rsid w:val="70231548"/>
    <w:rsid w:val="702E06BD"/>
    <w:rsid w:val="702E23C7"/>
    <w:rsid w:val="703674CE"/>
    <w:rsid w:val="703E6382"/>
    <w:rsid w:val="704A2F79"/>
    <w:rsid w:val="7055204A"/>
    <w:rsid w:val="707029DF"/>
    <w:rsid w:val="7073427E"/>
    <w:rsid w:val="70756F87"/>
    <w:rsid w:val="70781894"/>
    <w:rsid w:val="70822713"/>
    <w:rsid w:val="7084648B"/>
    <w:rsid w:val="709A5CAE"/>
    <w:rsid w:val="70A936A4"/>
    <w:rsid w:val="70AB7EBB"/>
    <w:rsid w:val="70C8281B"/>
    <w:rsid w:val="70DD3DED"/>
    <w:rsid w:val="70E94540"/>
    <w:rsid w:val="70F25AEA"/>
    <w:rsid w:val="70FC4273"/>
    <w:rsid w:val="70FE448F"/>
    <w:rsid w:val="711F61B4"/>
    <w:rsid w:val="713559D7"/>
    <w:rsid w:val="713C4FB8"/>
    <w:rsid w:val="7141612A"/>
    <w:rsid w:val="71431EA2"/>
    <w:rsid w:val="714B6FA9"/>
    <w:rsid w:val="71500A63"/>
    <w:rsid w:val="716B764B"/>
    <w:rsid w:val="716C2D50"/>
    <w:rsid w:val="718F158B"/>
    <w:rsid w:val="71995F66"/>
    <w:rsid w:val="719B7F30"/>
    <w:rsid w:val="719E474F"/>
    <w:rsid w:val="719E76CF"/>
    <w:rsid w:val="71A212BE"/>
    <w:rsid w:val="71D7628B"/>
    <w:rsid w:val="71D945B4"/>
    <w:rsid w:val="71E01DE7"/>
    <w:rsid w:val="71E52BF0"/>
    <w:rsid w:val="71E76CD1"/>
    <w:rsid w:val="71EA0185"/>
    <w:rsid w:val="71F72C8D"/>
    <w:rsid w:val="72037883"/>
    <w:rsid w:val="72062ED0"/>
    <w:rsid w:val="720D425E"/>
    <w:rsid w:val="721D26F3"/>
    <w:rsid w:val="722C6DDA"/>
    <w:rsid w:val="723F6B0D"/>
    <w:rsid w:val="724C122A"/>
    <w:rsid w:val="724F4877"/>
    <w:rsid w:val="725C373A"/>
    <w:rsid w:val="725C7619"/>
    <w:rsid w:val="72600832"/>
    <w:rsid w:val="72606A84"/>
    <w:rsid w:val="728269FA"/>
    <w:rsid w:val="72827920"/>
    <w:rsid w:val="729A01E8"/>
    <w:rsid w:val="729D3834"/>
    <w:rsid w:val="72AA7CFF"/>
    <w:rsid w:val="72C9287B"/>
    <w:rsid w:val="72D0088C"/>
    <w:rsid w:val="72D52FCE"/>
    <w:rsid w:val="72DA05E4"/>
    <w:rsid w:val="72E66F89"/>
    <w:rsid w:val="72F01BB6"/>
    <w:rsid w:val="72F42FFF"/>
    <w:rsid w:val="73116E3A"/>
    <w:rsid w:val="731F06ED"/>
    <w:rsid w:val="73243F55"/>
    <w:rsid w:val="732921B4"/>
    <w:rsid w:val="732C6966"/>
    <w:rsid w:val="732E6B82"/>
    <w:rsid w:val="733028FA"/>
    <w:rsid w:val="73335F46"/>
    <w:rsid w:val="734737A0"/>
    <w:rsid w:val="73506AF8"/>
    <w:rsid w:val="735F6D3B"/>
    <w:rsid w:val="736B1B84"/>
    <w:rsid w:val="73836ECE"/>
    <w:rsid w:val="739C7F8F"/>
    <w:rsid w:val="73A12E13"/>
    <w:rsid w:val="73A6496A"/>
    <w:rsid w:val="73A66718"/>
    <w:rsid w:val="73BA0608"/>
    <w:rsid w:val="73F25E01"/>
    <w:rsid w:val="73F676A0"/>
    <w:rsid w:val="73FC0A2E"/>
    <w:rsid w:val="74033B6B"/>
    <w:rsid w:val="74143FCA"/>
    <w:rsid w:val="74147B26"/>
    <w:rsid w:val="741E6BF6"/>
    <w:rsid w:val="74212243"/>
    <w:rsid w:val="74363F40"/>
    <w:rsid w:val="743862F5"/>
    <w:rsid w:val="74404DBF"/>
    <w:rsid w:val="744523D5"/>
    <w:rsid w:val="74493C73"/>
    <w:rsid w:val="7452064E"/>
    <w:rsid w:val="74546174"/>
    <w:rsid w:val="7456013E"/>
    <w:rsid w:val="74573C49"/>
    <w:rsid w:val="745A690E"/>
    <w:rsid w:val="745D74B0"/>
    <w:rsid w:val="74602D6B"/>
    <w:rsid w:val="74620891"/>
    <w:rsid w:val="7472484C"/>
    <w:rsid w:val="74850A24"/>
    <w:rsid w:val="74A569D0"/>
    <w:rsid w:val="74AE1D28"/>
    <w:rsid w:val="74B35591"/>
    <w:rsid w:val="74BF3F35"/>
    <w:rsid w:val="74C01A5C"/>
    <w:rsid w:val="74CC21AE"/>
    <w:rsid w:val="74D343FB"/>
    <w:rsid w:val="74DF6386"/>
    <w:rsid w:val="74F00593"/>
    <w:rsid w:val="74F55BA9"/>
    <w:rsid w:val="74FD05BA"/>
    <w:rsid w:val="74FD680C"/>
    <w:rsid w:val="750202C6"/>
    <w:rsid w:val="751122B7"/>
    <w:rsid w:val="752B5127"/>
    <w:rsid w:val="75371D1E"/>
    <w:rsid w:val="75596138"/>
    <w:rsid w:val="75671ED7"/>
    <w:rsid w:val="756845CD"/>
    <w:rsid w:val="75691BB6"/>
    <w:rsid w:val="75734D20"/>
    <w:rsid w:val="757E5B9F"/>
    <w:rsid w:val="75874327"/>
    <w:rsid w:val="758B3E18"/>
    <w:rsid w:val="759058D2"/>
    <w:rsid w:val="759251A6"/>
    <w:rsid w:val="75954C96"/>
    <w:rsid w:val="75967914"/>
    <w:rsid w:val="759E1D9D"/>
    <w:rsid w:val="759F78C3"/>
    <w:rsid w:val="75A11A99"/>
    <w:rsid w:val="75CC7FD6"/>
    <w:rsid w:val="75DF4163"/>
    <w:rsid w:val="75EB48B6"/>
    <w:rsid w:val="7601057E"/>
    <w:rsid w:val="76143E0D"/>
    <w:rsid w:val="76165DD7"/>
    <w:rsid w:val="76171B4F"/>
    <w:rsid w:val="761B163F"/>
    <w:rsid w:val="761B33ED"/>
    <w:rsid w:val="761E7E81"/>
    <w:rsid w:val="76224959"/>
    <w:rsid w:val="762B1157"/>
    <w:rsid w:val="762F0C47"/>
    <w:rsid w:val="76307B4E"/>
    <w:rsid w:val="763E532E"/>
    <w:rsid w:val="764A2ED6"/>
    <w:rsid w:val="765661D4"/>
    <w:rsid w:val="76593F16"/>
    <w:rsid w:val="76635DC4"/>
    <w:rsid w:val="766C1E9B"/>
    <w:rsid w:val="76816FC9"/>
    <w:rsid w:val="76854D0B"/>
    <w:rsid w:val="76976704"/>
    <w:rsid w:val="769D2054"/>
    <w:rsid w:val="76A07D97"/>
    <w:rsid w:val="76B86E8E"/>
    <w:rsid w:val="76CA6BC2"/>
    <w:rsid w:val="76CC46E8"/>
    <w:rsid w:val="76CF41D8"/>
    <w:rsid w:val="76D4359C"/>
    <w:rsid w:val="76DB492B"/>
    <w:rsid w:val="76DF08BF"/>
    <w:rsid w:val="76E86D18"/>
    <w:rsid w:val="76F81981"/>
    <w:rsid w:val="77212C85"/>
    <w:rsid w:val="7755292F"/>
    <w:rsid w:val="77585F7B"/>
    <w:rsid w:val="775A1CF3"/>
    <w:rsid w:val="77637F6A"/>
    <w:rsid w:val="777803CC"/>
    <w:rsid w:val="777F5BFE"/>
    <w:rsid w:val="77866F8C"/>
    <w:rsid w:val="778B6351"/>
    <w:rsid w:val="77A6318B"/>
    <w:rsid w:val="77A64F39"/>
    <w:rsid w:val="77C27899"/>
    <w:rsid w:val="77D47CF8"/>
    <w:rsid w:val="77DA7109"/>
    <w:rsid w:val="77E14CF7"/>
    <w:rsid w:val="77E51F05"/>
    <w:rsid w:val="77E53E73"/>
    <w:rsid w:val="77EA3F5C"/>
    <w:rsid w:val="77EE068E"/>
    <w:rsid w:val="77F959B0"/>
    <w:rsid w:val="77FE4D75"/>
    <w:rsid w:val="780659D7"/>
    <w:rsid w:val="78191BAF"/>
    <w:rsid w:val="782567A5"/>
    <w:rsid w:val="78343B0A"/>
    <w:rsid w:val="78482494"/>
    <w:rsid w:val="785247C8"/>
    <w:rsid w:val="785E00D6"/>
    <w:rsid w:val="787F58A1"/>
    <w:rsid w:val="78801C2E"/>
    <w:rsid w:val="78874D6A"/>
    <w:rsid w:val="789217B4"/>
    <w:rsid w:val="78B2790D"/>
    <w:rsid w:val="78E33F6B"/>
    <w:rsid w:val="78F062A1"/>
    <w:rsid w:val="78F85C68"/>
    <w:rsid w:val="78FD327E"/>
    <w:rsid w:val="79312F28"/>
    <w:rsid w:val="79490272"/>
    <w:rsid w:val="796E7CD8"/>
    <w:rsid w:val="79786DA9"/>
    <w:rsid w:val="79793016"/>
    <w:rsid w:val="798968C0"/>
    <w:rsid w:val="798E13F0"/>
    <w:rsid w:val="79A8143C"/>
    <w:rsid w:val="79B06543"/>
    <w:rsid w:val="79B24069"/>
    <w:rsid w:val="79B72E08"/>
    <w:rsid w:val="79C45B4A"/>
    <w:rsid w:val="79C97604"/>
    <w:rsid w:val="79D00993"/>
    <w:rsid w:val="79E1494E"/>
    <w:rsid w:val="79E15B86"/>
    <w:rsid w:val="79EB1329"/>
    <w:rsid w:val="79EB30D7"/>
    <w:rsid w:val="7A1940E8"/>
    <w:rsid w:val="7A214D4A"/>
    <w:rsid w:val="7A266805"/>
    <w:rsid w:val="7A28257D"/>
    <w:rsid w:val="7A722F48"/>
    <w:rsid w:val="7A74131E"/>
    <w:rsid w:val="7A7D1BEA"/>
    <w:rsid w:val="7A7E03EF"/>
    <w:rsid w:val="7A7E219D"/>
    <w:rsid w:val="7A811C8D"/>
    <w:rsid w:val="7A835A05"/>
    <w:rsid w:val="7A85177D"/>
    <w:rsid w:val="7A9E45ED"/>
    <w:rsid w:val="7AB160CE"/>
    <w:rsid w:val="7ABD0F17"/>
    <w:rsid w:val="7ABE07EB"/>
    <w:rsid w:val="7AC34CE2"/>
    <w:rsid w:val="7AD16771"/>
    <w:rsid w:val="7AFC5597"/>
    <w:rsid w:val="7B05641A"/>
    <w:rsid w:val="7B0D6D26"/>
    <w:rsid w:val="7B166879"/>
    <w:rsid w:val="7B22521E"/>
    <w:rsid w:val="7B2965AD"/>
    <w:rsid w:val="7B2E771F"/>
    <w:rsid w:val="7B446F42"/>
    <w:rsid w:val="7B4E6863"/>
    <w:rsid w:val="7B51340D"/>
    <w:rsid w:val="7B6C46EB"/>
    <w:rsid w:val="7B7610C6"/>
    <w:rsid w:val="7B786BEC"/>
    <w:rsid w:val="7B7B048A"/>
    <w:rsid w:val="7B7D4202"/>
    <w:rsid w:val="7B851309"/>
    <w:rsid w:val="7B9003DA"/>
    <w:rsid w:val="7BB0282A"/>
    <w:rsid w:val="7BB37C24"/>
    <w:rsid w:val="7BBF0CBF"/>
    <w:rsid w:val="7BC02341"/>
    <w:rsid w:val="7BD61B65"/>
    <w:rsid w:val="7BD76009"/>
    <w:rsid w:val="7BE61DA8"/>
    <w:rsid w:val="7BE8662D"/>
    <w:rsid w:val="7BF546E1"/>
    <w:rsid w:val="7C0466D2"/>
    <w:rsid w:val="7C1508DF"/>
    <w:rsid w:val="7C3F3BAE"/>
    <w:rsid w:val="7C464F3C"/>
    <w:rsid w:val="7C5036C5"/>
    <w:rsid w:val="7C5C02BC"/>
    <w:rsid w:val="7C694787"/>
    <w:rsid w:val="7C8F68E3"/>
    <w:rsid w:val="7CAB7CC4"/>
    <w:rsid w:val="7CAC1243"/>
    <w:rsid w:val="7CAF4890"/>
    <w:rsid w:val="7CBA4FE2"/>
    <w:rsid w:val="7CBC0D5A"/>
    <w:rsid w:val="7CC04CEF"/>
    <w:rsid w:val="7CC16371"/>
    <w:rsid w:val="7CC3658D"/>
    <w:rsid w:val="7CC7607D"/>
    <w:rsid w:val="7CF36E72"/>
    <w:rsid w:val="7CF77FE5"/>
    <w:rsid w:val="7CF90BEB"/>
    <w:rsid w:val="7D1508C0"/>
    <w:rsid w:val="7D1F7C67"/>
    <w:rsid w:val="7D2232B3"/>
    <w:rsid w:val="7D24527D"/>
    <w:rsid w:val="7D2A03BA"/>
    <w:rsid w:val="7D341239"/>
    <w:rsid w:val="7D37764C"/>
    <w:rsid w:val="7D382AD7"/>
    <w:rsid w:val="7D4476CE"/>
    <w:rsid w:val="7D4B47F7"/>
    <w:rsid w:val="7D592A4D"/>
    <w:rsid w:val="7D5E1E12"/>
    <w:rsid w:val="7D5F3C88"/>
    <w:rsid w:val="7D640AEB"/>
    <w:rsid w:val="7D657644"/>
    <w:rsid w:val="7D6E02A7"/>
    <w:rsid w:val="7D6E64F9"/>
    <w:rsid w:val="7D761851"/>
    <w:rsid w:val="7D8E26F7"/>
    <w:rsid w:val="7D913F95"/>
    <w:rsid w:val="7D943A85"/>
    <w:rsid w:val="7D9F09B1"/>
    <w:rsid w:val="7DBF6D54"/>
    <w:rsid w:val="7E064983"/>
    <w:rsid w:val="7E0D5D12"/>
    <w:rsid w:val="7E176B90"/>
    <w:rsid w:val="7E2B263C"/>
    <w:rsid w:val="7E3468DD"/>
    <w:rsid w:val="7E384B92"/>
    <w:rsid w:val="7E576F8D"/>
    <w:rsid w:val="7E590F57"/>
    <w:rsid w:val="7E633B84"/>
    <w:rsid w:val="7E6416AA"/>
    <w:rsid w:val="7E655B4E"/>
    <w:rsid w:val="7E7A2C7B"/>
    <w:rsid w:val="7E851D4C"/>
    <w:rsid w:val="7E9E696A"/>
    <w:rsid w:val="7EAA7A04"/>
    <w:rsid w:val="7ED14F91"/>
    <w:rsid w:val="7F10538E"/>
    <w:rsid w:val="7F271055"/>
    <w:rsid w:val="7F370B6C"/>
    <w:rsid w:val="7F3948E4"/>
    <w:rsid w:val="7F3E014D"/>
    <w:rsid w:val="7F5259A6"/>
    <w:rsid w:val="7F5E259D"/>
    <w:rsid w:val="7F6F3F63"/>
    <w:rsid w:val="7FA426A6"/>
    <w:rsid w:val="7FB0104A"/>
    <w:rsid w:val="7FB823E2"/>
    <w:rsid w:val="7FC02E5E"/>
    <w:rsid w:val="7FD40018"/>
    <w:rsid w:val="7FDD5BB8"/>
    <w:rsid w:val="7FE17456"/>
    <w:rsid w:val="7FF01447"/>
    <w:rsid w:val="7FF359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3"/>
    <w:qFormat/>
    <w:uiPriority w:val="0"/>
    <w:pPr>
      <w:jc w:val="left"/>
    </w:pPr>
  </w:style>
  <w:style w:type="paragraph" w:styleId="3">
    <w:name w:val="Body Text"/>
    <w:basedOn w:val="1"/>
    <w:link w:val="19"/>
    <w:qFormat/>
    <w:uiPriority w:val="0"/>
    <w:pPr>
      <w:spacing w:after="120"/>
    </w:pPr>
  </w:style>
  <w:style w:type="paragraph" w:styleId="4">
    <w:name w:val="Body Text Indent"/>
    <w:basedOn w:val="1"/>
    <w:qFormat/>
    <w:uiPriority w:val="0"/>
    <w:pPr>
      <w:tabs>
        <w:tab w:val="left" w:pos="840"/>
      </w:tabs>
      <w:snapToGrid w:val="0"/>
      <w:spacing w:line="300" w:lineRule="exact"/>
      <w:ind w:left="630" w:leftChars="300"/>
    </w:pPr>
  </w:style>
  <w:style w:type="paragraph" w:styleId="5">
    <w:name w:val="Balloon Text"/>
    <w:basedOn w:val="1"/>
    <w:link w:val="25"/>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22"/>
    <w:qFormat/>
    <w:uiPriority w:val="0"/>
    <w:pPr>
      <w:snapToGrid w:val="0"/>
      <w:jc w:val="left"/>
    </w:pPr>
    <w:rPr>
      <w:sz w:val="18"/>
      <w:szCs w:val="18"/>
    </w:rPr>
  </w:style>
  <w:style w:type="paragraph" w:styleId="9">
    <w:name w:val="annotation subject"/>
    <w:basedOn w:val="2"/>
    <w:next w:val="2"/>
    <w:link w:val="24"/>
    <w:qFormat/>
    <w:uiPriority w:val="0"/>
    <w:rPr>
      <w:b/>
      <w:bCs/>
    </w:rPr>
  </w:style>
  <w:style w:type="table" w:styleId="11">
    <w:name w:val="Table Grid"/>
    <w:basedOn w:val="10"/>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qFormat/>
    <w:uiPriority w:val="0"/>
  </w:style>
  <w:style w:type="character" w:styleId="14">
    <w:name w:val="Hyperlink"/>
    <w:basedOn w:val="12"/>
    <w:qFormat/>
    <w:uiPriority w:val="0"/>
    <w:rPr>
      <w:color w:val="0000FF"/>
      <w:u w:val="single"/>
    </w:rPr>
  </w:style>
  <w:style w:type="character" w:styleId="15">
    <w:name w:val="annotation reference"/>
    <w:basedOn w:val="12"/>
    <w:qFormat/>
    <w:uiPriority w:val="0"/>
    <w:rPr>
      <w:sz w:val="21"/>
      <w:szCs w:val="21"/>
    </w:rPr>
  </w:style>
  <w:style w:type="character" w:styleId="16">
    <w:name w:val="footnote reference"/>
    <w:basedOn w:val="12"/>
    <w:qFormat/>
    <w:uiPriority w:val="0"/>
    <w:rPr>
      <w:vertAlign w:val="superscript"/>
    </w:rPr>
  </w:style>
  <w:style w:type="paragraph" w:customStyle="1" w:styleId="17">
    <w:name w:val="批注框文本 Char Char"/>
    <w:basedOn w:val="1"/>
    <w:qFormat/>
    <w:uiPriority w:val="0"/>
    <w:rPr>
      <w:sz w:val="18"/>
    </w:rPr>
  </w:style>
  <w:style w:type="character" w:customStyle="1" w:styleId="18">
    <w:name w:val="页眉 Char"/>
    <w:basedOn w:val="12"/>
    <w:link w:val="7"/>
    <w:qFormat/>
    <w:uiPriority w:val="0"/>
    <w:rPr>
      <w:kern w:val="2"/>
      <w:sz w:val="18"/>
      <w:szCs w:val="18"/>
    </w:rPr>
  </w:style>
  <w:style w:type="character" w:customStyle="1" w:styleId="19">
    <w:name w:val="正文文本 Char"/>
    <w:basedOn w:val="12"/>
    <w:link w:val="3"/>
    <w:qFormat/>
    <w:uiPriority w:val="0"/>
    <w:rPr>
      <w:kern w:val="2"/>
      <w:sz w:val="21"/>
    </w:rPr>
  </w:style>
  <w:style w:type="paragraph" w:styleId="20">
    <w:name w:val="List Paragraph"/>
    <w:basedOn w:val="1"/>
    <w:unhideWhenUsed/>
    <w:qFormat/>
    <w:uiPriority w:val="99"/>
    <w:pPr>
      <w:ind w:firstLine="420" w:firstLineChars="200"/>
    </w:pPr>
  </w:style>
  <w:style w:type="character" w:customStyle="1" w:styleId="21">
    <w:name w:val="memo"/>
    <w:basedOn w:val="12"/>
    <w:qFormat/>
    <w:uiPriority w:val="0"/>
  </w:style>
  <w:style w:type="character" w:customStyle="1" w:styleId="22">
    <w:name w:val="脚注文本 Char"/>
    <w:basedOn w:val="12"/>
    <w:link w:val="8"/>
    <w:qFormat/>
    <w:uiPriority w:val="0"/>
    <w:rPr>
      <w:rFonts w:ascii="Times New Roman" w:hAnsi="Times New Roman"/>
      <w:kern w:val="2"/>
      <w:sz w:val="18"/>
      <w:szCs w:val="18"/>
    </w:rPr>
  </w:style>
  <w:style w:type="character" w:customStyle="1" w:styleId="23">
    <w:name w:val="批注文字 Char"/>
    <w:basedOn w:val="12"/>
    <w:link w:val="2"/>
    <w:qFormat/>
    <w:uiPriority w:val="0"/>
    <w:rPr>
      <w:rFonts w:ascii="Times New Roman" w:hAnsi="Times New Roman"/>
      <w:kern w:val="2"/>
      <w:sz w:val="21"/>
    </w:rPr>
  </w:style>
  <w:style w:type="character" w:customStyle="1" w:styleId="24">
    <w:name w:val="批注主题 Char"/>
    <w:basedOn w:val="23"/>
    <w:link w:val="9"/>
    <w:qFormat/>
    <w:uiPriority w:val="0"/>
    <w:rPr>
      <w:rFonts w:ascii="Times New Roman" w:hAnsi="Times New Roman"/>
      <w:kern w:val="2"/>
      <w:sz w:val="21"/>
    </w:rPr>
  </w:style>
  <w:style w:type="character" w:customStyle="1" w:styleId="25">
    <w:name w:val="批注框文本 Char"/>
    <w:basedOn w:val="12"/>
    <w:link w:val="5"/>
    <w:qFormat/>
    <w:uiPriority w:val="0"/>
    <w:rPr>
      <w:rFonts w:ascii="Times New Roman" w:hAnsi="Times New Roman"/>
      <w:kern w:val="2"/>
      <w:sz w:val="18"/>
      <w:szCs w:val="18"/>
    </w:rPr>
  </w:style>
  <w:style w:type="character" w:customStyle="1" w:styleId="26">
    <w:name w:val="font31"/>
    <w:basedOn w:val="12"/>
    <w:qFormat/>
    <w:uiPriority w:val="0"/>
    <w:rPr>
      <w:rFonts w:hint="eastAsia" w:ascii="宋体" w:hAnsi="宋体" w:eastAsia="宋体" w:cs="宋体"/>
      <w:color w:val="000000"/>
      <w:sz w:val="20"/>
      <w:szCs w:val="20"/>
      <w:u w:val="none"/>
    </w:rPr>
  </w:style>
  <w:style w:type="character" w:customStyle="1" w:styleId="27">
    <w:name w:val="font11"/>
    <w:basedOn w:val="12"/>
    <w:qFormat/>
    <w:uiPriority w:val="0"/>
    <w:rPr>
      <w:rFonts w:hint="eastAsia" w:ascii="宋体" w:hAnsi="宋体" w:eastAsia="宋体" w:cs="宋体"/>
      <w:color w:val="000000"/>
      <w:sz w:val="20"/>
      <w:szCs w:val="20"/>
      <w:u w:val="single"/>
    </w:rPr>
  </w:style>
  <w:style w:type="character" w:customStyle="1" w:styleId="28">
    <w:name w:val="font21"/>
    <w:basedOn w:val="12"/>
    <w:qFormat/>
    <w:uiPriority w:val="0"/>
    <w:rPr>
      <w:rFonts w:hint="default" w:ascii="??" w:hAnsi="??" w:eastAsia="??" w:cs="??"/>
      <w:color w:val="000000"/>
      <w:sz w:val="22"/>
      <w:szCs w:val="22"/>
      <w:u w:val="none"/>
    </w:rPr>
  </w:style>
  <w:style w:type="character" w:customStyle="1" w:styleId="29">
    <w:name w:val="font01"/>
    <w:basedOn w:val="12"/>
    <w:qFormat/>
    <w:uiPriority w:val="0"/>
    <w:rPr>
      <w:rFonts w:hint="default" w:ascii="??" w:hAnsi="??" w:eastAsia="??" w:cs="??"/>
      <w:b/>
      <w:bCs/>
      <w:color w:val="000000"/>
      <w:sz w:val="22"/>
      <w:szCs w:val="22"/>
      <w:u w:val="none"/>
    </w:rPr>
  </w:style>
  <w:style w:type="character" w:customStyle="1" w:styleId="30">
    <w:name w:val="font71"/>
    <w:basedOn w:val="12"/>
    <w:qFormat/>
    <w:uiPriority w:val="0"/>
    <w:rPr>
      <w:rFonts w:hint="default" w:ascii="??" w:hAnsi="??" w:eastAsia="??" w:cs="??"/>
      <w:b/>
      <w:bCs/>
      <w:color w:val="000000"/>
      <w:sz w:val="22"/>
      <w:szCs w:val="22"/>
      <w:u w:val="single"/>
    </w:rPr>
  </w:style>
  <w:style w:type="character" w:customStyle="1" w:styleId="31">
    <w:name w:val="font41"/>
    <w:basedOn w:val="12"/>
    <w:qFormat/>
    <w:uiPriority w:val="0"/>
    <w:rPr>
      <w:rFonts w:hint="default" w:ascii="Times New Roman" w:hAnsi="Times New Roman" w:cs="Times New Roman"/>
      <w:color w:val="000000"/>
      <w:sz w:val="21"/>
      <w:szCs w:val="21"/>
      <w:u w:val="none"/>
    </w:rPr>
  </w:style>
  <w:style w:type="character" w:customStyle="1" w:styleId="32">
    <w:name w:val="font51"/>
    <w:basedOn w:val="12"/>
    <w:qFormat/>
    <w:uiPriority w:val="0"/>
    <w:rPr>
      <w:rFonts w:hint="eastAsia" w:ascii="宋体" w:hAnsi="宋体" w:eastAsia="宋体" w:cs="宋体"/>
      <w:color w:val="000000"/>
      <w:sz w:val="21"/>
      <w:szCs w:val="21"/>
      <w:u w:val="none"/>
    </w:rPr>
  </w:style>
  <w:style w:type="character" w:customStyle="1" w:styleId="33">
    <w:name w:val="font61"/>
    <w:basedOn w:val="12"/>
    <w:qFormat/>
    <w:uiPriority w:val="0"/>
    <w:rPr>
      <w:rFonts w:hint="eastAsia" w:ascii="宋体" w:hAnsi="宋体" w:eastAsia="宋体" w:cs="宋体"/>
      <w:b/>
      <w:bCs/>
      <w:color w:val="000000"/>
      <w:sz w:val="21"/>
      <w:szCs w:val="21"/>
      <w:u w:val="none"/>
    </w:rPr>
  </w:style>
  <w:style w:type="character" w:customStyle="1" w:styleId="34">
    <w:name w:val="font81"/>
    <w:basedOn w:val="12"/>
    <w:qFormat/>
    <w:uiPriority w:val="0"/>
    <w:rPr>
      <w:rFonts w:hint="default" w:ascii="Times New Roman" w:hAnsi="Times New Roman" w:cs="Times New Roman"/>
      <w:b/>
      <w:bCs/>
      <w:color w:val="000000"/>
      <w:sz w:val="21"/>
      <w:szCs w:val="21"/>
      <w:u w:val="none"/>
    </w:rPr>
  </w:style>
  <w:style w:type="paragraph" w:customStyle="1" w:styleId="3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465455-0D96-47E6-84F3-6451A653F49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17</Pages>
  <Words>10091</Words>
  <Characters>10528</Characters>
  <Lines>60</Lines>
  <Paragraphs>17</Paragraphs>
  <TotalTime>6</TotalTime>
  <ScaleCrop>false</ScaleCrop>
  <LinksUpToDate>false</LinksUpToDate>
  <CharactersWithSpaces>11153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2019-12-04T10:19:00Z</dcterms:created>
  <dc:creator>Billgates</dc:creator>
  <cp:lastModifiedBy>招采中心2</cp:lastModifiedBy>
  <cp:lastPrinted>2023-05-19T07:49:00Z</cp:lastPrinted>
  <dcterms:modified xsi:type="dcterms:W3CDTF">2024-10-24T08:21:46Z</dcterms:modified>
  <dc:title>Dongguan ZhongTai Construct Install Engineering Co</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3FE5885030B345F4B6A0F41DC74AEB61_13</vt:lpwstr>
  </property>
</Properties>
</file>